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E5D06" w14:textId="77777777" w:rsidR="0081708C" w:rsidRDefault="0081708C" w:rsidP="0081708C">
      <w:pPr>
        <w:jc w:val="center"/>
        <w:rPr>
          <w:rFonts w:ascii="Times New Roman" w:hAnsi="Times New Roman"/>
          <w:sz w:val="24"/>
          <w:szCs w:val="24"/>
          <w:lang w:val="en-US"/>
        </w:rPr>
      </w:pPr>
      <w:bookmarkStart w:id="0" w:name="_GoBack"/>
      <w:bookmarkEnd w:id="0"/>
      <w:r>
        <w:rPr>
          <w:noProof/>
          <w:szCs w:val="24"/>
        </w:rPr>
        <w:drawing>
          <wp:inline distT="0" distB="0" distL="0" distR="0" wp14:anchorId="7B9A7056" wp14:editId="6ED492B2">
            <wp:extent cx="609600" cy="781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81050"/>
                    </a:xfrm>
                    <a:prstGeom prst="rect">
                      <a:avLst/>
                    </a:prstGeom>
                    <a:noFill/>
                    <a:ln>
                      <a:noFill/>
                    </a:ln>
                  </pic:spPr>
                </pic:pic>
              </a:graphicData>
            </a:graphic>
          </wp:inline>
        </w:drawing>
      </w:r>
    </w:p>
    <w:tbl>
      <w:tblPr>
        <w:tblW w:w="5000" w:type="pct"/>
        <w:tblCellSpacing w:w="15" w:type="dxa"/>
        <w:tblLook w:val="04A0" w:firstRow="1" w:lastRow="0" w:firstColumn="1" w:lastColumn="0" w:noHBand="0" w:noVBand="1"/>
      </w:tblPr>
      <w:tblGrid>
        <w:gridCol w:w="9496"/>
      </w:tblGrid>
      <w:tr w:rsidR="0081708C" w14:paraId="68CCB7E9" w14:textId="77777777" w:rsidTr="008073D9">
        <w:trPr>
          <w:tblCellSpacing w:w="15" w:type="dxa"/>
        </w:trPr>
        <w:tc>
          <w:tcPr>
            <w:tcW w:w="0" w:type="auto"/>
            <w:tcMar>
              <w:top w:w="15" w:type="dxa"/>
              <w:left w:w="15" w:type="dxa"/>
              <w:bottom w:w="15" w:type="dxa"/>
              <w:right w:w="15" w:type="dxa"/>
            </w:tcMar>
            <w:vAlign w:val="center"/>
            <w:hideMark/>
          </w:tcPr>
          <w:p w14:paraId="7B438831" w14:textId="77777777" w:rsidR="0081708C" w:rsidRDefault="0081708C" w:rsidP="008073D9">
            <w:pPr>
              <w:spacing w:line="276" w:lineRule="auto"/>
              <w:jc w:val="center"/>
              <w:rPr>
                <w:rFonts w:ascii="Times" w:hAnsi="Times" w:cs="Times"/>
                <w:sz w:val="28"/>
                <w:szCs w:val="28"/>
              </w:rPr>
            </w:pPr>
            <w:r>
              <w:rPr>
                <w:rFonts w:ascii="Times" w:hAnsi="Times" w:cs="Times"/>
                <w:sz w:val="28"/>
                <w:szCs w:val="28"/>
              </w:rPr>
              <w:t>NÁVRH</w:t>
            </w:r>
          </w:p>
        </w:tc>
      </w:tr>
      <w:tr w:rsidR="0081708C" w14:paraId="08653E57" w14:textId="77777777" w:rsidTr="008073D9">
        <w:trPr>
          <w:tblCellSpacing w:w="15" w:type="dxa"/>
        </w:trPr>
        <w:tc>
          <w:tcPr>
            <w:tcW w:w="0" w:type="auto"/>
            <w:tcMar>
              <w:top w:w="15" w:type="dxa"/>
              <w:left w:w="15" w:type="dxa"/>
              <w:bottom w:w="15" w:type="dxa"/>
              <w:right w:w="15" w:type="dxa"/>
            </w:tcMar>
            <w:vAlign w:val="center"/>
            <w:hideMark/>
          </w:tcPr>
          <w:p w14:paraId="10B84615" w14:textId="77777777" w:rsidR="0081708C" w:rsidRDefault="0081708C" w:rsidP="008073D9">
            <w:pPr>
              <w:spacing w:line="276" w:lineRule="auto"/>
              <w:jc w:val="center"/>
              <w:rPr>
                <w:rFonts w:ascii="Times" w:hAnsi="Times" w:cs="Times"/>
                <w:sz w:val="28"/>
                <w:szCs w:val="28"/>
              </w:rPr>
            </w:pPr>
            <w:r>
              <w:rPr>
                <w:rFonts w:ascii="Times" w:hAnsi="Times" w:cs="Times"/>
                <w:sz w:val="28"/>
                <w:szCs w:val="28"/>
              </w:rPr>
              <w:t>UZNESENIE VLÁDY SLOVENSKEJ REPUBLIKY</w:t>
            </w:r>
          </w:p>
        </w:tc>
      </w:tr>
      <w:tr w:rsidR="0081708C" w14:paraId="7C0DD78C" w14:textId="77777777" w:rsidTr="008073D9">
        <w:trPr>
          <w:tblCellSpacing w:w="15" w:type="dxa"/>
        </w:trPr>
        <w:tc>
          <w:tcPr>
            <w:tcW w:w="0" w:type="auto"/>
            <w:tcMar>
              <w:top w:w="15" w:type="dxa"/>
              <w:left w:w="15" w:type="dxa"/>
              <w:bottom w:w="15" w:type="dxa"/>
              <w:right w:w="15" w:type="dxa"/>
            </w:tcMar>
            <w:vAlign w:val="center"/>
            <w:hideMark/>
          </w:tcPr>
          <w:tbl>
            <w:tblPr>
              <w:tblW w:w="0" w:type="auto"/>
              <w:jc w:val="center"/>
              <w:tblCellSpacing w:w="15" w:type="dxa"/>
              <w:tblLook w:val="04A0" w:firstRow="1" w:lastRow="0" w:firstColumn="1" w:lastColumn="0" w:noHBand="0" w:noVBand="1"/>
            </w:tblPr>
            <w:tblGrid>
              <w:gridCol w:w="635"/>
            </w:tblGrid>
            <w:tr w:rsidR="0081708C" w14:paraId="60CEEADD" w14:textId="77777777" w:rsidTr="008073D9">
              <w:trPr>
                <w:tblCellSpacing w:w="15" w:type="dxa"/>
                <w:jc w:val="center"/>
              </w:trPr>
              <w:tc>
                <w:tcPr>
                  <w:tcW w:w="0" w:type="auto"/>
                  <w:noWrap/>
                  <w:tcMar>
                    <w:top w:w="15" w:type="dxa"/>
                    <w:left w:w="15" w:type="dxa"/>
                    <w:bottom w:w="15" w:type="dxa"/>
                    <w:right w:w="15" w:type="dxa"/>
                  </w:tcMar>
                  <w:vAlign w:val="center"/>
                  <w:hideMark/>
                </w:tcPr>
                <w:p w14:paraId="2F15579D" w14:textId="77777777" w:rsidR="0081708C" w:rsidRDefault="0081708C" w:rsidP="008073D9">
                  <w:pPr>
                    <w:spacing w:line="276" w:lineRule="auto"/>
                    <w:jc w:val="center"/>
                    <w:rPr>
                      <w:sz w:val="28"/>
                      <w:szCs w:val="28"/>
                    </w:rPr>
                  </w:pPr>
                  <w:r>
                    <w:rPr>
                      <w:b/>
                      <w:bCs/>
                      <w:sz w:val="28"/>
                      <w:szCs w:val="28"/>
                    </w:rPr>
                    <w:t>č. ...</w:t>
                  </w:r>
                </w:p>
              </w:tc>
            </w:tr>
            <w:tr w:rsidR="0081708C" w14:paraId="2BFCCA92" w14:textId="77777777" w:rsidTr="008073D9">
              <w:trPr>
                <w:tblCellSpacing w:w="15" w:type="dxa"/>
                <w:jc w:val="center"/>
              </w:trPr>
              <w:tc>
                <w:tcPr>
                  <w:tcW w:w="0" w:type="auto"/>
                  <w:tcMar>
                    <w:top w:w="15" w:type="dxa"/>
                    <w:left w:w="15" w:type="dxa"/>
                    <w:bottom w:w="15" w:type="dxa"/>
                    <w:right w:w="15" w:type="dxa"/>
                  </w:tcMar>
                  <w:vAlign w:val="center"/>
                  <w:hideMark/>
                </w:tcPr>
                <w:p w14:paraId="7D150F67" w14:textId="77777777" w:rsidR="0081708C" w:rsidRDefault="0081708C" w:rsidP="008073D9">
                  <w:pPr>
                    <w:spacing w:line="276" w:lineRule="auto"/>
                    <w:jc w:val="center"/>
                  </w:pPr>
                  <w:r>
                    <w:rPr>
                      <w:sz w:val="22"/>
                      <w:szCs w:val="22"/>
                    </w:rPr>
                    <w:t>z ...</w:t>
                  </w:r>
                </w:p>
              </w:tc>
            </w:tr>
          </w:tbl>
          <w:p w14:paraId="1BF40919" w14:textId="77777777" w:rsidR="0081708C" w:rsidRDefault="0081708C" w:rsidP="008073D9">
            <w:pPr>
              <w:widowControl/>
              <w:autoSpaceDE/>
              <w:autoSpaceDN/>
              <w:adjustRightInd/>
              <w:spacing w:line="276" w:lineRule="auto"/>
              <w:jc w:val="center"/>
              <w:rPr>
                <w:sz w:val="22"/>
                <w:szCs w:val="22"/>
              </w:rPr>
            </w:pPr>
          </w:p>
        </w:tc>
      </w:tr>
      <w:tr w:rsidR="0081708C" w14:paraId="0A4F57E6" w14:textId="77777777" w:rsidTr="008073D9">
        <w:trPr>
          <w:tblCellSpacing w:w="15" w:type="dxa"/>
        </w:trPr>
        <w:tc>
          <w:tcPr>
            <w:tcW w:w="0" w:type="auto"/>
            <w:tcMar>
              <w:top w:w="15" w:type="dxa"/>
              <w:left w:w="15" w:type="dxa"/>
              <w:bottom w:w="15" w:type="dxa"/>
              <w:right w:w="15" w:type="dxa"/>
            </w:tcMar>
            <w:vAlign w:val="center"/>
            <w:hideMark/>
          </w:tcPr>
          <w:tbl>
            <w:tblPr>
              <w:tblW w:w="9238" w:type="dxa"/>
              <w:jc w:val="center"/>
              <w:tblCellSpacing w:w="15" w:type="dxa"/>
              <w:tblLook w:val="04A0" w:firstRow="1" w:lastRow="0" w:firstColumn="1" w:lastColumn="0" w:noHBand="0" w:noVBand="1"/>
            </w:tblPr>
            <w:tblGrid>
              <w:gridCol w:w="9238"/>
            </w:tblGrid>
            <w:tr w:rsidR="0081708C" w14:paraId="0B41DE8B" w14:textId="77777777" w:rsidTr="008073D9">
              <w:trPr>
                <w:trHeight w:val="54"/>
                <w:tblCellSpacing w:w="15" w:type="dxa"/>
                <w:jc w:val="center"/>
              </w:trPr>
              <w:tc>
                <w:tcPr>
                  <w:tcW w:w="0" w:type="auto"/>
                  <w:tcMar>
                    <w:top w:w="15" w:type="dxa"/>
                    <w:left w:w="15" w:type="dxa"/>
                    <w:bottom w:w="15" w:type="dxa"/>
                    <w:right w:w="15" w:type="dxa"/>
                  </w:tcMar>
                  <w:hideMark/>
                </w:tcPr>
                <w:p w14:paraId="3A132366" w14:textId="4D3E3BF6" w:rsidR="0081708C" w:rsidRPr="00CA6E29" w:rsidRDefault="00C0662A" w:rsidP="00EE754C">
                  <w:pPr>
                    <w:spacing w:line="276" w:lineRule="auto"/>
                    <w:jc w:val="center"/>
                    <w:rPr>
                      <w:rFonts w:ascii="Times New Roman" w:hAnsi="Times New Roman" w:cs="Times New Roman"/>
                      <w:b/>
                      <w:sz w:val="28"/>
                      <w:szCs w:val="28"/>
                    </w:rPr>
                  </w:pPr>
                  <w:r>
                    <w:rPr>
                      <w:rFonts w:ascii="Times New Roman" w:hAnsi="Times New Roman" w:cs="Times New Roman"/>
                      <w:b/>
                      <w:bCs/>
                      <w:sz w:val="28"/>
                      <w:szCs w:val="28"/>
                    </w:rPr>
                    <w:t xml:space="preserve">k </w:t>
                  </w:r>
                  <w:r w:rsidR="00EE754C">
                    <w:rPr>
                      <w:rFonts w:ascii="Times" w:hAnsi="Times" w:cs="Times"/>
                      <w:b/>
                      <w:bCs/>
                      <w:sz w:val="28"/>
                      <w:szCs w:val="28"/>
                    </w:rPr>
                    <w:t>návrhu nelegislatívneho všeobecného materiálu Informácia o transpozičnom deficite a harmonograme jeho odstránenia</w:t>
                  </w:r>
                </w:p>
              </w:tc>
            </w:tr>
          </w:tbl>
          <w:p w14:paraId="79032FD8" w14:textId="77777777" w:rsidR="0081708C" w:rsidRDefault="0081708C" w:rsidP="008073D9">
            <w:pPr>
              <w:widowControl/>
              <w:autoSpaceDE/>
              <w:autoSpaceDN/>
              <w:adjustRightInd/>
              <w:spacing w:line="276" w:lineRule="auto"/>
              <w:jc w:val="center"/>
              <w:rPr>
                <w:sz w:val="22"/>
                <w:szCs w:val="22"/>
              </w:rPr>
            </w:pPr>
          </w:p>
        </w:tc>
      </w:tr>
    </w:tbl>
    <w:p w14:paraId="20EBD1B9" w14:textId="77777777" w:rsidR="0081708C" w:rsidRDefault="0081708C" w:rsidP="0081708C">
      <w:pPr>
        <w:jc w:val="center"/>
        <w:rPr>
          <w:rFonts w:ascii="Times New Roman" w:hAnsi="Times New Roman"/>
          <w:sz w:val="24"/>
          <w:szCs w:val="24"/>
          <w:lang w:val="en-US"/>
        </w:rPr>
      </w:pPr>
    </w:p>
    <w:p w14:paraId="11D95E68" w14:textId="77777777" w:rsidR="0081708C" w:rsidRDefault="0081708C" w:rsidP="0081708C">
      <w:pPr>
        <w:rPr>
          <w:rFonts w:ascii="Times New Roman" w:hAnsi="Times New Roman"/>
          <w:sz w:val="24"/>
          <w:szCs w:val="24"/>
          <w:lang w:val="en-US"/>
        </w:rPr>
      </w:pPr>
    </w:p>
    <w:tbl>
      <w:tblPr>
        <w:tblW w:w="9543" w:type="dxa"/>
        <w:tblCellSpacing w:w="15" w:type="dxa"/>
        <w:tblCellMar>
          <w:top w:w="15" w:type="dxa"/>
          <w:left w:w="15" w:type="dxa"/>
          <w:bottom w:w="15" w:type="dxa"/>
          <w:right w:w="15" w:type="dxa"/>
        </w:tblCellMar>
        <w:tblLook w:val="04A0" w:firstRow="1" w:lastRow="0" w:firstColumn="1" w:lastColumn="0" w:noHBand="0" w:noVBand="1"/>
      </w:tblPr>
      <w:tblGrid>
        <w:gridCol w:w="1742"/>
        <w:gridCol w:w="7801"/>
      </w:tblGrid>
      <w:tr w:rsidR="0081708C" w14:paraId="6C8170CA" w14:textId="77777777" w:rsidTr="008073D9">
        <w:trPr>
          <w:tblCellSpacing w:w="15" w:type="dxa"/>
        </w:trPr>
        <w:tc>
          <w:tcPr>
            <w:tcW w:w="1697" w:type="dxa"/>
            <w:hideMark/>
          </w:tcPr>
          <w:p w14:paraId="5B077819" w14:textId="77777777" w:rsidR="0081708C" w:rsidRDefault="0081708C" w:rsidP="008073D9">
            <w:pPr>
              <w:rPr>
                <w:rFonts w:ascii="Times" w:hAnsi="Times" w:cs="Times"/>
                <w:sz w:val="25"/>
                <w:szCs w:val="25"/>
              </w:rPr>
            </w:pPr>
            <w:r>
              <w:rPr>
                <w:rFonts w:ascii="Times" w:hAnsi="Times" w:cs="Times"/>
                <w:sz w:val="25"/>
                <w:szCs w:val="25"/>
              </w:rPr>
              <w:t>Číslo materiálu: </w:t>
            </w:r>
          </w:p>
        </w:tc>
        <w:tc>
          <w:tcPr>
            <w:tcW w:w="7756" w:type="dxa"/>
            <w:hideMark/>
          </w:tcPr>
          <w:p w14:paraId="48973963" w14:textId="304406A3" w:rsidR="0081708C" w:rsidRPr="00CA6E29" w:rsidRDefault="0081708C" w:rsidP="008073D9">
            <w:pPr>
              <w:rPr>
                <w:rFonts w:ascii="Times New Roman" w:hAnsi="Times New Roman" w:cs="Times New Roman"/>
                <w:sz w:val="25"/>
                <w:szCs w:val="25"/>
              </w:rPr>
            </w:pPr>
          </w:p>
        </w:tc>
      </w:tr>
      <w:tr w:rsidR="0081708C" w14:paraId="58F703CE" w14:textId="77777777" w:rsidTr="008073D9">
        <w:trPr>
          <w:tblCellSpacing w:w="15" w:type="dxa"/>
        </w:trPr>
        <w:tc>
          <w:tcPr>
            <w:tcW w:w="1697" w:type="dxa"/>
            <w:hideMark/>
          </w:tcPr>
          <w:p w14:paraId="3CD0EFD1" w14:textId="77777777" w:rsidR="0081708C" w:rsidRDefault="0081708C" w:rsidP="008073D9">
            <w:pPr>
              <w:rPr>
                <w:rFonts w:ascii="Times" w:hAnsi="Times" w:cs="Times"/>
                <w:sz w:val="25"/>
                <w:szCs w:val="25"/>
              </w:rPr>
            </w:pPr>
            <w:r>
              <w:rPr>
                <w:rFonts w:ascii="Times" w:hAnsi="Times" w:cs="Times"/>
                <w:sz w:val="25"/>
                <w:szCs w:val="25"/>
              </w:rPr>
              <w:t>Predkladateľ: </w:t>
            </w:r>
          </w:p>
        </w:tc>
        <w:tc>
          <w:tcPr>
            <w:tcW w:w="7756" w:type="dxa"/>
            <w:hideMark/>
          </w:tcPr>
          <w:p w14:paraId="368CF746" w14:textId="117F10CA" w:rsidR="0081708C" w:rsidRPr="00ED412E" w:rsidRDefault="00ED412E" w:rsidP="008073D9">
            <w:pPr>
              <w:rPr>
                <w:rFonts w:ascii="Times New Roman" w:hAnsi="Times New Roman" w:cs="Times New Roman"/>
                <w:sz w:val="25"/>
                <w:szCs w:val="25"/>
              </w:rPr>
            </w:pPr>
            <w:r w:rsidRPr="00ED412E">
              <w:rPr>
                <w:rFonts w:ascii="Times New Roman" w:hAnsi="Times New Roman" w:cs="Times New Roman"/>
                <w:sz w:val="25"/>
                <w:szCs w:val="25"/>
              </w:rPr>
              <w:fldChar w:fldCharType="begin"/>
            </w:r>
            <w:r w:rsidRPr="00ED412E">
              <w:rPr>
                <w:rFonts w:ascii="Times New Roman" w:hAnsi="Times New Roman" w:cs="Times New Roman"/>
                <w:sz w:val="25"/>
                <w:szCs w:val="25"/>
              </w:rPr>
              <w:instrText xml:space="preserve"> DOCPROPERTY  FSC#SKEDITIONSLOVLEX@103.510:funkciaZodpPred\* MERGEFORMAT </w:instrText>
            </w:r>
            <w:r w:rsidRPr="00ED412E">
              <w:rPr>
                <w:rFonts w:ascii="Times New Roman" w:hAnsi="Times New Roman" w:cs="Times New Roman"/>
                <w:sz w:val="25"/>
                <w:szCs w:val="25"/>
              </w:rPr>
              <w:fldChar w:fldCharType="end"/>
            </w:r>
          </w:p>
        </w:tc>
      </w:tr>
    </w:tbl>
    <w:p w14:paraId="1759EBB3" w14:textId="77777777" w:rsidR="0081708C" w:rsidRDefault="00EE754C" w:rsidP="0081708C">
      <w:r>
        <w:pict w14:anchorId="3FBF5A77">
          <v:rect id="_x0000_i1025" style="width:0;height:1.5pt" o:hralign="center" o:hrstd="t" o:hr="t" fillcolor="gray" stroked="f"/>
        </w:pict>
      </w:r>
    </w:p>
    <w:p w14:paraId="6FB40126" w14:textId="77777777" w:rsidR="0081708C" w:rsidRDefault="0081708C" w:rsidP="0081708C"/>
    <w:p w14:paraId="28C3DD38" w14:textId="4A583F05" w:rsidR="009C4F6D" w:rsidRPr="009C4F6D" w:rsidRDefault="009C4F6D" w:rsidP="0081708C">
      <w:pPr>
        <w:rPr>
          <w:rFonts w:ascii="Times New Roman" w:hAnsi="Times New Roman" w:cs="Times New Roman"/>
          <w:b/>
          <w:sz w:val="32"/>
          <w:szCs w:val="32"/>
        </w:rPr>
      </w:pPr>
      <w:r w:rsidRPr="009C4F6D">
        <w:rPr>
          <w:rFonts w:ascii="Times New Roman" w:hAnsi="Times New Roman" w:cs="Times New Roman"/>
          <w:b/>
          <w:sz w:val="32"/>
          <w:szCs w:val="32"/>
        </w:rPr>
        <w:t>Vláda</w:t>
      </w:r>
    </w:p>
    <w:p w14:paraId="7D0A7D70" w14:textId="77777777" w:rsidR="009C4F6D" w:rsidRDefault="009C4F6D" w:rsidP="0081708C"/>
    <w:p w14:paraId="2C07DDD2" w14:textId="0BE1BE67" w:rsidR="00EE754C" w:rsidRDefault="00EE754C" w:rsidP="0081708C"/>
    <w:tbl>
      <w:tblPr>
        <w:tblW w:w="5000" w:type="pct"/>
        <w:jc w:val="center"/>
        <w:tblCellMar>
          <w:top w:w="120" w:type="dxa"/>
          <w:left w:w="120" w:type="dxa"/>
          <w:bottom w:w="120" w:type="dxa"/>
          <w:right w:w="120" w:type="dxa"/>
        </w:tblCellMar>
        <w:tblLook w:val="04A0" w:firstRow="1" w:lastRow="0" w:firstColumn="1" w:lastColumn="0" w:noHBand="0" w:noVBand="1"/>
      </w:tblPr>
      <w:tblGrid>
        <w:gridCol w:w="726"/>
        <w:gridCol w:w="726"/>
        <w:gridCol w:w="7620"/>
      </w:tblGrid>
      <w:tr w:rsidR="00EE754C" w14:paraId="70940E47" w14:textId="77777777">
        <w:trPr>
          <w:divId w:val="1327712241"/>
          <w:trHeight w:val="450"/>
          <w:jc w:val="center"/>
        </w:trPr>
        <w:tc>
          <w:tcPr>
            <w:tcW w:w="400" w:type="pct"/>
            <w:tcBorders>
              <w:top w:val="nil"/>
              <w:left w:val="nil"/>
              <w:bottom w:val="nil"/>
              <w:right w:val="nil"/>
            </w:tcBorders>
            <w:hideMark/>
          </w:tcPr>
          <w:p w14:paraId="2B35CF43" w14:textId="77777777" w:rsidR="00EE754C" w:rsidRDefault="00EE754C">
            <w:pPr>
              <w:rPr>
                <w:rFonts w:ascii="Times" w:hAnsi="Times" w:cs="Times"/>
                <w:b/>
                <w:bCs/>
                <w:sz w:val="28"/>
                <w:szCs w:val="28"/>
              </w:rPr>
            </w:pPr>
            <w:r>
              <w:rPr>
                <w:rFonts w:ascii="Times" w:hAnsi="Times" w:cs="Times"/>
                <w:b/>
                <w:bCs/>
                <w:sz w:val="28"/>
                <w:szCs w:val="28"/>
              </w:rPr>
              <w:t>A.</w:t>
            </w:r>
          </w:p>
        </w:tc>
        <w:tc>
          <w:tcPr>
            <w:tcW w:w="4600" w:type="pct"/>
            <w:gridSpan w:val="2"/>
            <w:tcBorders>
              <w:top w:val="nil"/>
              <w:left w:val="nil"/>
              <w:bottom w:val="nil"/>
              <w:right w:val="nil"/>
            </w:tcBorders>
            <w:hideMark/>
          </w:tcPr>
          <w:p w14:paraId="4A5D18FA" w14:textId="77777777" w:rsidR="00EE754C" w:rsidRDefault="00EE754C">
            <w:pPr>
              <w:rPr>
                <w:rFonts w:ascii="Times" w:hAnsi="Times" w:cs="Times"/>
                <w:b/>
                <w:bCs/>
                <w:sz w:val="28"/>
                <w:szCs w:val="28"/>
              </w:rPr>
            </w:pPr>
            <w:r>
              <w:rPr>
                <w:rFonts w:ascii="Times" w:hAnsi="Times" w:cs="Times"/>
                <w:b/>
                <w:bCs/>
                <w:sz w:val="28"/>
                <w:szCs w:val="28"/>
              </w:rPr>
              <w:t>berie na vedomie</w:t>
            </w:r>
          </w:p>
        </w:tc>
      </w:tr>
      <w:tr w:rsidR="00EE754C" w14:paraId="39B3C21B" w14:textId="77777777">
        <w:trPr>
          <w:divId w:val="1327712241"/>
          <w:trHeight w:val="450"/>
          <w:jc w:val="center"/>
        </w:trPr>
        <w:tc>
          <w:tcPr>
            <w:tcW w:w="400" w:type="pct"/>
            <w:tcBorders>
              <w:top w:val="nil"/>
              <w:left w:val="nil"/>
              <w:bottom w:val="nil"/>
              <w:right w:val="nil"/>
            </w:tcBorders>
            <w:hideMark/>
          </w:tcPr>
          <w:p w14:paraId="7AF4A35D" w14:textId="77777777" w:rsidR="00EE754C" w:rsidRDefault="00EE754C">
            <w:pPr>
              <w:rPr>
                <w:rFonts w:ascii="Times" w:hAnsi="Times" w:cs="Times"/>
                <w:b/>
                <w:bCs/>
                <w:sz w:val="28"/>
                <w:szCs w:val="28"/>
              </w:rPr>
            </w:pPr>
          </w:p>
        </w:tc>
        <w:tc>
          <w:tcPr>
            <w:tcW w:w="400" w:type="pct"/>
            <w:tcBorders>
              <w:top w:val="nil"/>
              <w:left w:val="nil"/>
              <w:bottom w:val="nil"/>
              <w:right w:val="nil"/>
            </w:tcBorders>
            <w:hideMark/>
          </w:tcPr>
          <w:p w14:paraId="162C2471" w14:textId="77777777" w:rsidR="00EE754C" w:rsidRDefault="00EE754C">
            <w:pPr>
              <w:rPr>
                <w:rFonts w:ascii="Times" w:hAnsi="Times" w:cs="Times"/>
                <w:sz w:val="25"/>
                <w:szCs w:val="25"/>
              </w:rPr>
            </w:pPr>
            <w:r>
              <w:rPr>
                <w:rFonts w:ascii="Times" w:hAnsi="Times" w:cs="Times"/>
                <w:sz w:val="25"/>
                <w:szCs w:val="25"/>
              </w:rPr>
              <w:t>A. 1.</w:t>
            </w:r>
          </w:p>
        </w:tc>
        <w:tc>
          <w:tcPr>
            <w:tcW w:w="4200" w:type="pct"/>
            <w:tcBorders>
              <w:top w:val="nil"/>
              <w:left w:val="nil"/>
              <w:bottom w:val="nil"/>
              <w:right w:val="nil"/>
            </w:tcBorders>
            <w:hideMark/>
          </w:tcPr>
          <w:p w14:paraId="367ECE0E" w14:textId="77777777" w:rsidR="00EE754C" w:rsidRDefault="00EE754C">
            <w:pPr>
              <w:rPr>
                <w:rFonts w:ascii="Times" w:hAnsi="Times" w:cs="Times"/>
                <w:sz w:val="25"/>
                <w:szCs w:val="25"/>
              </w:rPr>
            </w:pPr>
            <w:r>
              <w:rPr>
                <w:rFonts w:ascii="Times" w:hAnsi="Times" w:cs="Times"/>
                <w:sz w:val="25"/>
                <w:szCs w:val="25"/>
              </w:rPr>
              <w:t xml:space="preserve">Informáciu o transpozičnom deficite a harmonograme jeho odstránenia </w:t>
            </w:r>
          </w:p>
        </w:tc>
      </w:tr>
      <w:tr w:rsidR="00EE754C" w14:paraId="361FA3E8" w14:textId="77777777">
        <w:trPr>
          <w:divId w:val="1327712241"/>
          <w:trHeight w:val="450"/>
          <w:jc w:val="center"/>
        </w:trPr>
        <w:tc>
          <w:tcPr>
            <w:tcW w:w="5000" w:type="pct"/>
            <w:gridSpan w:val="3"/>
            <w:tcBorders>
              <w:top w:val="nil"/>
              <w:left w:val="nil"/>
              <w:bottom w:val="nil"/>
              <w:right w:val="nil"/>
            </w:tcBorders>
            <w:vAlign w:val="center"/>
            <w:hideMark/>
          </w:tcPr>
          <w:p w14:paraId="402A698A" w14:textId="77777777" w:rsidR="00EE754C" w:rsidRDefault="00EE754C">
            <w:pPr>
              <w:rPr>
                <w:rFonts w:ascii="Times" w:hAnsi="Times" w:cs="Times"/>
                <w:sz w:val="25"/>
                <w:szCs w:val="25"/>
              </w:rPr>
            </w:pPr>
          </w:p>
        </w:tc>
      </w:tr>
      <w:tr w:rsidR="00EE754C" w14:paraId="52173BEE" w14:textId="77777777">
        <w:trPr>
          <w:divId w:val="1327712241"/>
          <w:trHeight w:val="450"/>
          <w:jc w:val="center"/>
        </w:trPr>
        <w:tc>
          <w:tcPr>
            <w:tcW w:w="400" w:type="pct"/>
            <w:tcBorders>
              <w:top w:val="nil"/>
              <w:left w:val="nil"/>
              <w:bottom w:val="nil"/>
              <w:right w:val="nil"/>
            </w:tcBorders>
            <w:hideMark/>
          </w:tcPr>
          <w:p w14:paraId="76DFCDC6" w14:textId="77777777" w:rsidR="00EE754C" w:rsidRDefault="00EE754C">
            <w:pPr>
              <w:rPr>
                <w:rFonts w:ascii="Times" w:hAnsi="Times" w:cs="Times"/>
                <w:b/>
                <w:bCs/>
                <w:sz w:val="28"/>
                <w:szCs w:val="28"/>
              </w:rPr>
            </w:pPr>
            <w:r>
              <w:rPr>
                <w:rFonts w:ascii="Times" w:hAnsi="Times" w:cs="Times"/>
                <w:b/>
                <w:bCs/>
                <w:sz w:val="28"/>
                <w:szCs w:val="28"/>
              </w:rPr>
              <w:t>B.</w:t>
            </w:r>
          </w:p>
        </w:tc>
        <w:tc>
          <w:tcPr>
            <w:tcW w:w="4600" w:type="pct"/>
            <w:gridSpan w:val="2"/>
            <w:tcBorders>
              <w:top w:val="nil"/>
              <w:left w:val="nil"/>
              <w:bottom w:val="nil"/>
              <w:right w:val="nil"/>
            </w:tcBorders>
            <w:hideMark/>
          </w:tcPr>
          <w:p w14:paraId="02E6249D" w14:textId="77777777" w:rsidR="00EE754C" w:rsidRDefault="00EE754C">
            <w:pPr>
              <w:rPr>
                <w:rFonts w:ascii="Times" w:hAnsi="Times" w:cs="Times"/>
                <w:b/>
                <w:bCs/>
                <w:sz w:val="28"/>
                <w:szCs w:val="28"/>
              </w:rPr>
            </w:pPr>
            <w:r>
              <w:rPr>
                <w:rFonts w:ascii="Times" w:hAnsi="Times" w:cs="Times"/>
                <w:b/>
                <w:bCs/>
                <w:sz w:val="28"/>
                <w:szCs w:val="28"/>
              </w:rPr>
              <w:t>ukladá</w:t>
            </w:r>
          </w:p>
        </w:tc>
      </w:tr>
      <w:tr w:rsidR="00EE754C" w14:paraId="5175E22B" w14:textId="77777777">
        <w:trPr>
          <w:divId w:val="1327712241"/>
          <w:trHeight w:val="450"/>
          <w:jc w:val="center"/>
        </w:trPr>
        <w:tc>
          <w:tcPr>
            <w:tcW w:w="400" w:type="pct"/>
            <w:tcBorders>
              <w:top w:val="nil"/>
              <w:left w:val="nil"/>
              <w:bottom w:val="nil"/>
              <w:right w:val="nil"/>
            </w:tcBorders>
            <w:hideMark/>
          </w:tcPr>
          <w:p w14:paraId="6062E956" w14:textId="77777777" w:rsidR="00EE754C" w:rsidRDefault="00EE754C">
            <w:pPr>
              <w:rPr>
                <w:rFonts w:ascii="Times" w:hAnsi="Times" w:cs="Times"/>
                <w:b/>
                <w:bCs/>
                <w:sz w:val="28"/>
                <w:szCs w:val="28"/>
              </w:rPr>
            </w:pPr>
          </w:p>
        </w:tc>
        <w:tc>
          <w:tcPr>
            <w:tcW w:w="4600" w:type="pct"/>
            <w:gridSpan w:val="2"/>
            <w:tcBorders>
              <w:top w:val="nil"/>
              <w:left w:val="nil"/>
              <w:bottom w:val="nil"/>
              <w:right w:val="nil"/>
            </w:tcBorders>
            <w:hideMark/>
          </w:tcPr>
          <w:p w14:paraId="4D9E6AD9" w14:textId="77777777" w:rsidR="00EE754C" w:rsidRDefault="00EE754C">
            <w:pPr>
              <w:rPr>
                <w:rFonts w:ascii="Times" w:hAnsi="Times" w:cs="Times"/>
                <w:b/>
                <w:bCs/>
                <w:sz w:val="25"/>
                <w:szCs w:val="25"/>
              </w:rPr>
            </w:pPr>
            <w:r>
              <w:rPr>
                <w:rFonts w:ascii="Times" w:hAnsi="Times" w:cs="Times"/>
                <w:b/>
                <w:bCs/>
                <w:sz w:val="25"/>
                <w:szCs w:val="25"/>
              </w:rPr>
              <w:t xml:space="preserve">podpredsedovi vlády a ministrovi financií, </w:t>
            </w:r>
            <w:r>
              <w:rPr>
                <w:rFonts w:ascii="Times" w:hAnsi="Times" w:cs="Times"/>
                <w:b/>
                <w:bCs/>
                <w:sz w:val="25"/>
                <w:szCs w:val="25"/>
              </w:rPr>
              <w:br/>
              <w:t>podpredsedovi vlády a ministrovi hospodárstva,</w:t>
            </w:r>
            <w:r>
              <w:rPr>
                <w:rFonts w:ascii="Times" w:hAnsi="Times" w:cs="Times"/>
                <w:b/>
                <w:bCs/>
                <w:sz w:val="25"/>
                <w:szCs w:val="25"/>
              </w:rPr>
              <w:br/>
              <w:t xml:space="preserve">ministrovi dopravy a výstavby, </w:t>
            </w:r>
            <w:r>
              <w:rPr>
                <w:rFonts w:ascii="Times" w:hAnsi="Times" w:cs="Times"/>
                <w:b/>
                <w:bCs/>
                <w:sz w:val="25"/>
                <w:szCs w:val="25"/>
              </w:rPr>
              <w:br/>
              <w:t>ministerke kultúry,</w:t>
            </w:r>
            <w:r>
              <w:rPr>
                <w:rFonts w:ascii="Times" w:hAnsi="Times" w:cs="Times"/>
                <w:b/>
                <w:bCs/>
                <w:sz w:val="25"/>
                <w:szCs w:val="25"/>
              </w:rPr>
              <w:br/>
              <w:t>ministrovi školstva, vedy, výskumu a športu,</w:t>
            </w:r>
            <w:r>
              <w:rPr>
                <w:rFonts w:ascii="Times" w:hAnsi="Times" w:cs="Times"/>
                <w:b/>
                <w:bCs/>
                <w:sz w:val="25"/>
                <w:szCs w:val="25"/>
              </w:rPr>
              <w:br/>
              <w:t>ministrovi vnútra,</w:t>
            </w:r>
            <w:r>
              <w:rPr>
                <w:rFonts w:ascii="Times" w:hAnsi="Times" w:cs="Times"/>
                <w:b/>
                <w:bCs/>
                <w:sz w:val="25"/>
                <w:szCs w:val="25"/>
              </w:rPr>
              <w:br/>
              <w:t>ministrovi zdravotníctva,</w:t>
            </w:r>
            <w:r>
              <w:rPr>
                <w:rFonts w:ascii="Times" w:hAnsi="Times" w:cs="Times"/>
                <w:b/>
                <w:bCs/>
                <w:sz w:val="25"/>
                <w:szCs w:val="25"/>
              </w:rPr>
              <w:br/>
              <w:t xml:space="preserve">ministrovi životného prostredia </w:t>
            </w:r>
          </w:p>
        </w:tc>
      </w:tr>
      <w:tr w:rsidR="00EE754C" w14:paraId="1F06C280" w14:textId="77777777">
        <w:trPr>
          <w:divId w:val="1327712241"/>
          <w:trHeight w:val="450"/>
          <w:jc w:val="center"/>
        </w:trPr>
        <w:tc>
          <w:tcPr>
            <w:tcW w:w="400" w:type="pct"/>
            <w:tcBorders>
              <w:top w:val="nil"/>
              <w:left w:val="nil"/>
              <w:bottom w:val="nil"/>
              <w:right w:val="nil"/>
            </w:tcBorders>
            <w:hideMark/>
          </w:tcPr>
          <w:p w14:paraId="32727592" w14:textId="77777777" w:rsidR="00EE754C" w:rsidRDefault="00EE754C">
            <w:pPr>
              <w:rPr>
                <w:rFonts w:ascii="Times" w:hAnsi="Times" w:cs="Times"/>
                <w:b/>
                <w:bCs/>
                <w:sz w:val="25"/>
                <w:szCs w:val="25"/>
              </w:rPr>
            </w:pPr>
          </w:p>
        </w:tc>
        <w:tc>
          <w:tcPr>
            <w:tcW w:w="400" w:type="pct"/>
            <w:tcBorders>
              <w:top w:val="nil"/>
              <w:left w:val="nil"/>
              <w:bottom w:val="nil"/>
              <w:right w:val="nil"/>
            </w:tcBorders>
            <w:hideMark/>
          </w:tcPr>
          <w:p w14:paraId="6C1535BB" w14:textId="77777777" w:rsidR="00EE754C" w:rsidRDefault="00EE754C">
            <w:pPr>
              <w:rPr>
                <w:rFonts w:ascii="Times" w:hAnsi="Times" w:cs="Times"/>
                <w:sz w:val="25"/>
                <w:szCs w:val="25"/>
              </w:rPr>
            </w:pPr>
            <w:r>
              <w:rPr>
                <w:rFonts w:ascii="Times" w:hAnsi="Times" w:cs="Times"/>
                <w:sz w:val="25"/>
                <w:szCs w:val="25"/>
              </w:rPr>
              <w:t>B. 1.</w:t>
            </w:r>
          </w:p>
        </w:tc>
        <w:tc>
          <w:tcPr>
            <w:tcW w:w="4200" w:type="pct"/>
            <w:tcBorders>
              <w:top w:val="nil"/>
              <w:left w:val="nil"/>
              <w:bottom w:val="nil"/>
              <w:right w:val="nil"/>
            </w:tcBorders>
            <w:hideMark/>
          </w:tcPr>
          <w:p w14:paraId="04BB4305" w14:textId="77777777" w:rsidR="00EE754C" w:rsidRDefault="00EE754C">
            <w:pPr>
              <w:rPr>
                <w:rFonts w:ascii="Times" w:hAnsi="Times" w:cs="Times"/>
                <w:sz w:val="25"/>
                <w:szCs w:val="25"/>
              </w:rPr>
            </w:pPr>
            <w:r>
              <w:rPr>
                <w:rFonts w:ascii="Times" w:hAnsi="Times" w:cs="Times"/>
                <w:sz w:val="25"/>
                <w:szCs w:val="25"/>
              </w:rPr>
              <w:t>odstrániť transpozičný deficit Slovenskej republiky spôsobom uvedeným v predloženej informácii</w:t>
            </w:r>
          </w:p>
        </w:tc>
      </w:tr>
      <w:tr w:rsidR="00EE754C" w14:paraId="75CC248D" w14:textId="77777777">
        <w:trPr>
          <w:divId w:val="1327712241"/>
          <w:trHeight w:val="450"/>
          <w:jc w:val="center"/>
        </w:trPr>
        <w:tc>
          <w:tcPr>
            <w:tcW w:w="400" w:type="pct"/>
            <w:tcBorders>
              <w:top w:val="nil"/>
              <w:left w:val="nil"/>
              <w:bottom w:val="nil"/>
              <w:right w:val="nil"/>
            </w:tcBorders>
            <w:hideMark/>
          </w:tcPr>
          <w:p w14:paraId="61607E5E" w14:textId="77777777" w:rsidR="00EE754C" w:rsidRDefault="00EE754C">
            <w:pPr>
              <w:rPr>
                <w:rFonts w:ascii="Times" w:hAnsi="Times" w:cs="Times"/>
                <w:sz w:val="25"/>
                <w:szCs w:val="25"/>
              </w:rPr>
            </w:pPr>
          </w:p>
        </w:tc>
        <w:tc>
          <w:tcPr>
            <w:tcW w:w="400" w:type="pct"/>
            <w:tcBorders>
              <w:top w:val="nil"/>
              <w:left w:val="nil"/>
              <w:bottom w:val="nil"/>
              <w:right w:val="nil"/>
            </w:tcBorders>
            <w:hideMark/>
          </w:tcPr>
          <w:p w14:paraId="4DDCBC22" w14:textId="77777777" w:rsidR="00EE754C" w:rsidRDefault="00EE754C"/>
        </w:tc>
        <w:tc>
          <w:tcPr>
            <w:tcW w:w="4200" w:type="pct"/>
            <w:tcBorders>
              <w:top w:val="nil"/>
              <w:left w:val="nil"/>
              <w:bottom w:val="nil"/>
              <w:right w:val="nil"/>
            </w:tcBorders>
            <w:hideMark/>
          </w:tcPr>
          <w:p w14:paraId="282A31FB" w14:textId="77777777" w:rsidR="00EE754C" w:rsidRDefault="00EE754C">
            <w:pPr>
              <w:rPr>
                <w:rFonts w:ascii="Times" w:hAnsi="Times" w:cs="Times"/>
                <w:sz w:val="25"/>
                <w:szCs w:val="25"/>
              </w:rPr>
            </w:pPr>
            <w:r>
              <w:rPr>
                <w:rFonts w:ascii="Times" w:hAnsi="Times" w:cs="Times"/>
                <w:i/>
                <w:iCs/>
                <w:sz w:val="25"/>
                <w:szCs w:val="25"/>
              </w:rPr>
              <w:t>ihneď,</w:t>
            </w:r>
          </w:p>
        </w:tc>
      </w:tr>
      <w:tr w:rsidR="00EE754C" w14:paraId="1462A9A9" w14:textId="77777777">
        <w:trPr>
          <w:divId w:val="1327712241"/>
          <w:trHeight w:val="450"/>
          <w:jc w:val="center"/>
        </w:trPr>
        <w:tc>
          <w:tcPr>
            <w:tcW w:w="5000" w:type="pct"/>
            <w:gridSpan w:val="3"/>
            <w:tcBorders>
              <w:top w:val="nil"/>
              <w:left w:val="nil"/>
              <w:bottom w:val="nil"/>
              <w:right w:val="nil"/>
            </w:tcBorders>
            <w:vAlign w:val="center"/>
            <w:hideMark/>
          </w:tcPr>
          <w:p w14:paraId="33A3222B" w14:textId="77777777" w:rsidR="00EE754C" w:rsidRDefault="00EE754C">
            <w:pPr>
              <w:rPr>
                <w:rFonts w:ascii="Times" w:hAnsi="Times" w:cs="Times"/>
                <w:sz w:val="25"/>
                <w:szCs w:val="25"/>
              </w:rPr>
            </w:pPr>
          </w:p>
        </w:tc>
      </w:tr>
    </w:tbl>
    <w:p w14:paraId="58EF137F" w14:textId="6E523242" w:rsidR="00596D02" w:rsidRDefault="00596D02" w:rsidP="0081708C"/>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878"/>
      </w:tblGrid>
      <w:tr w:rsidR="00557779" w14:paraId="76EC7E75" w14:textId="77777777" w:rsidTr="005E1E88">
        <w:trPr>
          <w:cantSplit/>
        </w:trPr>
        <w:tc>
          <w:tcPr>
            <w:tcW w:w="1668" w:type="dxa"/>
          </w:tcPr>
          <w:p w14:paraId="545FD5E8" w14:textId="4BD8203D" w:rsidR="00557779" w:rsidRPr="00557779" w:rsidRDefault="00557779" w:rsidP="0081708C">
            <w:pPr>
              <w:rPr>
                <w:rFonts w:ascii="Times New Roman" w:hAnsi="Times New Roman" w:cs="Times New Roman"/>
                <w:b/>
                <w:sz w:val="25"/>
                <w:szCs w:val="25"/>
              </w:rPr>
            </w:pPr>
            <w:r w:rsidRPr="00557779">
              <w:rPr>
                <w:rFonts w:ascii="Times New Roman" w:hAnsi="Times New Roman" w:cs="Times New Roman"/>
                <w:b/>
                <w:sz w:val="25"/>
                <w:szCs w:val="25"/>
              </w:rPr>
              <w:t>Vykonajú:</w:t>
            </w:r>
          </w:p>
        </w:tc>
        <w:tc>
          <w:tcPr>
            <w:tcW w:w="7878" w:type="dxa"/>
          </w:tcPr>
          <w:p w14:paraId="0C5679E6" w14:textId="43B0437B" w:rsidR="00EE754C" w:rsidRDefault="00EE754C">
            <w:pPr>
              <w:divId w:val="1696808824"/>
              <w:rPr>
                <w:rFonts w:ascii="Times" w:hAnsi="Times" w:cs="Times"/>
                <w:sz w:val="25"/>
                <w:szCs w:val="25"/>
              </w:rPr>
            </w:pPr>
            <w:r>
              <w:rPr>
                <w:rFonts w:ascii="Times" w:hAnsi="Times" w:cs="Times"/>
                <w:sz w:val="25"/>
                <w:szCs w:val="25"/>
              </w:rPr>
              <w:t>podpredseda vlády a minister financií,</w:t>
            </w:r>
          </w:p>
          <w:p w14:paraId="6C8F2E0A" w14:textId="77777777" w:rsidR="00EE754C" w:rsidRDefault="00EE754C">
            <w:pPr>
              <w:divId w:val="1696808824"/>
              <w:rPr>
                <w:rFonts w:ascii="Times" w:hAnsi="Times" w:cs="Times"/>
                <w:sz w:val="25"/>
                <w:szCs w:val="25"/>
              </w:rPr>
            </w:pPr>
            <w:r>
              <w:rPr>
                <w:rFonts w:ascii="Times" w:hAnsi="Times" w:cs="Times"/>
                <w:sz w:val="25"/>
                <w:szCs w:val="25"/>
              </w:rPr>
              <w:t>podpredseda vlády a minister hospodárstva,</w:t>
            </w:r>
          </w:p>
          <w:p w14:paraId="4BE62C65" w14:textId="77777777" w:rsidR="00EE754C" w:rsidRDefault="00EE754C">
            <w:pPr>
              <w:divId w:val="1696808824"/>
              <w:rPr>
                <w:rFonts w:ascii="Times" w:hAnsi="Times" w:cs="Times"/>
                <w:sz w:val="25"/>
                <w:szCs w:val="25"/>
              </w:rPr>
            </w:pPr>
            <w:r>
              <w:rPr>
                <w:rFonts w:ascii="Times" w:hAnsi="Times" w:cs="Times"/>
                <w:sz w:val="25"/>
                <w:szCs w:val="25"/>
              </w:rPr>
              <w:t>minister dopravy a výstavby,</w:t>
            </w:r>
          </w:p>
          <w:p w14:paraId="5841F4C8" w14:textId="77777777" w:rsidR="00EE754C" w:rsidRDefault="00EE754C">
            <w:pPr>
              <w:divId w:val="1696808824"/>
              <w:rPr>
                <w:rFonts w:ascii="Times" w:hAnsi="Times" w:cs="Times"/>
                <w:sz w:val="25"/>
                <w:szCs w:val="25"/>
              </w:rPr>
            </w:pPr>
            <w:r>
              <w:rPr>
                <w:rFonts w:ascii="Times" w:hAnsi="Times" w:cs="Times"/>
                <w:sz w:val="25"/>
                <w:szCs w:val="25"/>
              </w:rPr>
              <w:t>ministerka kultúry,</w:t>
            </w:r>
          </w:p>
          <w:p w14:paraId="7558918B" w14:textId="77777777" w:rsidR="00EE754C" w:rsidRDefault="00EE754C">
            <w:pPr>
              <w:divId w:val="1696808824"/>
              <w:rPr>
                <w:rFonts w:ascii="Times" w:hAnsi="Times" w:cs="Times"/>
                <w:sz w:val="25"/>
                <w:szCs w:val="25"/>
              </w:rPr>
            </w:pPr>
            <w:r>
              <w:rPr>
                <w:rFonts w:ascii="Times" w:hAnsi="Times" w:cs="Times"/>
                <w:sz w:val="25"/>
                <w:szCs w:val="25"/>
              </w:rPr>
              <w:t>minister školstva, vedy, výskumu a športu,</w:t>
            </w:r>
          </w:p>
          <w:p w14:paraId="61D4691F" w14:textId="77777777" w:rsidR="00EE754C" w:rsidRDefault="00EE754C">
            <w:pPr>
              <w:divId w:val="1696808824"/>
              <w:rPr>
                <w:rFonts w:ascii="Times" w:hAnsi="Times" w:cs="Times"/>
                <w:sz w:val="25"/>
                <w:szCs w:val="25"/>
              </w:rPr>
            </w:pPr>
            <w:r>
              <w:rPr>
                <w:rFonts w:ascii="Times" w:hAnsi="Times" w:cs="Times"/>
                <w:sz w:val="25"/>
                <w:szCs w:val="25"/>
              </w:rPr>
              <w:t>minister vnútra,</w:t>
            </w:r>
          </w:p>
          <w:p w14:paraId="2CD1AC32" w14:textId="77777777" w:rsidR="00EE754C" w:rsidRDefault="00EE754C">
            <w:pPr>
              <w:divId w:val="1696808824"/>
              <w:rPr>
                <w:rFonts w:ascii="Times" w:hAnsi="Times" w:cs="Times"/>
                <w:sz w:val="25"/>
                <w:szCs w:val="25"/>
              </w:rPr>
            </w:pPr>
            <w:r>
              <w:rPr>
                <w:rFonts w:ascii="Times" w:hAnsi="Times" w:cs="Times"/>
                <w:sz w:val="25"/>
                <w:szCs w:val="25"/>
              </w:rPr>
              <w:t>minister zdravotníctva,</w:t>
            </w:r>
          </w:p>
          <w:p w14:paraId="7B9DFC7F" w14:textId="5C199602" w:rsidR="00557779" w:rsidRPr="00557779" w:rsidRDefault="00EE754C" w:rsidP="00EE754C">
            <w:r>
              <w:rPr>
                <w:rFonts w:ascii="Times" w:hAnsi="Times" w:cs="Times"/>
                <w:sz w:val="25"/>
                <w:szCs w:val="25"/>
              </w:rPr>
              <w:t>minister životného prostredia</w:t>
            </w:r>
          </w:p>
        </w:tc>
      </w:tr>
      <w:tr w:rsidR="00557779" w14:paraId="7FA2E7D9" w14:textId="77777777" w:rsidTr="005E1E88">
        <w:trPr>
          <w:cantSplit/>
        </w:trPr>
        <w:tc>
          <w:tcPr>
            <w:tcW w:w="1668" w:type="dxa"/>
          </w:tcPr>
          <w:p w14:paraId="69BC451D" w14:textId="77777777" w:rsidR="00557779" w:rsidRPr="00557779" w:rsidRDefault="00557779" w:rsidP="0081708C">
            <w:pPr>
              <w:rPr>
                <w:rFonts w:ascii="Times New Roman" w:hAnsi="Times New Roman" w:cs="Times New Roman"/>
                <w:b/>
                <w:sz w:val="25"/>
                <w:szCs w:val="25"/>
              </w:rPr>
            </w:pPr>
          </w:p>
        </w:tc>
        <w:tc>
          <w:tcPr>
            <w:tcW w:w="7878" w:type="dxa"/>
          </w:tcPr>
          <w:p w14:paraId="76B4580D" w14:textId="77777777" w:rsidR="00557779" w:rsidRDefault="00557779" w:rsidP="0081708C"/>
        </w:tc>
      </w:tr>
      <w:tr w:rsidR="00557779" w14:paraId="2E92D592" w14:textId="77777777" w:rsidTr="005E1E88">
        <w:trPr>
          <w:cantSplit/>
        </w:trPr>
        <w:tc>
          <w:tcPr>
            <w:tcW w:w="1668" w:type="dxa"/>
          </w:tcPr>
          <w:p w14:paraId="27A57D39" w14:textId="16374AB0" w:rsidR="00557779" w:rsidRPr="0010780A" w:rsidRDefault="00EE754C" w:rsidP="00EE754C">
            <w:pPr>
              <w:rPr>
                <w:rFonts w:ascii="Times New Roman" w:hAnsi="Times New Roman" w:cs="Times New Roman"/>
                <w:b/>
                <w:sz w:val="10"/>
                <w:szCs w:val="10"/>
              </w:rPr>
            </w:pPr>
            <w:r>
              <w:rPr>
                <w:rFonts w:ascii="Times" w:hAnsi="Times" w:cs="Times"/>
                <w:b/>
                <w:bCs/>
                <w:sz w:val="25"/>
                <w:szCs w:val="25"/>
              </w:rPr>
              <w:t>Na vedomie:</w:t>
            </w:r>
          </w:p>
        </w:tc>
        <w:tc>
          <w:tcPr>
            <w:tcW w:w="7878" w:type="dxa"/>
          </w:tcPr>
          <w:p w14:paraId="016D786D" w14:textId="39CE267C" w:rsidR="00EE754C" w:rsidRDefault="00EE754C">
            <w:pPr>
              <w:divId w:val="985625035"/>
              <w:rPr>
                <w:rFonts w:ascii="Times" w:hAnsi="Times" w:cs="Times"/>
                <w:sz w:val="25"/>
                <w:szCs w:val="25"/>
              </w:rPr>
            </w:pPr>
            <w:r>
              <w:rPr>
                <w:rFonts w:ascii="Times" w:hAnsi="Times" w:cs="Times"/>
                <w:sz w:val="25"/>
                <w:szCs w:val="25"/>
              </w:rPr>
              <w:t>predseda Výboru Národnej rady SR pre európske záležitosti</w:t>
            </w:r>
          </w:p>
          <w:p w14:paraId="12C1C442" w14:textId="34A73B63" w:rsidR="00557779" w:rsidRDefault="00EE754C" w:rsidP="00EE754C">
            <w:r>
              <w:rPr>
                <w:rFonts w:ascii="Times" w:hAnsi="Times" w:cs="Times"/>
                <w:sz w:val="25"/>
                <w:szCs w:val="25"/>
              </w:rPr>
              <w:t>predseda Ústavnoprávneho výboru Národnej rady SR</w:t>
            </w:r>
          </w:p>
        </w:tc>
      </w:tr>
    </w:tbl>
    <w:p w14:paraId="4FF3A38B" w14:textId="77777777" w:rsidR="00557779" w:rsidRDefault="00557779" w:rsidP="0081708C"/>
    <w:sectPr w:rsidR="00557779" w:rsidSect="00C858E5">
      <w:pgSz w:w="12240" w:h="15840"/>
      <w:pgMar w:top="56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9"/>
  <w:hyphenationZone w:val="425"/>
  <w:doNotShadeFormData/>
  <w:characterSpacingControl w:val="doNotCompress"/>
  <w:doNotValidateAgainstSchema/>
  <w:updateFields w:val="true"/>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67"/>
    <w:rsid w:val="00061FED"/>
    <w:rsid w:val="00074658"/>
    <w:rsid w:val="0010780A"/>
    <w:rsid w:val="00175B8A"/>
    <w:rsid w:val="001D495F"/>
    <w:rsid w:val="00266B00"/>
    <w:rsid w:val="002B0D08"/>
    <w:rsid w:val="00356199"/>
    <w:rsid w:val="00372BCE"/>
    <w:rsid w:val="00376D2B"/>
    <w:rsid w:val="00402F32"/>
    <w:rsid w:val="00456D57"/>
    <w:rsid w:val="005151A4"/>
    <w:rsid w:val="00557779"/>
    <w:rsid w:val="00596D02"/>
    <w:rsid w:val="005E1E88"/>
    <w:rsid w:val="006740F9"/>
    <w:rsid w:val="006A2A39"/>
    <w:rsid w:val="006B6F58"/>
    <w:rsid w:val="006F2EA0"/>
    <w:rsid w:val="006F3C1D"/>
    <w:rsid w:val="006F6506"/>
    <w:rsid w:val="007C2AD6"/>
    <w:rsid w:val="0081708C"/>
    <w:rsid w:val="008462F5"/>
    <w:rsid w:val="008C3A96"/>
    <w:rsid w:val="0092640A"/>
    <w:rsid w:val="00976A51"/>
    <w:rsid w:val="009964F3"/>
    <w:rsid w:val="009C4F6D"/>
    <w:rsid w:val="00A3474E"/>
    <w:rsid w:val="00B07CB6"/>
    <w:rsid w:val="00BD2459"/>
    <w:rsid w:val="00BD562D"/>
    <w:rsid w:val="00BE47B1"/>
    <w:rsid w:val="00C0662A"/>
    <w:rsid w:val="00C604FB"/>
    <w:rsid w:val="00C82652"/>
    <w:rsid w:val="00C858E5"/>
    <w:rsid w:val="00CC3A18"/>
    <w:rsid w:val="00D26F72"/>
    <w:rsid w:val="00D30B43"/>
    <w:rsid w:val="00D912E3"/>
    <w:rsid w:val="00E22B67"/>
    <w:rsid w:val="00EA65D1"/>
    <w:rsid w:val="00EB7696"/>
    <w:rsid w:val="00ED412E"/>
    <w:rsid w:val="00EE754C"/>
    <w:rsid w:val="00F94F2B"/>
    <w:rsid w:val="00F972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D9B848F"/>
  <w14:defaultImageDpi w14:val="96"/>
  <w15:docId w15:val="{AC268D14-692E-466E-82D2-F4DC1AEE5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autoSpaceDE w:val="0"/>
      <w:autoSpaceDN w:val="0"/>
      <w:adjustRightInd w:val="0"/>
      <w:spacing w:after="0" w:line="240" w:lineRule="auto"/>
    </w:pPr>
    <w:rPr>
      <w:sz w:val="20"/>
      <w:szCs w:val="20"/>
    </w:rPr>
  </w:style>
  <w:style w:type="paragraph" w:styleId="Nadpis1">
    <w:name w:val="heading 1"/>
    <w:basedOn w:val="Normlny"/>
    <w:link w:val="Nadpis1Char"/>
    <w:uiPriority w:val="99"/>
    <w:qFormat/>
    <w:pPr>
      <w:outlineLvl w:val="0"/>
    </w:pPr>
  </w:style>
  <w:style w:type="paragraph" w:styleId="Nadpis2">
    <w:name w:val="heading 2"/>
    <w:basedOn w:val="Normlny"/>
    <w:link w:val="Nadpis2Char"/>
    <w:uiPriority w:val="99"/>
    <w:qFormat/>
    <w:pPr>
      <w:outlineLvl w:val="1"/>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Pr>
      <w:rFonts w:asciiTheme="majorHAnsi" w:eastAsiaTheme="majorEastAsia" w:hAnsiTheme="majorHAnsi" w:cstheme="majorBidi"/>
      <w:b/>
      <w:bCs/>
      <w:i/>
      <w:iCs/>
      <w:sz w:val="28"/>
      <w:szCs w:val="28"/>
    </w:rPr>
  </w:style>
  <w:style w:type="paragraph" w:styleId="Textbubliny">
    <w:name w:val="Balloon Text"/>
    <w:basedOn w:val="Normlny"/>
    <w:link w:val="TextbublinyChar"/>
    <w:uiPriority w:val="99"/>
    <w:semiHidden/>
    <w:unhideWhenUsed/>
    <w:rsid w:val="00EA65D1"/>
    <w:rPr>
      <w:rFonts w:ascii="Tahoma" w:hAnsi="Tahoma" w:cs="Tahoma"/>
      <w:sz w:val="16"/>
      <w:szCs w:val="16"/>
    </w:rPr>
  </w:style>
  <w:style w:type="character" w:customStyle="1" w:styleId="TextbublinyChar">
    <w:name w:val="Text bubliny Char"/>
    <w:basedOn w:val="Predvolenpsmoodseku"/>
    <w:link w:val="Textbubliny"/>
    <w:uiPriority w:val="99"/>
    <w:semiHidden/>
    <w:rsid w:val="00EA65D1"/>
    <w:rPr>
      <w:rFonts w:ascii="Tahoma" w:hAnsi="Tahoma" w:cs="Tahoma"/>
      <w:sz w:val="16"/>
      <w:szCs w:val="16"/>
    </w:rPr>
  </w:style>
  <w:style w:type="character" w:styleId="Odkaznakomentr">
    <w:name w:val="annotation reference"/>
    <w:basedOn w:val="Predvolenpsmoodseku"/>
    <w:uiPriority w:val="99"/>
    <w:semiHidden/>
    <w:unhideWhenUsed/>
    <w:rsid w:val="00EA65D1"/>
    <w:rPr>
      <w:sz w:val="16"/>
      <w:szCs w:val="16"/>
    </w:rPr>
  </w:style>
  <w:style w:type="paragraph" w:styleId="Textkomentra">
    <w:name w:val="annotation text"/>
    <w:basedOn w:val="Normlny"/>
    <w:link w:val="TextkomentraChar"/>
    <w:uiPriority w:val="99"/>
    <w:semiHidden/>
    <w:unhideWhenUsed/>
    <w:rsid w:val="00EA65D1"/>
  </w:style>
  <w:style w:type="character" w:customStyle="1" w:styleId="TextkomentraChar">
    <w:name w:val="Text komentára Char"/>
    <w:basedOn w:val="Predvolenpsmoodseku"/>
    <w:link w:val="Textkomentra"/>
    <w:uiPriority w:val="99"/>
    <w:semiHidden/>
    <w:rsid w:val="00EA65D1"/>
    <w:rPr>
      <w:sz w:val="20"/>
      <w:szCs w:val="20"/>
    </w:rPr>
  </w:style>
  <w:style w:type="paragraph" w:styleId="Predmetkomentra">
    <w:name w:val="annotation subject"/>
    <w:basedOn w:val="Textkomentra"/>
    <w:next w:val="Textkomentra"/>
    <w:link w:val="PredmetkomentraChar"/>
    <w:uiPriority w:val="99"/>
    <w:semiHidden/>
    <w:unhideWhenUsed/>
    <w:rsid w:val="00EA65D1"/>
    <w:rPr>
      <w:b/>
      <w:bCs/>
    </w:rPr>
  </w:style>
  <w:style w:type="character" w:customStyle="1" w:styleId="PredmetkomentraChar">
    <w:name w:val="Predmet komentára Char"/>
    <w:basedOn w:val="TextkomentraChar"/>
    <w:link w:val="Predmetkomentra"/>
    <w:uiPriority w:val="99"/>
    <w:semiHidden/>
    <w:rsid w:val="00EA65D1"/>
    <w:rPr>
      <w:b/>
      <w:bCs/>
      <w:sz w:val="20"/>
      <w:szCs w:val="20"/>
    </w:rPr>
  </w:style>
  <w:style w:type="paragraph" w:styleId="Pta">
    <w:name w:val="footer"/>
    <w:basedOn w:val="Normlny"/>
    <w:link w:val="PtaChar"/>
    <w:rsid w:val="00BD2459"/>
    <w:pPr>
      <w:keepNext/>
      <w:keepLines/>
      <w:widowControl/>
      <w:tabs>
        <w:tab w:val="center" w:pos="4536"/>
        <w:tab w:val="right" w:pos="9072"/>
      </w:tabs>
      <w:autoSpaceDE/>
      <w:autoSpaceDN/>
      <w:adjustRightInd/>
      <w:jc w:val="center"/>
    </w:pPr>
    <w:rPr>
      <w:rFonts w:eastAsia="Times New Roman" w:cs="Times New Roman"/>
      <w:sz w:val="24"/>
    </w:rPr>
  </w:style>
  <w:style w:type="character" w:customStyle="1" w:styleId="PtaChar">
    <w:name w:val="Päta Char"/>
    <w:basedOn w:val="Predvolenpsmoodseku"/>
    <w:link w:val="Pta"/>
    <w:rsid w:val="00BD2459"/>
    <w:rPr>
      <w:rFonts w:eastAsia="Times New Roman" w:cs="Times New Roman"/>
      <w:sz w:val="24"/>
      <w:szCs w:val="20"/>
    </w:rPr>
  </w:style>
  <w:style w:type="table" w:styleId="Mriekatabuky">
    <w:name w:val="Table Grid"/>
    <w:basedOn w:val="Normlnatabuka"/>
    <w:uiPriority w:val="99"/>
    <w:unhideWhenUsed/>
    <w:rsid w:val="005577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58386">
      <w:bodyDiv w:val="1"/>
      <w:marLeft w:val="0"/>
      <w:marRight w:val="0"/>
      <w:marTop w:val="0"/>
      <w:marBottom w:val="0"/>
      <w:divBdr>
        <w:top w:val="none" w:sz="0" w:space="0" w:color="auto"/>
        <w:left w:val="none" w:sz="0" w:space="0" w:color="auto"/>
        <w:bottom w:val="none" w:sz="0" w:space="0" w:color="auto"/>
        <w:right w:val="none" w:sz="0" w:space="0" w:color="auto"/>
      </w:divBdr>
    </w:div>
    <w:div w:id="371537836">
      <w:bodyDiv w:val="1"/>
      <w:marLeft w:val="0"/>
      <w:marRight w:val="0"/>
      <w:marTop w:val="0"/>
      <w:marBottom w:val="0"/>
      <w:divBdr>
        <w:top w:val="none" w:sz="0" w:space="0" w:color="auto"/>
        <w:left w:val="none" w:sz="0" w:space="0" w:color="auto"/>
        <w:bottom w:val="none" w:sz="0" w:space="0" w:color="auto"/>
        <w:right w:val="none" w:sz="0" w:space="0" w:color="auto"/>
      </w:divBdr>
    </w:div>
    <w:div w:id="985625035">
      <w:bodyDiv w:val="1"/>
      <w:marLeft w:val="0"/>
      <w:marRight w:val="0"/>
      <w:marTop w:val="0"/>
      <w:marBottom w:val="0"/>
      <w:divBdr>
        <w:top w:val="none" w:sz="0" w:space="0" w:color="auto"/>
        <w:left w:val="none" w:sz="0" w:space="0" w:color="auto"/>
        <w:bottom w:val="none" w:sz="0" w:space="0" w:color="auto"/>
        <w:right w:val="none" w:sz="0" w:space="0" w:color="auto"/>
      </w:divBdr>
    </w:div>
    <w:div w:id="1327712241">
      <w:bodyDiv w:val="1"/>
      <w:marLeft w:val="0"/>
      <w:marRight w:val="0"/>
      <w:marTop w:val="0"/>
      <w:marBottom w:val="0"/>
      <w:divBdr>
        <w:top w:val="none" w:sz="0" w:space="0" w:color="auto"/>
        <w:left w:val="none" w:sz="0" w:space="0" w:color="auto"/>
        <w:bottom w:val="none" w:sz="0" w:space="0" w:color="auto"/>
        <w:right w:val="none" w:sz="0" w:space="0" w:color="auto"/>
      </w:divBdr>
    </w:div>
    <w:div w:id="1696808824">
      <w:bodyDiv w:val="1"/>
      <w:marLeft w:val="0"/>
      <w:marRight w:val="0"/>
      <w:marTop w:val="0"/>
      <w:marBottom w:val="0"/>
      <w:divBdr>
        <w:top w:val="none" w:sz="0" w:space="0" w:color="auto"/>
        <w:left w:val="none" w:sz="0" w:space="0" w:color="auto"/>
        <w:bottom w:val="none" w:sz="0" w:space="0" w:color="auto"/>
        <w:right w:val="none" w:sz="0" w:space="0" w:color="auto"/>
      </w:divBdr>
    </w:div>
    <w:div w:id="1836411735">
      <w:bodyDiv w:val="1"/>
      <w:marLeft w:val="0"/>
      <w:marRight w:val="0"/>
      <w:marTop w:val="0"/>
      <w:marBottom w:val="0"/>
      <w:divBdr>
        <w:top w:val="none" w:sz="0" w:space="0" w:color="auto"/>
        <w:left w:val="none" w:sz="0" w:space="0" w:color="auto"/>
        <w:bottom w:val="none" w:sz="0" w:space="0" w:color="auto"/>
        <w:right w:val="none" w:sz="0" w:space="0" w:color="auto"/>
      </w:divBdr>
      <w:divsChild>
        <w:div w:id="106237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6.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fields xmlns:f="http://schemas.fabasoft.com/folio/2007/fields">
  <f:record ref="">
    <f:field ref="objname" par="" edit="true" text="Návrh uznesenia vlády"/>
    <f:field ref="objsubject" par="" edit="true" text="Návrh uznesenia vlády"/>
    <f:field ref="objcreatedby" par="" text="Administrator, System"/>
    <f:field ref="objcreatedat" par="" text="9.10.2020 14:44:45"/>
    <f:field ref="objchangedby" par="" text="Administrator, System"/>
    <f:field ref="objmodifiedat" par="" text="9.10.2020 14:44:48"/>
    <f:field ref="doc_FSCFOLIO_1_1001_FieldDocumentNumber" par="" text=""/>
    <f:field ref="doc_FSCFOLIO_1_1001_FieldSubject" par="" edit="true" text="Návrh uznesenia vlády"/>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https://ovdmasv601/sites/DMS/_layouts/15/DocIdRedir.aspx?ID=WKX3UHSAJ2R6-2-1009658</Url>
      <Description>WKX3UHSAJ2R6-2-1009658</Description>
    </_dlc_DocIdUrl>
    <_dlc_DocId xmlns="e60a29af-d413-48d4-bd90-fe9d2a897e4b">WKX3UHSAJ2R6-2-1009658</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668646B-B8C9-4245-84BA-7E53364D028A}">
  <ds:schemaRefs>
    <ds:schemaRef ds:uri="http://schemas.openxmlformats.org/officeDocument/2006/bibliography"/>
  </ds:schemaRefs>
</ds:datastoreItem>
</file>

<file path=customXml/itemProps3.xml><?xml version="1.0" encoding="utf-8"?>
<ds:datastoreItem xmlns:ds="http://schemas.openxmlformats.org/officeDocument/2006/customXml" ds:itemID="{5A8159A4-2EA0-44EC-9969-00FFD9359340}"/>
</file>

<file path=customXml/itemProps4.xml><?xml version="1.0" encoding="utf-8"?>
<ds:datastoreItem xmlns:ds="http://schemas.openxmlformats.org/officeDocument/2006/customXml" ds:itemID="{1ACBFBA5-AB67-4100-B60B-83FA725D4B18}"/>
</file>

<file path=customXml/itemProps5.xml><?xml version="1.0" encoding="utf-8"?>
<ds:datastoreItem xmlns:ds="http://schemas.openxmlformats.org/officeDocument/2006/customXml" ds:itemID="{49344E34-FD1C-4BF4-87B0-960C6FFC4638}"/>
</file>

<file path=customXml/itemProps6.xml><?xml version="1.0" encoding="utf-8"?>
<ds:datastoreItem xmlns:ds="http://schemas.openxmlformats.org/officeDocument/2006/customXml" ds:itemID="{80EE1FCA-B037-4012-BB90-E0FC5BD24207}"/>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1007</Characters>
  <Application>Microsoft Office Word</Application>
  <DocSecurity>4</DocSecurity>
  <Lines>8</Lines>
  <Paragraphs>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Pavol Gibala</dc:creator>
  <cp:lastModifiedBy>ms.slx.P.fscsrv</cp:lastModifiedBy>
  <cp:revision>2</cp:revision>
  <dcterms:created xsi:type="dcterms:W3CDTF">2020-10-09T12:44:00Z</dcterms:created>
  <dcterms:modified xsi:type="dcterms:W3CDTF">2020-10-09T12:44:00Z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COO.2145.1000.3.4039825</vt:lpwstr>
  </property>
  <property fmtid="{D5CDD505-2E9C-101B-9397-08002B2CF9AE}" pid="3" name="FSC#FSCFOLIO@1.1001:docpropproject">
    <vt:lpwstr/>
  </property>
  <property fmtid="{D5CDD505-2E9C-101B-9397-08002B2CF9AE}" pid="4" name="FSC#SKEDITIONSLOVLEX@103.510:typpredpis">
    <vt:lpwstr>Nelegislatívny všeobecný materiál</vt:lpwstr>
  </property>
  <property fmtid="{D5CDD505-2E9C-101B-9397-08002B2CF9AE}" pid="5" name="FSC#SKEDITIONSLOVLEX@103.510:stavpredpis">
    <vt:lpwstr>Vyhodnotenie medzirezortného pripomienkového konania</vt:lpwstr>
  </property>
  <property fmtid="{D5CDD505-2E9C-101B-9397-08002B2CF9AE}" pid="6" name="FSC#SKEDITIONSLOVLEX@103.510:povodpredpis">
    <vt:lpwstr>Slovlex (eLeg)</vt:lpwstr>
  </property>
  <property fmtid="{D5CDD505-2E9C-101B-9397-08002B2CF9AE}" pid="7" name="FSC#SKEDITIONSLOVLEX@103.510:legoblast">
    <vt:lpwstr>Nelegislatívna oblasť</vt:lpwstr>
  </property>
  <property fmtid="{D5CDD505-2E9C-101B-9397-08002B2CF9AE}" pid="8" name="FSC#SKEDITIONSLOVLEX@103.510:uzemplat">
    <vt:lpwstr/>
  </property>
  <property fmtid="{D5CDD505-2E9C-101B-9397-08002B2CF9AE}" pid="9" name="FSC#SKEDITIONSLOVLEX@103.510:vztahypredpis">
    <vt:lpwstr/>
  </property>
  <property fmtid="{D5CDD505-2E9C-101B-9397-08002B2CF9AE}" pid="10" name="FSC#SKEDITIONSLOVLEX@103.510:predkladatel">
    <vt:lpwstr>Mgr. Michaela Móriová</vt:lpwstr>
  </property>
  <property fmtid="{D5CDD505-2E9C-101B-9397-08002B2CF9AE}" pid="11" name="FSC#SKEDITIONSLOVLEX@103.510:zodppredkladatel">
    <vt:lpwstr>Štefan Holý</vt:lpwstr>
  </property>
  <property fmtid="{D5CDD505-2E9C-101B-9397-08002B2CF9AE}" pid="12" name="FSC#SKEDITIONSLOVLEX@103.510:nazovpredpis">
    <vt:lpwstr> Informácia o transpozičnom deficite a harmonograme jeho odstránenia</vt:lpwstr>
  </property>
  <property fmtid="{D5CDD505-2E9C-101B-9397-08002B2CF9AE}" pid="13" name="FSC#SKEDITIONSLOVLEX@103.510:cislopredpis">
    <vt:lpwstr/>
  </property>
  <property fmtid="{D5CDD505-2E9C-101B-9397-08002B2CF9AE}" pid="14" name="FSC#SKEDITIONSLOVLEX@103.510:zodpinstitucia">
    <vt:lpwstr>Úrad vlády Slovenskej republiky</vt:lpwstr>
  </property>
  <property fmtid="{D5CDD505-2E9C-101B-9397-08002B2CF9AE}" pid="15" name="FSC#SKEDITIONSLOVLEX@103.510:pripomienkovatelia">
    <vt:lpwstr/>
  </property>
  <property fmtid="{D5CDD505-2E9C-101B-9397-08002B2CF9AE}" pid="16" name="FSC#SKEDITIONSLOVLEX@103.510:autorpredpis">
    <vt:lpwstr/>
  </property>
  <property fmtid="{D5CDD505-2E9C-101B-9397-08002B2CF9AE}" pid="17" name="FSC#SKEDITIONSLOVLEX@103.510:podnetpredpis">
    <vt:lpwstr>Bod B.2. uznesenia vlády SR č. 225 z 30. marca 2011 v znení bodu C.1 uznesenia vlády SR č. 73 z 24. februára 2016 a v znení bodu C.1 uznesenia vlády SR č. 467 z 15. júla 2020</vt:lpwstr>
  </property>
  <property fmtid="{D5CDD505-2E9C-101B-9397-08002B2CF9AE}" pid="18" name="FSC#SKEDITIONSLOVLEX@103.510:plnynazovpredpis">
    <vt:lpwstr> Informácia o transpozičnom deficite a harmonograme jeho odstránenia</vt:lpwstr>
  </property>
  <property fmtid="{D5CDD505-2E9C-101B-9397-08002B2CF9AE}" pid="19" name="FSC#SKEDITIONSLOVLEX@103.510:rezortcislopredpis">
    <vt:lpwstr>6762/2020/OAP</vt:lpwstr>
  </property>
  <property fmtid="{D5CDD505-2E9C-101B-9397-08002B2CF9AE}" pid="20" name="FSC#SKEDITIONSLOVLEX@103.510:citaciapredpis">
    <vt:lpwstr/>
  </property>
  <property fmtid="{D5CDD505-2E9C-101B-9397-08002B2CF9AE}" pid="21" name="FSC#SKEDITIONSLOVLEX@103.510:spiscislouv">
    <vt:lpwstr/>
  </property>
  <property fmtid="{D5CDD505-2E9C-101B-9397-08002B2CF9AE}" pid="22" name="FSC#SKEDITIONSLOVLEX@103.510:datumschvalpredpis">
    <vt:lpwstr/>
  </property>
  <property fmtid="{D5CDD505-2E9C-101B-9397-08002B2CF9AE}" pid="23" name="FSC#SKEDITIONSLOVLEX@103.510:platneod">
    <vt:lpwstr/>
  </property>
  <property fmtid="{D5CDD505-2E9C-101B-9397-08002B2CF9AE}" pid="24" name="FSC#SKEDITIONSLOVLEX@103.510:platnedo">
    <vt:lpwstr/>
  </property>
  <property fmtid="{D5CDD505-2E9C-101B-9397-08002B2CF9AE}" pid="25" name="FSC#SKEDITIONSLOVLEX@103.510:ucinnostod">
    <vt:lpwstr/>
  </property>
  <property fmtid="{D5CDD505-2E9C-101B-9397-08002B2CF9AE}" pid="26" name="FSC#SKEDITIONSLOVLEX@103.510:ucinnostdo">
    <vt:lpwstr/>
  </property>
  <property fmtid="{D5CDD505-2E9C-101B-9397-08002B2CF9AE}" pid="27" name="FSC#SKEDITIONSLOVLEX@103.510:datumplatnosti">
    <vt:lpwstr/>
  </property>
  <property fmtid="{D5CDD505-2E9C-101B-9397-08002B2CF9AE}" pid="28" name="FSC#SKEDITIONSLOVLEX@103.510:cislolp">
    <vt:lpwstr>LP/2020/443</vt:lpwstr>
  </property>
  <property fmtid="{D5CDD505-2E9C-101B-9397-08002B2CF9AE}" pid="29" name="FSC#SKEDITIONSLOVLEX@103.510:typsprievdok">
    <vt:lpwstr>Návrh uznesenia vlády Slovenskej republiky</vt:lpwstr>
  </property>
  <property fmtid="{D5CDD505-2E9C-101B-9397-08002B2CF9AE}" pid="30" name="FSC#SKEDITIONSLOVLEX@103.510:cislopartlac">
    <vt:lpwstr/>
  </property>
  <property fmtid="{D5CDD505-2E9C-101B-9397-08002B2CF9AE}" pid="31" name="FSC#SKEDITIONSLOVLEX@103.510:AttrStrListDocPropUcelPredmetZmluvy">
    <vt:lpwstr/>
  </property>
  <property fmtid="{D5CDD505-2E9C-101B-9397-08002B2CF9AE}" pid="32" name="FSC#SKEDITIONSLOVLEX@103.510:AttrStrListDocPropUpravaPravFOPRO">
    <vt:lpwstr/>
  </property>
  <property fmtid="{D5CDD505-2E9C-101B-9397-08002B2CF9AE}" pid="33" name="FSC#SKEDITIONSLOVLEX@103.510:AttrStrListDocPropUpravaPredmetuZmluvy">
    <vt:lpwstr/>
  </property>
  <property fmtid="{D5CDD505-2E9C-101B-9397-08002B2CF9AE}" pid="34" name="FSC#SKEDITIONSLOVLEX@103.510:AttrStrListDocPropKategoriaZmluvy74">
    <vt:lpwstr/>
  </property>
  <property fmtid="{D5CDD505-2E9C-101B-9397-08002B2CF9AE}" pid="35" name="FSC#SKEDITIONSLOVLEX@103.510:AttrStrListDocPropKategoriaZmluvy75">
    <vt:lpwstr/>
  </property>
  <property fmtid="{D5CDD505-2E9C-101B-9397-08002B2CF9AE}" pid="36" name="FSC#SKEDITIONSLOVLEX@103.510:AttrStrListDocPropDopadyPrijatiaZmluvy">
    <vt:lpwstr/>
  </property>
  <property fmtid="{D5CDD505-2E9C-101B-9397-08002B2CF9AE}" pid="37" name="FSC#SKEDITIONSLOVLEX@103.510:AttrStrListDocPropProblematikaPPa">
    <vt:lpwstr/>
  </property>
  <property fmtid="{D5CDD505-2E9C-101B-9397-08002B2CF9AE}" pid="38" name="FSC#SKEDITIONSLOVLEX@103.510:AttrStrListDocPropPrimarnePravoEU">
    <vt:lpwstr/>
  </property>
  <property fmtid="{D5CDD505-2E9C-101B-9397-08002B2CF9AE}" pid="39" name="FSC#SKEDITIONSLOVLEX@103.510:AttrStrListDocPropSekundarneLegPravoPO">
    <vt:lpwstr/>
  </property>
  <property fmtid="{D5CDD505-2E9C-101B-9397-08002B2CF9AE}" pid="40" name="FSC#SKEDITIONSLOVLEX@103.510:AttrStrListDocPropSekundarneNelegPravoPO">
    <vt:lpwstr/>
  </property>
  <property fmtid="{D5CDD505-2E9C-101B-9397-08002B2CF9AE}" pid="41" name="FSC#SKEDITIONSLOVLEX@103.510:AttrStrListDocPropSekundarneLegPravoDO">
    <vt:lpwstr/>
  </property>
  <property fmtid="{D5CDD505-2E9C-101B-9397-08002B2CF9AE}" pid="42" name="FSC#SKEDITIONSLOVLEX@103.510:AttrStrListDocPropProblematikaPPb">
    <vt:lpwstr/>
  </property>
  <property fmtid="{D5CDD505-2E9C-101B-9397-08002B2CF9AE}" pid="43" name="FSC#SKEDITIONSLOVLEX@103.510:AttrStrListDocPropNazovPredpisuEU">
    <vt:lpwstr/>
  </property>
  <property fmtid="{D5CDD505-2E9C-101B-9397-08002B2CF9AE}" pid="44" name="FSC#SKEDITIONSLOVLEX@103.510:AttrStrListDocPropLehotaPrebratieSmernice">
    <vt:lpwstr/>
  </property>
  <property fmtid="{D5CDD505-2E9C-101B-9397-08002B2CF9AE}" pid="45" name="FSC#SKEDITIONSLOVLEX@103.510:AttrStrListDocPropLehotaNaPredlozenie">
    <vt:lpwstr/>
  </property>
  <property fmtid="{D5CDD505-2E9C-101B-9397-08002B2CF9AE}" pid="46" name="FSC#SKEDITIONSLOVLEX@103.510:AttrStrListDocPropInfoZaciatokKonania">
    <vt:lpwstr/>
  </property>
  <property fmtid="{D5CDD505-2E9C-101B-9397-08002B2CF9AE}" pid="47" name="FSC#SKEDITIONSLOVLEX@103.510:AttrStrListDocPropInfoUzPreberanePP">
    <vt:lpwstr/>
  </property>
  <property fmtid="{D5CDD505-2E9C-101B-9397-08002B2CF9AE}" pid="48" name="FSC#SKEDITIONSLOVLEX@103.510:AttrStrListDocPropStupenZlucitelnostiPP">
    <vt:lpwstr/>
  </property>
  <property fmtid="{D5CDD505-2E9C-101B-9397-08002B2CF9AE}" pid="49" name="FSC#SKEDITIONSLOVLEX@103.510:AttrStrListDocPropGestorSpolupRezorty">
    <vt:lpwstr/>
  </property>
  <property fmtid="{D5CDD505-2E9C-101B-9397-08002B2CF9AE}" pid="50" name="FSC#SKEDITIONSLOVLEX@103.510:AttrDateDocPropZaciatokPKK">
    <vt:lpwstr/>
  </property>
  <property fmtid="{D5CDD505-2E9C-101B-9397-08002B2CF9AE}" pid="51" name="FSC#SKEDITIONSLOVLEX@103.510:AttrDateDocPropUkonceniePKK">
    <vt:lpwstr/>
  </property>
  <property fmtid="{D5CDD505-2E9C-101B-9397-08002B2CF9AE}" pid="52" name="FSC#SKEDITIONSLOVLEX@103.510:AttrStrDocPropVplyvRozpocetVS">
    <vt:lpwstr>Žiadne</vt:lpwstr>
  </property>
  <property fmtid="{D5CDD505-2E9C-101B-9397-08002B2CF9AE}" pid="53" name="FSC#SKEDITIONSLOVLEX@103.510:AttrStrDocPropVplyvPodnikatelskeProstr">
    <vt:lpwstr>Žiadne</vt:lpwstr>
  </property>
  <property fmtid="{D5CDD505-2E9C-101B-9397-08002B2CF9AE}" pid="54" name="FSC#SKEDITIONSLOVLEX@103.510:AttrStrDocPropVplyvSocialny">
    <vt:lpwstr>Žiadne</vt:lpwstr>
  </property>
  <property fmtid="{D5CDD505-2E9C-101B-9397-08002B2CF9AE}" pid="55" name="FSC#SKEDITIONSLOVLEX@103.510:AttrStrDocPropVplyvNaZivotProstr">
    <vt:lpwstr>Žiadne</vt:lpwstr>
  </property>
  <property fmtid="{D5CDD505-2E9C-101B-9397-08002B2CF9AE}" pid="56" name="FSC#SKEDITIONSLOVLEX@103.510:AttrStrDocPropVplyvNaInformatizaciu">
    <vt:lpwstr>Žiadne</vt:lpwstr>
  </property>
  <property fmtid="{D5CDD505-2E9C-101B-9397-08002B2CF9AE}" pid="57" name="FSC#SKEDITIONSLOVLEX@103.510:AttrStrListDocPropPoznamkaVplyv">
    <vt:lpwstr/>
  </property>
  <property fmtid="{D5CDD505-2E9C-101B-9397-08002B2CF9AE}" pid="58" name="FSC#SKEDITIONSLOVLEX@103.510:AttrStrListDocPropAltRiesenia">
    <vt:lpwstr>Nie sú. </vt:lpwstr>
  </property>
  <property fmtid="{D5CDD505-2E9C-101B-9397-08002B2CF9AE}" pid="59" name="FSC#SKEDITIONSLOVLEX@103.510:AttrStrListDocPropStanoviskoGest">
    <vt:lpwstr>Predbežné pripomienkové konanie sa neuskutočnilo, keďže materiál nemá vplyv na žiadnu z posudzovaných oblastí.</vt:lpwstr>
  </property>
  <property fmtid="{D5CDD505-2E9C-101B-9397-08002B2CF9AE}" pid="60" name="FSC#SKEDITIONSLOVLEX@103.510:AttrStrListDocPropTextKomunike">
    <vt:lpwstr/>
  </property>
  <property fmtid="{D5CDD505-2E9C-101B-9397-08002B2CF9AE}" pid="61" name="FSC#SKEDITIONSLOVLEX@103.510:AttrStrListDocPropUznesenieCastA">
    <vt:lpwstr/>
  </property>
  <property fmtid="{D5CDD505-2E9C-101B-9397-08002B2CF9AE}" pid="62" name="FSC#SKEDITIONSLOVLEX@103.510:AttrStrListDocPropUznesenieZodpovednyA1">
    <vt:lpwstr/>
  </property>
  <property fmtid="{D5CDD505-2E9C-101B-9397-08002B2CF9AE}" pid="63" name="FSC#SKEDITIONSLOVLEX@103.510:AttrStrListDocPropUznesenieTextA1">
    <vt:lpwstr/>
  </property>
  <property fmtid="{D5CDD505-2E9C-101B-9397-08002B2CF9AE}" pid="64" name="FSC#SKEDITIONSLOVLEX@103.510:AttrStrListDocPropUznesenieTerminA1">
    <vt:lpwstr/>
  </property>
  <property fmtid="{D5CDD505-2E9C-101B-9397-08002B2CF9AE}" pid="65" name="FSC#SKEDITIONSLOVLEX@103.510:AttrStrListDocPropUznesenieBODA1">
    <vt:lpwstr/>
  </property>
  <property fmtid="{D5CDD505-2E9C-101B-9397-08002B2CF9AE}" pid="66" name="FSC#SKEDITIONSLOVLEX@103.510:AttrStrListDocPropUznesenieZodpovednyA2">
    <vt:lpwstr/>
  </property>
  <property fmtid="{D5CDD505-2E9C-101B-9397-08002B2CF9AE}" pid="67" name="FSC#SKEDITIONSLOVLEX@103.510:AttrStrListDocPropUznesenieTextA2">
    <vt:lpwstr/>
  </property>
  <property fmtid="{D5CDD505-2E9C-101B-9397-08002B2CF9AE}" pid="68" name="FSC#SKEDITIONSLOVLEX@103.510:AttrStrListDocPropUznesenieTerminA2">
    <vt:lpwstr/>
  </property>
  <property fmtid="{D5CDD505-2E9C-101B-9397-08002B2CF9AE}" pid="69" name="FSC#SKEDITIONSLOVLEX@103.510:AttrStrListDocPropUznesenieBODA3">
    <vt:lpwstr/>
  </property>
  <property fmtid="{D5CDD505-2E9C-101B-9397-08002B2CF9AE}" pid="70" name="FSC#SKEDITIONSLOVLEX@103.510:AttrStrListDocPropUznesenieZodpovednyA3">
    <vt:lpwstr/>
  </property>
  <property fmtid="{D5CDD505-2E9C-101B-9397-08002B2CF9AE}" pid="71" name="FSC#SKEDITIONSLOVLEX@103.510:AttrStrListDocPropUznesenieTextA3">
    <vt:lpwstr/>
  </property>
  <property fmtid="{D5CDD505-2E9C-101B-9397-08002B2CF9AE}" pid="72" name="FSC#SKEDITIONSLOVLEX@103.510:AttrStrListDocPropUznesenieTerminA3">
    <vt:lpwstr/>
  </property>
  <property fmtid="{D5CDD505-2E9C-101B-9397-08002B2CF9AE}" pid="73" name="FSC#SKEDITIONSLOVLEX@103.510:AttrStrListDocPropUznesenieBODA4">
    <vt:lpwstr/>
  </property>
  <property fmtid="{D5CDD505-2E9C-101B-9397-08002B2CF9AE}" pid="74" name="FSC#SKEDITIONSLOVLEX@103.510:AttrStrListDocPropUznesenieZodpovednyA4">
    <vt:lpwstr/>
  </property>
  <property fmtid="{D5CDD505-2E9C-101B-9397-08002B2CF9AE}" pid="75" name="FSC#SKEDITIONSLOVLEX@103.510:AttrStrListDocPropUznesenieTextA4">
    <vt:lpwstr/>
  </property>
  <property fmtid="{D5CDD505-2E9C-101B-9397-08002B2CF9AE}" pid="76" name="FSC#SKEDITIONSLOVLEX@103.510:AttrStrListDocPropUznesenieTerminA4">
    <vt:lpwstr/>
  </property>
  <property fmtid="{D5CDD505-2E9C-101B-9397-08002B2CF9AE}" pid="77" name="FSC#SKEDITIONSLOVLEX@103.510:AttrStrListDocPropUznesenieCastB">
    <vt:lpwstr/>
  </property>
  <property fmtid="{D5CDD505-2E9C-101B-9397-08002B2CF9AE}" pid="78" name="FSC#SKEDITIONSLOVLEX@103.510:AttrStrListDocPropUznesenieBODB1">
    <vt:lpwstr/>
  </property>
  <property fmtid="{D5CDD505-2E9C-101B-9397-08002B2CF9AE}" pid="79" name="FSC#SKEDITIONSLOVLEX@103.510:AttrStrListDocPropUznesenieZodpovednyB1">
    <vt:lpwstr/>
  </property>
  <property fmtid="{D5CDD505-2E9C-101B-9397-08002B2CF9AE}" pid="80" name="FSC#SKEDITIONSLOVLEX@103.510:AttrStrListDocPropUznesenieTextB1">
    <vt:lpwstr/>
  </property>
  <property fmtid="{D5CDD505-2E9C-101B-9397-08002B2CF9AE}" pid="81" name="FSC#SKEDITIONSLOVLEX@103.510:AttrStrListDocPropUznesenieTerminB1">
    <vt:lpwstr/>
  </property>
  <property fmtid="{D5CDD505-2E9C-101B-9397-08002B2CF9AE}" pid="82" name="FSC#SKEDITIONSLOVLEX@103.510:AttrStrListDocPropUznesenieBODB2">
    <vt:lpwstr/>
  </property>
  <property fmtid="{D5CDD505-2E9C-101B-9397-08002B2CF9AE}" pid="83" name="FSC#SKEDITIONSLOVLEX@103.510:AttrStrListDocPropUznesenieZodpovednyB2">
    <vt:lpwstr/>
  </property>
  <property fmtid="{D5CDD505-2E9C-101B-9397-08002B2CF9AE}" pid="84" name="FSC#SKEDITIONSLOVLEX@103.510:AttrStrListDocPropUznesenieTextB2">
    <vt:lpwstr/>
  </property>
  <property fmtid="{D5CDD505-2E9C-101B-9397-08002B2CF9AE}" pid="85" name="FSC#SKEDITIONSLOVLEX@103.510:AttrStrListDocPropUznesenieTerminB2">
    <vt:lpwstr/>
  </property>
  <property fmtid="{D5CDD505-2E9C-101B-9397-08002B2CF9AE}" pid="86" name="FSC#SKEDITIONSLOVLEX@103.510:AttrStrListDocPropUznesenieBODB3">
    <vt:lpwstr/>
  </property>
  <property fmtid="{D5CDD505-2E9C-101B-9397-08002B2CF9AE}" pid="87" name="FSC#SKEDITIONSLOVLEX@103.510:AttrStrListDocPropUznesenieZodpovednyB3">
    <vt:lpwstr/>
  </property>
  <property fmtid="{D5CDD505-2E9C-101B-9397-08002B2CF9AE}" pid="88" name="FSC#SKEDITIONSLOVLEX@103.510:AttrStrListDocPropUznesenieTextB3">
    <vt:lpwstr/>
  </property>
  <property fmtid="{D5CDD505-2E9C-101B-9397-08002B2CF9AE}" pid="89" name="FSC#SKEDITIONSLOVLEX@103.510:AttrStrListDocPropUznesenieTerminB3">
    <vt:lpwstr/>
  </property>
  <property fmtid="{D5CDD505-2E9C-101B-9397-08002B2CF9AE}" pid="90" name="FSC#SKEDITIONSLOVLEX@103.510:AttrStrListDocPropUznesenieBODB4">
    <vt:lpwstr/>
  </property>
  <property fmtid="{D5CDD505-2E9C-101B-9397-08002B2CF9AE}" pid="91" name="FSC#SKEDITIONSLOVLEX@103.510:AttrStrListDocPropUznesenieZodpovednyB4">
    <vt:lpwstr/>
  </property>
  <property fmtid="{D5CDD505-2E9C-101B-9397-08002B2CF9AE}" pid="92" name="FSC#SKEDITIONSLOVLEX@103.510:AttrStrListDocPropUznesenieTextB4">
    <vt:lpwstr/>
  </property>
  <property fmtid="{D5CDD505-2E9C-101B-9397-08002B2CF9AE}" pid="93" name="FSC#SKEDITIONSLOVLEX@103.510:AttrStrListDocPropUznesenieTerminB4">
    <vt:lpwstr/>
  </property>
  <property fmtid="{D5CDD505-2E9C-101B-9397-08002B2CF9AE}" pid="94" name="FSC#SKEDITIONSLOVLEX@103.510:AttrStrListDocPropUznesenieCastC">
    <vt:lpwstr/>
  </property>
  <property fmtid="{D5CDD505-2E9C-101B-9397-08002B2CF9AE}" pid="95" name="FSC#SKEDITIONSLOVLEX@103.510:AttrStrListDocPropUznesenieBODC1">
    <vt:lpwstr/>
  </property>
  <property fmtid="{D5CDD505-2E9C-101B-9397-08002B2CF9AE}" pid="96" name="FSC#SKEDITIONSLOVLEX@103.510:AttrStrListDocPropUznesenieZodpovednyC1">
    <vt:lpwstr/>
  </property>
  <property fmtid="{D5CDD505-2E9C-101B-9397-08002B2CF9AE}" pid="97" name="FSC#SKEDITIONSLOVLEX@103.510:AttrStrListDocPropUznesenieTextC1">
    <vt:lpwstr/>
  </property>
  <property fmtid="{D5CDD505-2E9C-101B-9397-08002B2CF9AE}" pid="98" name="FSC#SKEDITIONSLOVLEX@103.510:AttrStrListDocPropUznesenieTerminC1">
    <vt:lpwstr/>
  </property>
  <property fmtid="{D5CDD505-2E9C-101B-9397-08002B2CF9AE}" pid="99" name="FSC#SKEDITIONSLOVLEX@103.510:AttrStrListDocPropUznesenieBODC2">
    <vt:lpwstr/>
  </property>
  <property fmtid="{D5CDD505-2E9C-101B-9397-08002B2CF9AE}" pid="100" name="FSC#SKEDITIONSLOVLEX@103.510:AttrStrListDocPropUznesenieZodpovednyC2">
    <vt:lpwstr/>
  </property>
  <property fmtid="{D5CDD505-2E9C-101B-9397-08002B2CF9AE}" pid="101" name="FSC#SKEDITIONSLOVLEX@103.510:AttrStrListDocPropUznesenieTextC2">
    <vt:lpwstr/>
  </property>
  <property fmtid="{D5CDD505-2E9C-101B-9397-08002B2CF9AE}" pid="102" name="FSC#SKEDITIONSLOVLEX@103.510:AttrStrListDocPropUznesenieTerminC2">
    <vt:lpwstr/>
  </property>
  <property fmtid="{D5CDD505-2E9C-101B-9397-08002B2CF9AE}" pid="103" name="FSC#SKEDITIONSLOVLEX@103.510:AttrStrListDocPropUznesenieBODC3">
    <vt:lpwstr/>
  </property>
  <property fmtid="{D5CDD505-2E9C-101B-9397-08002B2CF9AE}" pid="104" name="FSC#SKEDITIONSLOVLEX@103.510:AttrStrListDocPropUznesenieZodpovednyC3">
    <vt:lpwstr/>
  </property>
  <property fmtid="{D5CDD505-2E9C-101B-9397-08002B2CF9AE}" pid="105" name="FSC#SKEDITIONSLOVLEX@103.510:AttrStrListDocPropUznesenieTextC3">
    <vt:lpwstr/>
  </property>
  <property fmtid="{D5CDD505-2E9C-101B-9397-08002B2CF9AE}" pid="106" name="FSC#SKEDITIONSLOVLEX@103.510:AttrStrListDocPropUznesenieTerminC3">
    <vt:lpwstr/>
  </property>
  <property fmtid="{D5CDD505-2E9C-101B-9397-08002B2CF9AE}" pid="107" name="FSC#SKEDITIONSLOVLEX@103.510:AttrStrListDocPropUznesenieBODC4">
    <vt:lpwstr/>
  </property>
  <property fmtid="{D5CDD505-2E9C-101B-9397-08002B2CF9AE}" pid="108" name="FSC#SKEDITIONSLOVLEX@103.510:AttrStrListDocPropUznesenieZodpovednyC4">
    <vt:lpwstr/>
  </property>
  <property fmtid="{D5CDD505-2E9C-101B-9397-08002B2CF9AE}" pid="109" name="FSC#SKEDITIONSLOVLEX@103.510:AttrStrListDocPropUznesenieTextC4">
    <vt:lpwstr/>
  </property>
  <property fmtid="{D5CDD505-2E9C-101B-9397-08002B2CF9AE}" pid="110" name="FSC#SKEDITIONSLOVLEX@103.510:AttrStrListDocPropUznesenieTerminC4">
    <vt:lpwstr/>
  </property>
  <property fmtid="{D5CDD505-2E9C-101B-9397-08002B2CF9AE}" pid="111" name="FSC#SKEDITIONSLOVLEX@103.510:AttrStrListDocPropUznesenieCastD">
    <vt:lpwstr/>
  </property>
  <property fmtid="{D5CDD505-2E9C-101B-9397-08002B2CF9AE}" pid="112" name="FSC#SKEDITIONSLOVLEX@103.510:AttrStrListDocPropUznesenieBODD1">
    <vt:lpwstr/>
  </property>
  <property fmtid="{D5CDD505-2E9C-101B-9397-08002B2CF9AE}" pid="113" name="FSC#SKEDITIONSLOVLEX@103.510:AttrStrListDocPropUznesenieZodpovednyD1">
    <vt:lpwstr/>
  </property>
  <property fmtid="{D5CDD505-2E9C-101B-9397-08002B2CF9AE}" pid="114" name="FSC#SKEDITIONSLOVLEX@103.510:AttrStrListDocPropUznesenieTextD1">
    <vt:lpwstr/>
  </property>
  <property fmtid="{D5CDD505-2E9C-101B-9397-08002B2CF9AE}" pid="115" name="FSC#SKEDITIONSLOVLEX@103.510:AttrStrListDocPropUznesenieTerminD1">
    <vt:lpwstr/>
  </property>
  <property fmtid="{D5CDD505-2E9C-101B-9397-08002B2CF9AE}" pid="116" name="FSC#SKEDITIONSLOVLEX@103.510:AttrStrListDocPropUznesenieBODD2">
    <vt:lpwstr/>
  </property>
  <property fmtid="{D5CDD505-2E9C-101B-9397-08002B2CF9AE}" pid="117" name="FSC#SKEDITIONSLOVLEX@103.510:AttrStrListDocPropUznesenieZodpovednyD2">
    <vt:lpwstr/>
  </property>
  <property fmtid="{D5CDD505-2E9C-101B-9397-08002B2CF9AE}" pid="118" name="FSC#SKEDITIONSLOVLEX@103.510:AttrStrListDocPropUznesenieTextD2">
    <vt:lpwstr/>
  </property>
  <property fmtid="{D5CDD505-2E9C-101B-9397-08002B2CF9AE}" pid="119" name="FSC#SKEDITIONSLOVLEX@103.510:AttrStrListDocPropUznesenieTerminD2">
    <vt:lpwstr/>
  </property>
  <property fmtid="{D5CDD505-2E9C-101B-9397-08002B2CF9AE}" pid="120" name="FSC#SKEDITIONSLOVLEX@103.510:AttrStrListDocPropUznesenieBODD3">
    <vt:lpwstr/>
  </property>
  <property fmtid="{D5CDD505-2E9C-101B-9397-08002B2CF9AE}" pid="121" name="FSC#SKEDITIONSLOVLEX@103.510:AttrStrListDocPropUznesenieZodpovednyD3">
    <vt:lpwstr/>
  </property>
  <property fmtid="{D5CDD505-2E9C-101B-9397-08002B2CF9AE}" pid="122" name="FSC#SKEDITIONSLOVLEX@103.510:AttrStrListDocPropUznesenieTextD3">
    <vt:lpwstr/>
  </property>
  <property fmtid="{D5CDD505-2E9C-101B-9397-08002B2CF9AE}" pid="123" name="FSC#SKEDITIONSLOVLEX@103.510:AttrStrListDocPropUznesenieTerminD3">
    <vt:lpwstr/>
  </property>
  <property fmtid="{D5CDD505-2E9C-101B-9397-08002B2CF9AE}" pid="124" name="FSC#SKEDITIONSLOVLEX@103.510:AttrStrListDocPropUznesenieBODD4">
    <vt:lpwstr/>
  </property>
  <property fmtid="{D5CDD505-2E9C-101B-9397-08002B2CF9AE}" pid="125" name="FSC#SKEDITIONSLOVLEX@103.510:AttrStrListDocPropUznesenieZodpovednyD4">
    <vt:lpwstr/>
  </property>
  <property fmtid="{D5CDD505-2E9C-101B-9397-08002B2CF9AE}" pid="126" name="FSC#SKEDITIONSLOVLEX@103.510:AttrStrListDocPropUznesenieTextD4">
    <vt:lpwstr/>
  </property>
  <property fmtid="{D5CDD505-2E9C-101B-9397-08002B2CF9AE}" pid="127" name="FSC#SKEDITIONSLOVLEX@103.510:AttrStrListDocPropUznesenieTerminD4">
    <vt:lpwstr/>
  </property>
  <property fmtid="{D5CDD505-2E9C-101B-9397-08002B2CF9AE}" pid="128" name="FSC#SKEDITIONSLOVLEX@103.510:AttrStrListDocPropUznesenieVykonaju">
    <vt:lpwstr>podpredseda vlády a minister financií, _x000d_
podpredseda vlády a minister hospodárstva,_x000d_
minister dopravy a výstavby, _x000d_
ministerka kultúry,_x000d_
minister školstva, vedy, výskumu a športu,_x000d_
minister vnútra,_x000d_
minister zdravotníctva,_x000d_
minister životného prostredia </vt:lpwstr>
  </property>
  <property fmtid="{D5CDD505-2E9C-101B-9397-08002B2CF9AE}" pid="129" name="FSC#SKEDITIONSLOVLEX@103.510:AttrStrListDocPropUznesenieNaVedomie">
    <vt:lpwstr>predseda Výboru Národnej rady SR pre európske záležitosti_x000d_
predseda Ústavnoprávneho výboru Národnej rady SR</vt:lpwstr>
  </property>
  <property fmtid="{D5CDD505-2E9C-101B-9397-08002B2CF9AE}" pid="130" name="FSC#SKEDITIONSLOVLEX@103.510:AttrStrListDocPropTextVseobPrilohy">
    <vt:lpwstr/>
  </property>
  <property fmtid="{D5CDD505-2E9C-101B-9397-08002B2CF9AE}" pid="131" name="FSC#SKEDITIONSLOVLEX@103.510:AttrStrListDocPropTextPredklSpravy">
    <vt:lpwstr>&lt;p&gt;Informácia o&amp;nbsp;transpozičnom deficite a&amp;nbsp;harmonograme jeho odstránenia sa predkladá na základe bodu&amp;nbsp;B.2. uznesenia vlády SR č. 225 z&amp;nbsp;30. marca 2011 v&amp;nbsp;znení bodu C.1. uznesenia vlády SR č. 73 z&amp;nbsp; 24. februára 2016 a v znení bodu C.1 uznesenia vlády SR č. 467 z 15. júla 2020, a v&amp;nbsp;súlade s odporúčaním Komisie 2005/309/ES z 12. júla 2004 k&amp;nbsp;transpozícii smerníc ovplyvňujúcich vnútorný trh do vnútroštátneho práva, podľa ktorého majú byť vlády a parlamenty členských štátov informované o&amp;nbsp;transpozičnom deficite a&amp;nbsp;majú vykonávať opatrenia na jeho odstránenie. V&amp;nbsp;záujme zabezpečenia priebežnej informovanosti vlády SR a&amp;nbsp;Národnej rady SR, bola uložená úloha vedúcemu Úradu vlády SR, aby pravidelne v&amp;nbsp;polročných intervaloch predkladal takéto informácie vláde SR. Po schválení budú informácie zasielané na vedomie aj Výboru Národnej rady SR pre európske záležitosti a&amp;nbsp;Ústavnoprávnemu výboru Národnej rady SR.&amp;nbsp;&lt;/p&gt;&lt;p&gt;&amp;nbsp;&lt;/p&gt;&lt;p&gt;Materiál okrem výpočtu smerníc, ktoré predstavujú aktuálny stav transpozičného deficitu, obsahuje informáciu o&amp;nbsp;opatreniach potrebných na odstraňovanie transpozičného deficitu a&amp;nbsp;návrh úloh adresovaných ministrom a&amp;nbsp;predsedom ostatných ústredných orgánov štátnej správy, prípadne orgánov štátnej správy sui generis, ktoré sú zamerané na odstránenie porušenia zmluvných povinností Slovenskej republiky voči Európskej únii v&amp;nbsp;oblasti aproximácie práva, súvisiacich predovšetkým s&amp;nbsp;oneskoreným a&amp;nbsp;nenáležitým preberaním smerníc do slovenského právneho poriadku, prípadne s ich notifikáciou.&amp;nbsp;&lt;/p&gt;&lt;p&gt;&amp;nbsp;&lt;/p&gt;&lt;p&gt;Predmetom materiálu je poskytnúť prehľad o všetkých smerniciach, ktorým uplynula, resp. uplynie lehota pre transpozíciu v&amp;nbsp;období do 30. novembra 2020, v&amp;nbsp;prípade ktorých stále nedošlo k&amp;nbsp;prebratiu, došlo len k čiastočnému prebratiu, prípadne nedošlo k&amp;nbsp;notifikácii príslušných vnútroštátnych transpozičných opatrení. Informácia je rozšírená o&amp;nbsp;III. časť, v&amp;nbsp;ktorej sú uvedené ďalšie legislatívne úlohy a opatrenia, vyplývajúce z&amp;nbsp;gestorstva príslušných smerníc, ktorým uplynie lehota pre transpozíciu resp. notifikáciu v&amp;nbsp;období od 1. decembra 2020 do 31. januára 2021.&lt;/p&gt;&lt;p&gt;&amp;nbsp;&lt;/p&gt;&lt;p&gt;Materiál nebude mať vplyv na rozpočet verejnej správy, vplyv na podnikateľské prostredie, sociálne vplyvy, vplyv na životné prostredie, vplyv na informatizáciu, vplyv na služby verejnej správy pre občana, ani vplyv na manželstvo, rodičovstvo a&amp;nbsp;rodinu.&lt;/p&gt;</vt:lpwstr>
  </property>
  <property fmtid="{D5CDD505-2E9C-101B-9397-08002B2CF9AE}" pid="132" name="FSC#SKEDITIONSLOVLEX@103.510:dalsipredkladatel">
    <vt:lpwstr/>
  </property>
  <property fmtid="{D5CDD505-2E9C-101B-9397-08002B2CF9AE}" pid="133" name="FSC#SKEDITIONSLOVLEX@103.510:funkciaPred">
    <vt:lpwstr/>
  </property>
  <property fmtid="{D5CDD505-2E9C-101B-9397-08002B2CF9AE}" pid="134" name="FSC#SKEDITIONSLOVLEX@103.510:funkciaPredAkuzativ">
    <vt:lpwstr/>
  </property>
  <property fmtid="{D5CDD505-2E9C-101B-9397-08002B2CF9AE}" pid="135" name="FSC#SKEDITIONSLOVLEX@103.510:funkciaPredDativ">
    <vt:lpwstr/>
  </property>
  <property fmtid="{D5CDD505-2E9C-101B-9397-08002B2CF9AE}" pid="136" name="FSC#SKEDITIONSLOVLEX@103.510:funkciaZodpPred">
    <vt:lpwstr>podpredseda vlády Slovenskej republiky</vt:lpwstr>
  </property>
  <property fmtid="{D5CDD505-2E9C-101B-9397-08002B2CF9AE}" pid="137" name="FSC#SKEDITIONSLOVLEX@103.510:funkciaZodpPredAkuzativ">
    <vt:lpwstr>podpredsedu vlády Slovenskej republiky</vt:lpwstr>
  </property>
  <property fmtid="{D5CDD505-2E9C-101B-9397-08002B2CF9AE}" pid="138" name="FSC#SKEDITIONSLOVLEX@103.510:funkciaZodpPredDativ">
    <vt:lpwstr>podpredsedovi vlády Slovenskej republiky</vt:lpwstr>
  </property>
  <property fmtid="{D5CDD505-2E9C-101B-9397-08002B2CF9AE}" pid="139" name="FSC#SKEDITIONSLOVLEX@103.510:funkciaDalsiPred">
    <vt:lpwstr/>
  </property>
  <property fmtid="{D5CDD505-2E9C-101B-9397-08002B2CF9AE}" pid="140" name="FSC#SKEDITIONSLOVLEX@103.510:funkciaDalsiPredAkuzativ">
    <vt:lpwstr/>
  </property>
  <property fmtid="{D5CDD505-2E9C-101B-9397-08002B2CF9AE}" pid="141" name="FSC#SKEDITIONSLOVLEX@103.510:funkciaDalsiPredDativ">
    <vt:lpwstr/>
  </property>
  <property fmtid="{D5CDD505-2E9C-101B-9397-08002B2CF9AE}" pid="142" name="FSC#SKEDITIONSLOVLEX@103.510:predkladateliaObalSD">
    <vt:lpwstr>Štefan Holý_x000d_
podpredseda vlády Slovenskej republiky</vt:lpwstr>
  </property>
  <property fmtid="{D5CDD505-2E9C-101B-9397-08002B2CF9AE}" pid="143" name="FSC#SKEDITIONSLOVLEX@103.510:spravaucastverej">
    <vt:lpwstr/>
  </property>
  <property fmtid="{D5CDD505-2E9C-101B-9397-08002B2CF9AE}" pid="144" name="FSC#SKEDITIONSLOVLEX@103.510:cisloparlamenttlac">
    <vt:lpwstr/>
  </property>
  <property fmtid="{D5CDD505-2E9C-101B-9397-08002B2CF9AE}" pid="145" name="FSC#SKEDITIONSLOVLEX@103.510:nazovpredpis1">
    <vt:lpwstr/>
  </property>
  <property fmtid="{D5CDD505-2E9C-101B-9397-08002B2CF9AE}" pid="146" name="FSC#SKEDITIONSLOVLEX@103.510:nazovpredpis2">
    <vt:lpwstr/>
  </property>
  <property fmtid="{D5CDD505-2E9C-101B-9397-08002B2CF9AE}" pid="147" name="FSC#SKEDITIONSLOVLEX@103.510:nazovpredpis3">
    <vt:lpwstr/>
  </property>
  <property fmtid="{D5CDD505-2E9C-101B-9397-08002B2CF9AE}" pid="148" name="FSC#SKEDITIONSLOVLEX@103.510:plnynazovpredpis1">
    <vt:lpwstr/>
  </property>
  <property fmtid="{D5CDD505-2E9C-101B-9397-08002B2CF9AE}" pid="149" name="FSC#SKEDITIONSLOVLEX@103.510:plnynazovpredpis2">
    <vt:lpwstr/>
  </property>
  <property fmtid="{D5CDD505-2E9C-101B-9397-08002B2CF9AE}" pid="150" name="FSC#SKEDITIONSLOVLEX@103.510:plnynazovpredpis3">
    <vt:lpwstr/>
  </property>
  <property fmtid="{D5CDD505-2E9C-101B-9397-08002B2CF9AE}" pid="151" name="FSC#SKEDITIONSLOVLEX@103.510:aktualnyrok">
    <vt:lpwstr>2020</vt:lpwstr>
  </property>
  <property fmtid="{D5CDD505-2E9C-101B-9397-08002B2CF9AE}" pid="152" name="FSC#SKEDITIONSLOVLEX@103.510:vytvorenedna">
    <vt:lpwstr>9. 10. 2020</vt:lpwstr>
  </property>
  <property fmtid="{D5CDD505-2E9C-101B-9397-08002B2CF9AE}" pid="153" name="ContentTypeId">
    <vt:lpwstr>0x0101006C0C8C3C1E3DCC44BECE3792677AD011</vt:lpwstr>
  </property>
  <property fmtid="{D5CDD505-2E9C-101B-9397-08002B2CF9AE}" pid="154" name="_dlc_DocIdItemGuid">
    <vt:lpwstr>f4f191f8-cd0e-4cbf-89e4-074700f10716</vt:lpwstr>
  </property>
</Properties>
</file>