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BA" w:rsidRDefault="00A073BA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D144D" w:rsidRDefault="00BD144D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(Návrh)</w:t>
      </w:r>
    </w:p>
    <w:p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VLÁDA SLOVENSKEJ REPUBLIKY</w:t>
      </w:r>
    </w:p>
    <w:p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Default="0081708C" w:rsidP="00775A4D">
            <w:pPr>
              <w:spacing w:line="36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96"/>
            </w:tblGrid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419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 ...</w:t>
                  </w:r>
                </w:p>
              </w:tc>
            </w:tr>
            <w:tr w:rsidR="0081708C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147C7" w:rsidRPr="00A33B33" w:rsidRDefault="00381C79" w:rsidP="003D16E5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k </w:t>
                  </w:r>
                  <w:r w:rsidR="003147C7" w:rsidRPr="00A33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rámcovému návrh</w:t>
                  </w:r>
                  <w:r w:rsidR="00741985" w:rsidRPr="00A33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u</w:t>
                  </w:r>
                  <w:r w:rsidR="003147C7" w:rsidRPr="00A33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realizácie </w:t>
                  </w:r>
                </w:p>
                <w:p w:rsidR="0081708C" w:rsidRPr="00CA6E29" w:rsidRDefault="00F86CD1" w:rsidP="003D16E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33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rekonštrukcie</w:t>
                  </w:r>
                  <w:r w:rsidR="00D35C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s</w:t>
                  </w:r>
                  <w:r w:rsidR="003147C7" w:rsidRPr="00A33B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ídelnej budovy Slovenského národného múzea</w:t>
                  </w:r>
                </w:p>
              </w:tc>
            </w:tr>
          </w:tbl>
          <w:p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Tr="008073D9">
        <w:trPr>
          <w:tblCellSpacing w:w="15" w:type="dxa"/>
        </w:trPr>
        <w:tc>
          <w:tcPr>
            <w:tcW w:w="1697" w:type="dxa"/>
            <w:hideMark/>
          </w:tcPr>
          <w:p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ED412E" w:rsidRDefault="000243A5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81C79">
              <w:rPr>
                <w:rFonts w:ascii="Times New Roman" w:hAnsi="Times New Roman" w:cs="Times New Roman"/>
                <w:sz w:val="25"/>
                <w:szCs w:val="25"/>
              </w:rPr>
              <w:t>kultúry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81708C" w:rsidRDefault="00D35C0A" w:rsidP="0081708C">
      <w:r>
        <w:rPr>
          <w:noProof/>
        </w:rPr>
        <w:pict w14:anchorId="3FBF5A77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:rsidR="00490140" w:rsidRDefault="00490140" w:rsidP="0081708C">
      <w:pPr>
        <w:rPr>
          <w:rFonts w:ascii="Times New Roman" w:hAnsi="Times New Roman" w:cs="Times New Roman"/>
          <w:b/>
          <w:sz w:val="22"/>
          <w:szCs w:val="32"/>
        </w:rPr>
      </w:pPr>
    </w:p>
    <w:p w:rsidR="001F0674" w:rsidRPr="00BD144D" w:rsidRDefault="001F0674" w:rsidP="0081708C">
      <w:pPr>
        <w:rPr>
          <w:rFonts w:ascii="Times New Roman" w:hAnsi="Times New Roman" w:cs="Times New Roman"/>
          <w:b/>
          <w:sz w:val="22"/>
          <w:szCs w:val="32"/>
        </w:rPr>
      </w:pPr>
    </w:p>
    <w:p w:rsidR="00E713E0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490140" w:rsidRPr="00BD144D" w:rsidRDefault="00490140" w:rsidP="0081708C">
      <w:pPr>
        <w:rPr>
          <w:rFonts w:ascii="Times New Roman" w:hAnsi="Times New Roman" w:cs="Times New Roman"/>
          <w:b/>
          <w:szCs w:val="32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770"/>
        <w:gridCol w:w="8082"/>
      </w:tblGrid>
      <w:tr w:rsidR="00E713E0" w:rsidTr="00490140">
        <w:trPr>
          <w:divId w:val="218326367"/>
          <w:trHeight w:val="450"/>
        </w:trPr>
        <w:tc>
          <w:tcPr>
            <w:tcW w:w="400" w:type="pct"/>
            <w:hideMark/>
          </w:tcPr>
          <w:p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:rsidR="00E713E0" w:rsidRDefault="00BD144D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E713E0" w:rsidTr="00490140">
        <w:trPr>
          <w:divId w:val="218326367"/>
          <w:trHeight w:val="450"/>
        </w:trPr>
        <w:tc>
          <w:tcPr>
            <w:tcW w:w="400" w:type="pct"/>
            <w:hideMark/>
          </w:tcPr>
          <w:p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A. 1.</w:t>
            </w:r>
          </w:p>
        </w:tc>
        <w:tc>
          <w:tcPr>
            <w:tcW w:w="4200" w:type="pct"/>
            <w:hideMark/>
          </w:tcPr>
          <w:p w:rsidR="00557026" w:rsidRDefault="003147C7" w:rsidP="00381C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6CD1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="00D35C0A">
              <w:rPr>
                <w:rFonts w:ascii="Times New Roman" w:hAnsi="Times New Roman"/>
                <w:bCs/>
                <w:sz w:val="24"/>
                <w:szCs w:val="24"/>
              </w:rPr>
              <w:t>ámcový návrh realizácie obnovy s</w:t>
            </w:r>
            <w:r w:rsidRPr="00F86CD1">
              <w:rPr>
                <w:rFonts w:ascii="Times New Roman" w:hAnsi="Times New Roman"/>
                <w:bCs/>
                <w:sz w:val="24"/>
                <w:szCs w:val="24"/>
              </w:rPr>
              <w:t>ídelnej budovy Slovenského národného múzea</w:t>
            </w:r>
            <w:r w:rsidR="00710A06" w:rsidRPr="00F86C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87DCC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710A06" w:rsidRPr="00F86CD1">
              <w:rPr>
                <w:rFonts w:ascii="Times New Roman" w:hAnsi="Times New Roman"/>
                <w:bCs/>
                <w:sz w:val="24"/>
                <w:szCs w:val="24"/>
              </w:rPr>
              <w:t xml:space="preserve"> vyvolaných </w:t>
            </w:r>
            <w:r w:rsidR="00F86CD1" w:rsidRPr="00E747D8">
              <w:rPr>
                <w:rFonts w:ascii="Times New Roman" w:hAnsi="Times New Roman"/>
                <w:bCs/>
                <w:sz w:val="24"/>
                <w:szCs w:val="24"/>
              </w:rPr>
              <w:t>investícií</w:t>
            </w:r>
            <w:r w:rsidR="005A2240" w:rsidRPr="00E747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111E" w:rsidRPr="00E747D8">
              <w:rPr>
                <w:rFonts w:ascii="Times New Roman" w:hAnsi="Times New Roman"/>
                <w:bCs/>
                <w:sz w:val="24"/>
                <w:szCs w:val="24"/>
              </w:rPr>
              <w:t xml:space="preserve">ktoré </w:t>
            </w:r>
            <w:r w:rsidR="005A2240" w:rsidRPr="00E747D8">
              <w:rPr>
                <w:rFonts w:ascii="Times New Roman" w:hAnsi="Times New Roman"/>
                <w:bCs/>
                <w:sz w:val="24"/>
                <w:szCs w:val="24"/>
              </w:rPr>
              <w:t>bud</w:t>
            </w:r>
            <w:r w:rsidR="0046111E" w:rsidRPr="00E747D8">
              <w:rPr>
                <w:rFonts w:ascii="Times New Roman" w:hAnsi="Times New Roman"/>
                <w:bCs/>
                <w:sz w:val="24"/>
                <w:szCs w:val="24"/>
              </w:rPr>
              <w:t>ú</w:t>
            </w:r>
            <w:r w:rsidR="005A2240" w:rsidRPr="00E747D8">
              <w:rPr>
                <w:rFonts w:ascii="Times New Roman" w:hAnsi="Times New Roman"/>
                <w:bCs/>
                <w:sz w:val="24"/>
                <w:szCs w:val="24"/>
              </w:rPr>
              <w:t xml:space="preserve"> posúden</w:t>
            </w:r>
            <w:r w:rsidR="0046111E" w:rsidRPr="00E747D8">
              <w:rPr>
                <w:rFonts w:ascii="Times New Roman" w:hAnsi="Times New Roman"/>
                <w:bCs/>
                <w:sz w:val="24"/>
                <w:szCs w:val="24"/>
              </w:rPr>
              <w:t>é</w:t>
            </w:r>
            <w:r w:rsidR="005A2240" w:rsidRPr="00E747D8">
              <w:rPr>
                <w:rFonts w:ascii="Times New Roman" w:hAnsi="Times New Roman"/>
                <w:bCs/>
                <w:sz w:val="24"/>
                <w:szCs w:val="24"/>
              </w:rPr>
              <w:t xml:space="preserve"> v štúdii uskutočniteľnosti.</w:t>
            </w:r>
            <w:r w:rsidR="005A22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10A06" w:rsidRPr="00F86C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24415" w:rsidRPr="00F86CD1" w:rsidRDefault="00C24415" w:rsidP="00381C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1E96" w:rsidRPr="00874338" w:rsidRDefault="00901E96" w:rsidP="00381C79">
            <w:pPr>
              <w:jc w:val="both"/>
              <w:rPr>
                <w:rFonts w:ascii="Times" w:hAnsi="Times" w:cs="Times"/>
                <w:bCs/>
                <w:color w:val="FF0000"/>
                <w:sz w:val="24"/>
                <w:szCs w:val="24"/>
              </w:rPr>
            </w:pPr>
          </w:p>
        </w:tc>
      </w:tr>
      <w:tr w:rsidR="00E713E0" w:rsidTr="00490140">
        <w:trPr>
          <w:divId w:val="218326367"/>
          <w:trHeight w:val="450"/>
        </w:trPr>
        <w:tc>
          <w:tcPr>
            <w:tcW w:w="400" w:type="pct"/>
            <w:hideMark/>
          </w:tcPr>
          <w:p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hideMark/>
          </w:tcPr>
          <w:p w:rsidR="00E713E0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E713E0" w:rsidTr="00490140">
        <w:trPr>
          <w:divId w:val="218326367"/>
          <w:trHeight w:val="450"/>
        </w:trPr>
        <w:tc>
          <w:tcPr>
            <w:tcW w:w="400" w:type="pct"/>
            <w:hideMark/>
          </w:tcPr>
          <w:p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:rsidR="00E713E0" w:rsidRPr="00381C79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381C79">
              <w:rPr>
                <w:rFonts w:ascii="Times" w:hAnsi="Times" w:cs="Times"/>
                <w:b/>
                <w:bCs/>
                <w:sz w:val="25"/>
                <w:szCs w:val="25"/>
              </w:rPr>
              <w:t>B. 1.</w:t>
            </w:r>
          </w:p>
        </w:tc>
        <w:tc>
          <w:tcPr>
            <w:tcW w:w="4200" w:type="pct"/>
            <w:hideMark/>
          </w:tcPr>
          <w:p w:rsidR="00381C79" w:rsidRDefault="003D16E5" w:rsidP="00DB56E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415">
              <w:rPr>
                <w:rFonts w:ascii="Times New Roman" w:hAnsi="Times New Roman"/>
                <w:kern w:val="32"/>
                <w:sz w:val="24"/>
                <w:szCs w:val="24"/>
              </w:rPr>
              <w:t>s</w:t>
            </w:r>
            <w:r w:rsidRPr="00C24415">
              <w:rPr>
                <w:rFonts w:ascii="Times New Roman" w:hAnsi="Times New Roman"/>
                <w:sz w:val="24"/>
                <w:szCs w:val="24"/>
              </w:rPr>
              <w:t xml:space="preserve">o začatím procesu </w:t>
            </w:r>
            <w:r w:rsidR="00187DCC">
              <w:rPr>
                <w:rFonts w:ascii="Times New Roman" w:hAnsi="Times New Roman"/>
                <w:sz w:val="24"/>
                <w:szCs w:val="24"/>
              </w:rPr>
              <w:t xml:space="preserve">prípravných prác, súčasťou ktorých bude vypracovanie </w:t>
            </w:r>
            <w:r w:rsidR="00541FD7">
              <w:rPr>
                <w:rFonts w:ascii="Times New Roman" w:hAnsi="Times New Roman"/>
                <w:sz w:val="24"/>
                <w:szCs w:val="24"/>
              </w:rPr>
              <w:t xml:space="preserve">statického posudku, </w:t>
            </w:r>
            <w:r w:rsidR="00187DCC">
              <w:rPr>
                <w:rFonts w:ascii="Times New Roman" w:hAnsi="Times New Roman"/>
                <w:sz w:val="24"/>
                <w:szCs w:val="24"/>
              </w:rPr>
              <w:t>BIM zamerania, architektonic</w:t>
            </w:r>
            <w:r w:rsidR="00D35C0A">
              <w:rPr>
                <w:rFonts w:ascii="Times New Roman" w:hAnsi="Times New Roman"/>
                <w:sz w:val="24"/>
                <w:szCs w:val="24"/>
              </w:rPr>
              <w:t>kej štúdie a stavebného zámeru s</w:t>
            </w:r>
            <w:r w:rsidR="00187DCC">
              <w:rPr>
                <w:rFonts w:ascii="Times New Roman" w:hAnsi="Times New Roman"/>
                <w:sz w:val="24"/>
                <w:szCs w:val="24"/>
              </w:rPr>
              <w:t xml:space="preserve">ídelnej budovy Slovenského národného múzea, ako aj vypracovanie štúdie uskutočniteľnosti </w:t>
            </w:r>
            <w:r w:rsidR="00B62ABF">
              <w:rPr>
                <w:rFonts w:ascii="Times New Roman" w:hAnsi="Times New Roman"/>
                <w:sz w:val="24"/>
                <w:szCs w:val="24"/>
              </w:rPr>
              <w:t xml:space="preserve">obnovy a rozvoja priestorov sídla </w:t>
            </w:r>
            <w:r w:rsidR="00DE345A">
              <w:rPr>
                <w:rFonts w:ascii="Times New Roman" w:hAnsi="Times New Roman"/>
                <w:sz w:val="24"/>
                <w:szCs w:val="24"/>
              </w:rPr>
              <w:t>Slovenského národného múzea</w:t>
            </w:r>
            <w:r w:rsidR="007567DA">
              <w:rPr>
                <w:rFonts w:ascii="Times New Roman" w:hAnsi="Times New Roman"/>
                <w:sz w:val="24"/>
                <w:szCs w:val="24"/>
              </w:rPr>
              <w:t xml:space="preserve"> a následne začatie verejného obstarávania projektovej dokumentácie</w:t>
            </w:r>
            <w:r w:rsidR="004966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6A5C" w:rsidRPr="00C24415" w:rsidRDefault="00E76A5C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557026" w:rsidRPr="00C24415" w:rsidRDefault="00557026" w:rsidP="00DB56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:rsidRPr="00381C79" w:rsidTr="00381C79">
        <w:trPr>
          <w:divId w:val="218326367"/>
          <w:trHeight w:val="450"/>
        </w:trPr>
        <w:tc>
          <w:tcPr>
            <w:tcW w:w="400" w:type="pct"/>
            <w:hideMark/>
          </w:tcPr>
          <w:p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hideMark/>
          </w:tcPr>
          <w:p w:rsidR="00381C79" w:rsidRPr="00381C79" w:rsidRDefault="00381C7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  <w:p w:rsidR="00381C79" w:rsidRPr="00A073BA" w:rsidRDefault="00381C79" w:rsidP="00381C79">
            <w:pPr>
              <w:rPr>
                <w:rFonts w:ascii="Times" w:hAnsi="Times" w:cs="Times"/>
                <w:b/>
                <w:bCs/>
                <w:szCs w:val="28"/>
              </w:rPr>
            </w:pPr>
          </w:p>
        </w:tc>
      </w:tr>
      <w:tr w:rsidR="00E713E0" w:rsidTr="00490140">
        <w:trPr>
          <w:divId w:val="218326367"/>
          <w:trHeight w:val="450"/>
        </w:trPr>
        <w:tc>
          <w:tcPr>
            <w:tcW w:w="400" w:type="pct"/>
            <w:hideMark/>
          </w:tcPr>
          <w:p w:rsidR="00E713E0" w:rsidRDefault="00E713E0"/>
        </w:tc>
        <w:tc>
          <w:tcPr>
            <w:tcW w:w="4600" w:type="pct"/>
            <w:gridSpan w:val="2"/>
            <w:hideMark/>
          </w:tcPr>
          <w:p w:rsidR="00E713E0" w:rsidRPr="00557026" w:rsidRDefault="00381C79">
            <w:pPr>
              <w:rPr>
                <w:rFonts w:ascii="Times" w:hAnsi="Times" w:cs="Times"/>
                <w:b/>
                <w:bCs/>
                <w:sz w:val="26"/>
                <w:szCs w:val="26"/>
              </w:rPr>
            </w:pPr>
            <w:r w:rsidRPr="00557026">
              <w:rPr>
                <w:rFonts w:ascii="Times" w:hAnsi="Times" w:cs="Times"/>
                <w:b/>
                <w:bCs/>
                <w:sz w:val="26"/>
                <w:szCs w:val="26"/>
              </w:rPr>
              <w:t>ministerke kultúry</w:t>
            </w:r>
          </w:p>
          <w:p w:rsidR="00490140" w:rsidRDefault="0049014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381C79" w:rsidTr="0049664E">
        <w:trPr>
          <w:divId w:val="218326367"/>
          <w:trHeight w:val="450"/>
        </w:trPr>
        <w:tc>
          <w:tcPr>
            <w:tcW w:w="400" w:type="pct"/>
          </w:tcPr>
          <w:p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:rsidR="00381C79" w:rsidRPr="00381C79" w:rsidRDefault="0049664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C.1.</w:t>
            </w:r>
          </w:p>
        </w:tc>
        <w:tc>
          <w:tcPr>
            <w:tcW w:w="4200" w:type="pct"/>
          </w:tcPr>
          <w:p w:rsidR="003D16E5" w:rsidRPr="00E747D8" w:rsidRDefault="000354B2" w:rsidP="00E747D8">
            <w:pPr>
              <w:pStyle w:val="Nadpis2"/>
              <w:jc w:val="both"/>
              <w:outlineLvl w:val="1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E747D8">
              <w:rPr>
                <w:rFonts w:ascii="Times New Roman" w:hAnsi="Times New Roman"/>
                <w:kern w:val="32"/>
                <w:sz w:val="24"/>
                <w:szCs w:val="24"/>
              </w:rPr>
              <w:t xml:space="preserve">do 30 dní po obdržaní ekonomického hodnotenia projektu, ktoré vypracuje Útvar hodnoty za peniaze MF SR na základe štúdie uskutočniteľnosti, </w:t>
            </w:r>
            <w:r w:rsidR="003D16E5" w:rsidRPr="00E747D8">
              <w:rPr>
                <w:rFonts w:ascii="Times New Roman" w:hAnsi="Times New Roman"/>
                <w:kern w:val="32"/>
                <w:sz w:val="24"/>
                <w:szCs w:val="24"/>
              </w:rPr>
              <w:t xml:space="preserve">predložiť na rokovanie vlády SR </w:t>
            </w:r>
            <w:r w:rsidR="00E60896" w:rsidRPr="00E747D8">
              <w:rPr>
                <w:rFonts w:ascii="Times New Roman" w:hAnsi="Times New Roman"/>
                <w:kern w:val="32"/>
                <w:sz w:val="24"/>
                <w:szCs w:val="24"/>
              </w:rPr>
              <w:t>aktualizáciu N</w:t>
            </w:r>
            <w:r w:rsidR="00D35C0A">
              <w:rPr>
                <w:rFonts w:ascii="Times New Roman" w:hAnsi="Times New Roman"/>
                <w:kern w:val="32"/>
                <w:sz w:val="24"/>
                <w:szCs w:val="24"/>
              </w:rPr>
              <w:t>ávrhu realizácie rekonštrukcie s</w:t>
            </w:r>
            <w:r w:rsidR="00E60896" w:rsidRPr="00E747D8">
              <w:rPr>
                <w:rFonts w:ascii="Times New Roman" w:hAnsi="Times New Roman"/>
                <w:kern w:val="32"/>
                <w:sz w:val="24"/>
                <w:szCs w:val="24"/>
              </w:rPr>
              <w:t>ídelnej budovy Slovenského národného múzea vrátane plánovaného rozpočtu a harmonogramu prác a po</w:t>
            </w:r>
            <w:r w:rsidR="00F227B3" w:rsidRPr="00E747D8">
              <w:rPr>
                <w:rFonts w:ascii="Times New Roman" w:hAnsi="Times New Roman"/>
                <w:kern w:val="32"/>
                <w:sz w:val="24"/>
                <w:szCs w:val="24"/>
              </w:rPr>
              <w:t>žiad</w:t>
            </w:r>
            <w:r w:rsidR="00E60896" w:rsidRPr="00E747D8">
              <w:rPr>
                <w:rFonts w:ascii="Times New Roman" w:hAnsi="Times New Roman"/>
                <w:kern w:val="32"/>
                <w:sz w:val="24"/>
                <w:szCs w:val="24"/>
              </w:rPr>
              <w:t>a</w:t>
            </w:r>
            <w:r w:rsidR="00F227B3" w:rsidRPr="00E747D8">
              <w:rPr>
                <w:rFonts w:ascii="Times New Roman" w:hAnsi="Times New Roman"/>
                <w:kern w:val="32"/>
                <w:sz w:val="24"/>
                <w:szCs w:val="24"/>
              </w:rPr>
              <w:t>ť</w:t>
            </w:r>
            <w:r w:rsidR="00E60896" w:rsidRPr="00E747D8">
              <w:rPr>
                <w:rFonts w:ascii="Times New Roman" w:hAnsi="Times New Roman"/>
                <w:kern w:val="32"/>
                <w:sz w:val="24"/>
                <w:szCs w:val="24"/>
              </w:rPr>
              <w:t xml:space="preserve"> vládu</w:t>
            </w:r>
            <w:r w:rsidR="00F227B3" w:rsidRPr="00E747D8">
              <w:rPr>
                <w:rFonts w:ascii="Times New Roman" w:hAnsi="Times New Roman"/>
                <w:kern w:val="32"/>
                <w:sz w:val="24"/>
                <w:szCs w:val="24"/>
              </w:rPr>
              <w:t xml:space="preserve"> o súhlas so začatím verejného obstarávania na projektovú dokumentáciu</w:t>
            </w:r>
            <w:r w:rsidR="0049664E" w:rsidRPr="00E747D8">
              <w:rPr>
                <w:rFonts w:ascii="Times New Roman" w:hAnsi="Times New Roman"/>
                <w:kern w:val="32"/>
                <w:sz w:val="24"/>
                <w:szCs w:val="24"/>
              </w:rPr>
              <w:t>;</w:t>
            </w:r>
          </w:p>
          <w:p w:rsidR="003D16E5" w:rsidRDefault="003D16E5" w:rsidP="0049664E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</w:p>
          <w:p w:rsidR="00A90904" w:rsidRDefault="00A90904" w:rsidP="00A90904">
            <w:pPr>
              <w:spacing w:after="100" w:afterAutospacing="1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E747D8" w:rsidRDefault="00E747D8" w:rsidP="00A90904">
            <w:pPr>
              <w:spacing w:after="100" w:afterAutospacing="1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:rsidR="005A2240" w:rsidRDefault="005A2240" w:rsidP="00A90904">
            <w:pPr>
              <w:spacing w:after="100" w:afterAutospacing="1"/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81C79" w:rsidTr="00381C79">
        <w:trPr>
          <w:divId w:val="218326367"/>
          <w:trHeight w:val="450"/>
        </w:trPr>
        <w:tc>
          <w:tcPr>
            <w:tcW w:w="400" w:type="pct"/>
          </w:tcPr>
          <w:p w:rsidR="00381C79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D.</w:t>
            </w:r>
          </w:p>
        </w:tc>
        <w:tc>
          <w:tcPr>
            <w:tcW w:w="4600" w:type="pct"/>
            <w:gridSpan w:val="2"/>
          </w:tcPr>
          <w:p w:rsidR="00381C79" w:rsidRPr="00557026" w:rsidRDefault="003D16E5" w:rsidP="00DB56EC">
            <w:pPr>
              <w:jc w:val="both"/>
              <w:rPr>
                <w:rFonts w:ascii="Times" w:hAnsi="Times" w:cs="Times"/>
                <w:b/>
                <w:bCs/>
                <w:sz w:val="26"/>
                <w:szCs w:val="26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odporúča</w:t>
            </w:r>
          </w:p>
        </w:tc>
      </w:tr>
      <w:tr w:rsidR="003D16E5" w:rsidTr="00381C79">
        <w:trPr>
          <w:divId w:val="218326367"/>
          <w:trHeight w:val="450"/>
        </w:trPr>
        <w:tc>
          <w:tcPr>
            <w:tcW w:w="400" w:type="pct"/>
          </w:tcPr>
          <w:p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primátorovi mesta Bratislavy</w:t>
            </w:r>
          </w:p>
          <w:p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starostom mestských častí Bratislavy</w:t>
            </w:r>
          </w:p>
          <w:p w:rsidR="003D16E5" w:rsidRDefault="003D16E5" w:rsidP="00A90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predsedovi Bratislavského samosprávneho kraja</w:t>
            </w:r>
          </w:p>
          <w:p w:rsidR="003D16E5" w:rsidRDefault="003D16E5" w:rsidP="00036629">
            <w:pPr>
              <w:spacing w:line="276" w:lineRule="auto"/>
              <w:rPr>
                <w:rFonts w:ascii="Times" w:hAnsi="Times" w:cs="Times"/>
                <w:b/>
                <w:bCs/>
                <w:sz w:val="26"/>
                <w:szCs w:val="26"/>
              </w:rPr>
            </w:pPr>
          </w:p>
        </w:tc>
      </w:tr>
      <w:tr w:rsidR="00381C79" w:rsidTr="00490140">
        <w:trPr>
          <w:divId w:val="218326367"/>
          <w:trHeight w:val="450"/>
        </w:trPr>
        <w:tc>
          <w:tcPr>
            <w:tcW w:w="400" w:type="pct"/>
          </w:tcPr>
          <w:p w:rsidR="00381C79" w:rsidRDefault="00381C7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:rsidR="00381C79" w:rsidRPr="00381C79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D.1.</w:t>
            </w:r>
          </w:p>
        </w:tc>
        <w:tc>
          <w:tcPr>
            <w:tcW w:w="4200" w:type="pct"/>
          </w:tcPr>
          <w:p w:rsidR="003D16E5" w:rsidRDefault="003D16E5" w:rsidP="00E747D8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poskytovať súčinnosť pri zabezpečení procesu </w:t>
            </w:r>
            <w:r w:rsidR="00D35C0A">
              <w:rPr>
                <w:rFonts w:ascii="Times New Roman" w:hAnsi="Times New Roman"/>
                <w:sz w:val="24"/>
                <w:szCs w:val="24"/>
              </w:rPr>
              <w:t>obnovy s</w:t>
            </w:r>
            <w:r w:rsidR="00281593" w:rsidRPr="00B2009C">
              <w:rPr>
                <w:rFonts w:ascii="Times New Roman" w:hAnsi="Times New Roman"/>
                <w:sz w:val="24"/>
                <w:szCs w:val="24"/>
              </w:rPr>
              <w:t>ídelnej budovy Slovenského národného múzea</w:t>
            </w:r>
          </w:p>
          <w:p w:rsidR="00E747D8" w:rsidRDefault="00E747D8" w:rsidP="00E747D8">
            <w:pPr>
              <w:pStyle w:val="Nadpis2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16E5" w:rsidRPr="003D16E5" w:rsidRDefault="003D16E5" w:rsidP="00E747D8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 31. 12. 203</w:t>
            </w:r>
            <w:r w:rsidR="0028159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381C79" w:rsidRDefault="00381C79" w:rsidP="00E747D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D16E5" w:rsidTr="003D16E5">
        <w:trPr>
          <w:divId w:val="218326367"/>
          <w:trHeight w:val="450"/>
        </w:trPr>
        <w:tc>
          <w:tcPr>
            <w:tcW w:w="400" w:type="pct"/>
          </w:tcPr>
          <w:p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600" w:type="pct"/>
            <w:gridSpan w:val="2"/>
          </w:tcPr>
          <w:p w:rsidR="003D16E5" w:rsidRDefault="003D16E5" w:rsidP="0049664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generálnemu riaditeľovi Rozhlasu a televízie Slovenska</w:t>
            </w:r>
          </w:p>
          <w:p w:rsidR="003D16E5" w:rsidRDefault="003D16E5" w:rsidP="0049664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generálnemu riaditeľovi Tlačovej agentúry Slovenskej republiky</w:t>
            </w:r>
          </w:p>
          <w:p w:rsidR="003D16E5" w:rsidRDefault="003D16E5" w:rsidP="003D16E5">
            <w:pPr>
              <w:pStyle w:val="Nadpis2"/>
              <w:spacing w:before="120" w:line="276" w:lineRule="auto"/>
              <w:ind w:left="1418" w:hanging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6E5" w:rsidTr="00490140">
        <w:trPr>
          <w:divId w:val="218326367"/>
          <w:trHeight w:val="450"/>
        </w:trPr>
        <w:tc>
          <w:tcPr>
            <w:tcW w:w="400" w:type="pct"/>
          </w:tcPr>
          <w:p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</w:tcPr>
          <w:p w:rsidR="003D16E5" w:rsidRDefault="003D16E5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D.2.</w:t>
            </w:r>
          </w:p>
        </w:tc>
        <w:tc>
          <w:tcPr>
            <w:tcW w:w="4200" w:type="pct"/>
          </w:tcPr>
          <w:p w:rsidR="003D16E5" w:rsidRDefault="003D16E5" w:rsidP="00E747D8">
            <w:pPr>
              <w:pStyle w:val="Nadpis2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zabezpečiť medializáciu </w:t>
            </w:r>
            <w:r w:rsidR="00D35C0A">
              <w:rPr>
                <w:rFonts w:ascii="Times New Roman" w:hAnsi="Times New Roman"/>
                <w:sz w:val="24"/>
                <w:szCs w:val="24"/>
              </w:rPr>
              <w:t>obnovy s</w:t>
            </w:r>
            <w:bookmarkStart w:id="0" w:name="_GoBack"/>
            <w:bookmarkEnd w:id="0"/>
            <w:r w:rsidR="00281593" w:rsidRPr="00B2009C">
              <w:rPr>
                <w:rFonts w:ascii="Times New Roman" w:hAnsi="Times New Roman"/>
                <w:sz w:val="24"/>
                <w:szCs w:val="24"/>
              </w:rPr>
              <w:t>ídelnej budovy Slovenského národného múzea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 zaradiť do programovej štruktúry Rozhlasu a televízie Slovenska spravodajské, publicistické, výchovno-vzdelávacie, umelecké a dokumentárne programy a do spravodajského servisu Tlačovej agentúry Slovenskej republiky spravodajstvo, publicistiku a projekty týkajúce </w:t>
            </w:r>
            <w:r w:rsidR="00673524">
              <w:rPr>
                <w:rFonts w:ascii="Times New Roman" w:hAnsi="Times New Roman"/>
                <w:sz w:val="24"/>
                <w:szCs w:val="24"/>
              </w:rPr>
              <w:t xml:space="preserve">sa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uvedenej </w:t>
            </w:r>
            <w:r w:rsidR="00281593">
              <w:rPr>
                <w:rFonts w:ascii="Times New Roman" w:hAnsi="Times New Roman"/>
                <w:sz w:val="24"/>
                <w:szCs w:val="24"/>
              </w:rPr>
              <w:t>obnovy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16E5" w:rsidRDefault="003D16E5" w:rsidP="00A90904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16E5" w:rsidRDefault="003D16E5" w:rsidP="00A90904">
            <w:pPr>
              <w:pStyle w:val="Nadpis2"/>
              <w:spacing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 31. 12. 20</w:t>
            </w:r>
            <w:r w:rsidR="00281593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  <w:p w:rsidR="003D16E5" w:rsidRDefault="003D16E5" w:rsidP="00A90904">
            <w:pPr>
              <w:pStyle w:val="Nadpis2"/>
              <w:spacing w:line="276" w:lineRule="auto"/>
              <w:ind w:left="1418" w:hanging="851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557779" w:rsidTr="00E76A5C">
        <w:trPr>
          <w:cantSplit/>
        </w:trPr>
        <w:tc>
          <w:tcPr>
            <w:tcW w:w="1560" w:type="dxa"/>
          </w:tcPr>
          <w:p w:rsidR="000243A5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  <w:p w:rsidR="000243A5" w:rsidRP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243A5" w:rsidRDefault="000243A5" w:rsidP="000243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57779" w:rsidRPr="000243A5" w:rsidRDefault="00557779" w:rsidP="000243A5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46" w:type="dxa"/>
          </w:tcPr>
          <w:p w:rsidR="000243A5" w:rsidRDefault="00E713E0" w:rsidP="00E713E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557026">
              <w:rPr>
                <w:rFonts w:ascii="Times" w:hAnsi="Times" w:cs="Times"/>
                <w:sz w:val="25"/>
                <w:szCs w:val="25"/>
              </w:rPr>
              <w:t>ka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57026">
              <w:rPr>
                <w:rFonts w:ascii="Times" w:hAnsi="Times" w:cs="Times"/>
                <w:sz w:val="25"/>
                <w:szCs w:val="25"/>
              </w:rPr>
              <w:t>kultúry</w:t>
            </w:r>
          </w:p>
          <w:p w:rsid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  <w:p w:rsidR="000243A5" w:rsidRPr="000243A5" w:rsidRDefault="000243A5" w:rsidP="00E713E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D16E5" w:rsidTr="00E76A5C">
        <w:trPr>
          <w:cantSplit/>
        </w:trPr>
        <w:tc>
          <w:tcPr>
            <w:tcW w:w="1560" w:type="dxa"/>
          </w:tcPr>
          <w:p w:rsidR="003D16E5" w:rsidRPr="00557779" w:rsidRDefault="003D16E5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Na vedomie</w:t>
            </w:r>
          </w:p>
        </w:tc>
        <w:tc>
          <w:tcPr>
            <w:tcW w:w="7846" w:type="dxa"/>
          </w:tcPr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generálny riaditeľ Rozhlasu a televízie Slovenska</w:t>
            </w:r>
          </w:p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generálny riaditeľ Tlačovej agentúry Slovenskej republiky</w:t>
            </w:r>
          </w:p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Združenia miest a obcí Slovenska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prezident Únie miest Slovenska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Bratislavského samosprávneho kraja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D16E5" w:rsidRDefault="003D16E5" w:rsidP="003D16E5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primátor mesta Bratislavy</w:t>
            </w:r>
          </w:p>
          <w:p w:rsidR="003D16E5" w:rsidRDefault="003D16E5" w:rsidP="003D16E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starostovia mestských častí Bratislavy</w:t>
            </w:r>
          </w:p>
        </w:tc>
      </w:tr>
      <w:tr w:rsidR="00557779" w:rsidTr="00E76A5C">
        <w:trPr>
          <w:cantSplit/>
        </w:trPr>
        <w:tc>
          <w:tcPr>
            <w:tcW w:w="1560" w:type="dxa"/>
          </w:tcPr>
          <w:p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46" w:type="dxa"/>
          </w:tcPr>
          <w:p w:rsidR="00557779" w:rsidRDefault="00557779" w:rsidP="0081708C"/>
        </w:tc>
      </w:tr>
    </w:tbl>
    <w:p w:rsidR="00557779" w:rsidRDefault="00557779" w:rsidP="0081708C"/>
    <w:sectPr w:rsidR="00557779" w:rsidSect="002F5B2F">
      <w:pgSz w:w="12240" w:h="15840"/>
      <w:pgMar w:top="56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243A5"/>
    <w:rsid w:val="000354B2"/>
    <w:rsid w:val="00036629"/>
    <w:rsid w:val="00061FED"/>
    <w:rsid w:val="00074658"/>
    <w:rsid w:val="000F2744"/>
    <w:rsid w:val="0010780A"/>
    <w:rsid w:val="0010783A"/>
    <w:rsid w:val="00160EAA"/>
    <w:rsid w:val="00175B8A"/>
    <w:rsid w:val="00183585"/>
    <w:rsid w:val="00187DCC"/>
    <w:rsid w:val="001D495F"/>
    <w:rsid w:val="001F0674"/>
    <w:rsid w:val="00247ED3"/>
    <w:rsid w:val="00266B00"/>
    <w:rsid w:val="00281593"/>
    <w:rsid w:val="002B0D08"/>
    <w:rsid w:val="002B50C6"/>
    <w:rsid w:val="002C359A"/>
    <w:rsid w:val="002F5B2F"/>
    <w:rsid w:val="003147C7"/>
    <w:rsid w:val="00353B7F"/>
    <w:rsid w:val="00356199"/>
    <w:rsid w:val="00372BCE"/>
    <w:rsid w:val="00376D2B"/>
    <w:rsid w:val="00381C79"/>
    <w:rsid w:val="003D16E5"/>
    <w:rsid w:val="00402F32"/>
    <w:rsid w:val="00424105"/>
    <w:rsid w:val="00433676"/>
    <w:rsid w:val="00456D57"/>
    <w:rsid w:val="0046111E"/>
    <w:rsid w:val="00471683"/>
    <w:rsid w:val="00481ABB"/>
    <w:rsid w:val="00490140"/>
    <w:rsid w:val="0049664E"/>
    <w:rsid w:val="005151A4"/>
    <w:rsid w:val="00541FD7"/>
    <w:rsid w:val="00557026"/>
    <w:rsid w:val="00557779"/>
    <w:rsid w:val="00566BDF"/>
    <w:rsid w:val="00596D02"/>
    <w:rsid w:val="005A2240"/>
    <w:rsid w:val="005B63A2"/>
    <w:rsid w:val="005C158E"/>
    <w:rsid w:val="005C3899"/>
    <w:rsid w:val="005E1E88"/>
    <w:rsid w:val="005F354E"/>
    <w:rsid w:val="0061544A"/>
    <w:rsid w:val="006343AC"/>
    <w:rsid w:val="00673524"/>
    <w:rsid w:val="006740F9"/>
    <w:rsid w:val="006A2A39"/>
    <w:rsid w:val="006B6F58"/>
    <w:rsid w:val="006D0145"/>
    <w:rsid w:val="006F2EA0"/>
    <w:rsid w:val="006F3C1D"/>
    <w:rsid w:val="006F6506"/>
    <w:rsid w:val="00710A06"/>
    <w:rsid w:val="00741985"/>
    <w:rsid w:val="007567DA"/>
    <w:rsid w:val="00773190"/>
    <w:rsid w:val="00775A4D"/>
    <w:rsid w:val="007C2AD6"/>
    <w:rsid w:val="0081708C"/>
    <w:rsid w:val="008462F5"/>
    <w:rsid w:val="00874338"/>
    <w:rsid w:val="008A3AE6"/>
    <w:rsid w:val="008C3A96"/>
    <w:rsid w:val="00901E96"/>
    <w:rsid w:val="0092640A"/>
    <w:rsid w:val="00976A51"/>
    <w:rsid w:val="009964F3"/>
    <w:rsid w:val="009B00B1"/>
    <w:rsid w:val="009C4F6D"/>
    <w:rsid w:val="009E2244"/>
    <w:rsid w:val="009F6398"/>
    <w:rsid w:val="00A073BA"/>
    <w:rsid w:val="00A33B33"/>
    <w:rsid w:val="00A3474E"/>
    <w:rsid w:val="00A90904"/>
    <w:rsid w:val="00AC74C6"/>
    <w:rsid w:val="00B07CB6"/>
    <w:rsid w:val="00B145F6"/>
    <w:rsid w:val="00B2009C"/>
    <w:rsid w:val="00B56A9F"/>
    <w:rsid w:val="00B62ABF"/>
    <w:rsid w:val="00BA26DA"/>
    <w:rsid w:val="00BD144D"/>
    <w:rsid w:val="00BD2459"/>
    <w:rsid w:val="00BD562D"/>
    <w:rsid w:val="00BE47B1"/>
    <w:rsid w:val="00C0662A"/>
    <w:rsid w:val="00C24415"/>
    <w:rsid w:val="00C604FB"/>
    <w:rsid w:val="00C82652"/>
    <w:rsid w:val="00C858E5"/>
    <w:rsid w:val="00CC3A18"/>
    <w:rsid w:val="00D01CEA"/>
    <w:rsid w:val="00D26F72"/>
    <w:rsid w:val="00D30B43"/>
    <w:rsid w:val="00D35C0A"/>
    <w:rsid w:val="00D912E3"/>
    <w:rsid w:val="00DB56EC"/>
    <w:rsid w:val="00DE345A"/>
    <w:rsid w:val="00DF47E4"/>
    <w:rsid w:val="00E1636B"/>
    <w:rsid w:val="00E22B67"/>
    <w:rsid w:val="00E60896"/>
    <w:rsid w:val="00E713E0"/>
    <w:rsid w:val="00E747D8"/>
    <w:rsid w:val="00E76A5C"/>
    <w:rsid w:val="00EA65D1"/>
    <w:rsid w:val="00EB7696"/>
    <w:rsid w:val="00ED412E"/>
    <w:rsid w:val="00F227B3"/>
    <w:rsid w:val="00F70F5A"/>
    <w:rsid w:val="00F86CD1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87DCC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87DC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1.2022 10:13:47"/>
    <f:field ref="objchangedby" par="" text="Administrator, System"/>
    <f:field ref="objmodifiedat" par="" text="29.11.2022 10:13:5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https://ovdmasv601/sites/DMS/_layouts/15/DocIdRedir.aspx?ID=WKX3UHSAJ2R6-2-1245013</Url>
      <Description>WKX3UHSAJ2R6-2-1245013</Description>
    </_dlc_DocIdUrl>
    <_dlc_DocId xmlns="e60a29af-d413-48d4-bd90-fe9d2a897e4b">WKX3UHSAJ2R6-2-1245013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FDAB-1932-43BA-A394-68266767E3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C26FB9-AFB3-4E8F-9F89-FDF4DC856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350207D-FC58-4FDE-A91D-0D5AA322E8A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C1317A30-3B5B-4B39-8CAD-CCB1A995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8FE89E-25A2-4192-AA01-76BFE227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Wiedemann Miroslav</cp:lastModifiedBy>
  <cp:revision>14</cp:revision>
  <cp:lastPrinted>2023-06-23T11:32:00Z</cp:lastPrinted>
  <dcterms:created xsi:type="dcterms:W3CDTF">2023-08-07T09:42:00Z</dcterms:created>
  <dcterms:modified xsi:type="dcterms:W3CDTF">2023-08-30T09:45:00Z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COO.2145.1000.3.5377711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Silvia Blahová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Akčný plán ku Koncepcii organizácie a rozvoja integrovaného záchranného systému do roku 2027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Slovenskej republiky č. 226 z 30. marca 2022</vt:lpwstr>
  </property>
  <property fmtid="{D5CDD505-2E9C-101B-9397-08002B2CF9AE}" pid="18" name="FSC#SKEDITIONSLOVLEX@103.510:plnynazovpredpis">
    <vt:lpwstr> Akčný plán ku Koncepcii organizácie a rozvoja integrovaného záchranného systému do roku 2027 </vt:lpwstr>
  </property>
  <property fmtid="{D5CDD505-2E9C-101B-9397-08002B2CF9AE}" pid="19" name="FSC#SKEDITIONSLOVLEX@103.510:rezortcislopredpis">
    <vt:lpwstr>KM-OPVA-2022/004802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LP/2022/812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vnútra_x000d_
minister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vnútra Slovenskej republiky v&amp;nbsp;spolupráci s Ministerstvom zdravotníctva Slovenskej republiky vypracovalo Akčný plán ku Koncepcii organizácie a rozvoja integrovaného záchranného systému do roku 2027. Akčný plán je vypracovaný na základe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29. 11. 2022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a8b694c4-f1cf-4c5b-b4c1-e4182dc9a963</vt:lpwstr>
  </property>
</Properties>
</file>