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styles.xml" ContentType="application/vnd.openxmlformats-officedocument.wordprocessingml.styl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10A5" w:rsidRPr="00661635" w:rsidRDefault="00D710A5" w:rsidP="00D710A5">
      <w:pPr>
        <w:widowControl/>
        <w:spacing w:after="0" w:line="240" w:lineRule="auto"/>
        <w:jc w:val="center"/>
        <w:rPr>
          <w:rFonts w:ascii="Times New Roman" w:hAnsi="Times New Roman" w:cs="Calibri"/>
          <w:b/>
          <w:caps/>
          <w:sz w:val="28"/>
          <w:szCs w:val="28"/>
        </w:rPr>
      </w:pPr>
      <w:bookmarkStart w:id="0" w:name="_GoBack"/>
      <w:bookmarkEnd w:id="0"/>
      <w:r w:rsidRPr="00661635">
        <w:rPr>
          <w:rFonts w:ascii="Times New Roman" w:hAnsi="Times New Roman" w:cs="Calibri"/>
          <w:b/>
          <w:caps/>
          <w:sz w:val="28"/>
          <w:szCs w:val="28"/>
        </w:rPr>
        <w:t>vznesené Pripomienky v rámci medzirezortného pripomienkového konania</w:t>
      </w:r>
    </w:p>
    <w:p w:rsidR="002F00DB" w:rsidRPr="005A1161" w:rsidRDefault="002F00DB" w:rsidP="00D710A5">
      <w:pPr>
        <w:widowControl/>
        <w:spacing w:after="0" w:line="240" w:lineRule="auto"/>
        <w:jc w:val="center"/>
        <w:rPr>
          <w:rFonts w:ascii="Times New Roman" w:hAnsi="Times New Roman" w:cs="Calibri"/>
          <w:b/>
          <w:caps/>
          <w:sz w:val="20"/>
          <w:szCs w:val="20"/>
        </w:rPr>
      </w:pPr>
    </w:p>
    <w:p w:rsidR="00372453" w:rsidRDefault="00372453">
      <w:pPr>
        <w:jc w:val="center"/>
        <w:divId w:val="637222142"/>
        <w:rPr>
          <w:rFonts w:ascii="Times" w:hAnsi="Times" w:cs="Times"/>
          <w:sz w:val="25"/>
          <w:szCs w:val="25"/>
        </w:rPr>
      </w:pPr>
      <w:r>
        <w:rPr>
          <w:rFonts w:ascii="Times" w:hAnsi="Times" w:cs="Times"/>
          <w:sz w:val="25"/>
          <w:szCs w:val="25"/>
        </w:rPr>
        <w:t>Štatút Slovenskej komisie pre UNESCO</w:t>
      </w:r>
    </w:p>
    <w:p w:rsidR="00D710A5" w:rsidRPr="005A1161" w:rsidRDefault="00D710A5" w:rsidP="00D710A5">
      <w:pPr>
        <w:widowControl/>
        <w:spacing w:after="0" w:line="240" w:lineRule="auto"/>
        <w:rPr>
          <w:rFonts w:ascii="Times New Roman" w:hAnsi="Times New Roman" w:cs="Calibri"/>
          <w:sz w:val="20"/>
          <w:szCs w:val="20"/>
        </w:rPr>
      </w:pPr>
    </w:p>
    <w:p w:rsidR="00BA14D6" w:rsidRPr="005A1161" w:rsidRDefault="00BA14D6" w:rsidP="00D710A5">
      <w:pPr>
        <w:widowControl/>
        <w:spacing w:after="0" w:line="240" w:lineRule="auto"/>
        <w:rPr>
          <w:rFonts w:ascii="Times New Roman" w:hAnsi="Times New Roman" w:cs="Calibri"/>
          <w:sz w:val="20"/>
          <w:szCs w:val="20"/>
        </w:rPr>
      </w:pPr>
    </w:p>
    <w:tbl>
      <w:tblPr>
        <w:tblW w:w="14322" w:type="dxa"/>
        <w:tblCellMar>
          <w:left w:w="0" w:type="dxa"/>
          <w:right w:w="0" w:type="dxa"/>
        </w:tblCellMar>
        <w:tblLook w:val="0000" w:firstRow="0" w:lastRow="0" w:firstColumn="0" w:lastColumn="0" w:noHBand="0" w:noVBand="0"/>
      </w:tblPr>
      <w:tblGrid>
        <w:gridCol w:w="6379"/>
        <w:gridCol w:w="7943"/>
      </w:tblGrid>
      <w:tr w:rsidR="00D710A5" w:rsidRPr="005A1161" w:rsidTr="00087ADB">
        <w:tc>
          <w:tcPr>
            <w:tcW w:w="6379" w:type="dxa"/>
            <w:tcBorders>
              <w:top w:val="nil"/>
              <w:left w:val="nil"/>
              <w:bottom w:val="nil"/>
              <w:right w:val="nil"/>
            </w:tcBorders>
          </w:tcPr>
          <w:p w:rsidR="00D710A5" w:rsidRPr="00772C99" w:rsidRDefault="0087529A" w:rsidP="00F10D72">
            <w:pPr>
              <w:widowControl/>
              <w:spacing w:after="0" w:line="240" w:lineRule="auto"/>
              <w:rPr>
                <w:rFonts w:ascii="Times New Roman" w:hAnsi="Times New Roman" w:cs="Calibri"/>
                <w:sz w:val="25"/>
                <w:szCs w:val="25"/>
              </w:rPr>
            </w:pPr>
            <w:r w:rsidRPr="00772C99">
              <w:rPr>
                <w:rFonts w:ascii="Times New Roman" w:hAnsi="Times New Roman" w:cs="Calibri"/>
                <w:sz w:val="25"/>
                <w:szCs w:val="25"/>
              </w:rPr>
              <w:t>Počet vznesených pripomienok, z toho zásadných</w:t>
            </w:r>
          </w:p>
        </w:tc>
        <w:tc>
          <w:tcPr>
            <w:tcW w:w="7943" w:type="dxa"/>
            <w:tcBorders>
              <w:top w:val="nil"/>
              <w:left w:val="nil"/>
              <w:bottom w:val="nil"/>
              <w:right w:val="nil"/>
            </w:tcBorders>
          </w:tcPr>
          <w:p w:rsidR="00D710A5" w:rsidRPr="005A1161" w:rsidRDefault="00372453" w:rsidP="00372453">
            <w:pPr>
              <w:widowControl/>
              <w:spacing w:after="0" w:line="240" w:lineRule="auto"/>
              <w:rPr>
                <w:rFonts w:ascii="Times New Roman" w:hAnsi="Times New Roman" w:cs="Calibri"/>
                <w:sz w:val="20"/>
                <w:szCs w:val="20"/>
              </w:rPr>
            </w:pPr>
            <w:r>
              <w:rPr>
                <w:rFonts w:ascii="Times" w:hAnsi="Times" w:cs="Times"/>
                <w:sz w:val="25"/>
                <w:szCs w:val="25"/>
              </w:rPr>
              <w:t>44 / 2</w:t>
            </w:r>
          </w:p>
        </w:tc>
      </w:tr>
    </w:tbl>
    <w:p w:rsidR="00D710A5" w:rsidRPr="005A1161" w:rsidRDefault="00D710A5" w:rsidP="00D710A5">
      <w:pPr>
        <w:pStyle w:val="Zkladntext"/>
        <w:widowControl/>
        <w:jc w:val="both"/>
        <w:rPr>
          <w:b w:val="0"/>
          <w:bCs w:val="0"/>
          <w:color w:val="000000"/>
          <w:sz w:val="20"/>
          <w:szCs w:val="20"/>
        </w:rPr>
      </w:pPr>
    </w:p>
    <w:p w:rsidR="00372453" w:rsidRDefault="00372453" w:rsidP="00D710A5">
      <w:pPr>
        <w:widowControl/>
        <w:spacing w:after="0" w:line="240" w:lineRule="auto"/>
        <w:rPr>
          <w:rFonts w:ascii="Times New Roman" w:hAnsi="Times New Roman" w:cs="Calibri"/>
          <w:sz w:val="20"/>
          <w:szCs w:val="20"/>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4247"/>
        <w:gridCol w:w="8492"/>
        <w:gridCol w:w="1415"/>
      </w:tblGrid>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jc w:val="center"/>
              <w:rPr>
                <w:rFonts w:ascii="Times" w:hAnsi="Times" w:cs="Times"/>
                <w:b/>
                <w:bCs/>
                <w:sz w:val="25"/>
                <w:szCs w:val="25"/>
              </w:rPr>
            </w:pPr>
            <w:r>
              <w:rPr>
                <w:rFonts w:ascii="Times" w:hAnsi="Times" w:cs="Times"/>
                <w:b/>
                <w:bCs/>
                <w:sz w:val="25"/>
                <w:szCs w:val="25"/>
              </w:rPr>
              <w:t>Subjekt</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jc w:val="center"/>
              <w:rPr>
                <w:rFonts w:ascii="Times" w:hAnsi="Times" w:cs="Times"/>
                <w:b/>
                <w:bCs/>
                <w:sz w:val="25"/>
                <w:szCs w:val="25"/>
              </w:rPr>
            </w:pPr>
            <w:r>
              <w:rPr>
                <w:rFonts w:ascii="Times" w:hAnsi="Times" w:cs="Times"/>
                <w:b/>
                <w:bCs/>
                <w:sz w:val="25"/>
                <w:szCs w:val="25"/>
              </w:rPr>
              <w:t>Pripomienka</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jc w:val="center"/>
              <w:rPr>
                <w:rFonts w:ascii="Times" w:hAnsi="Times" w:cs="Times"/>
                <w:b/>
                <w:bCs/>
                <w:sz w:val="25"/>
                <w:szCs w:val="25"/>
              </w:rPr>
            </w:pPr>
            <w:r>
              <w:rPr>
                <w:rFonts w:ascii="Times" w:hAnsi="Times" w:cs="Times"/>
                <w:b/>
                <w:bCs/>
                <w:sz w:val="25"/>
                <w:szCs w:val="25"/>
              </w:rPr>
              <w:t>Typ</w:t>
            </w: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ÚVO</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Bez pripomienok.</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jc w:val="center"/>
              <w:rPr>
                <w:rFonts w:ascii="Times" w:hAnsi="Times" w:cs="Times"/>
                <w:b/>
                <w:bCs/>
                <w:sz w:val="25"/>
                <w:szCs w:val="25"/>
              </w:rPr>
            </w:pPr>
            <w:r>
              <w:rPr>
                <w:rFonts w:ascii="Times" w:hAnsi="Times" w:cs="Times"/>
                <w:b/>
                <w:bCs/>
                <w:sz w:val="25"/>
                <w:szCs w:val="25"/>
              </w:rPr>
              <w:t>O</w:t>
            </w: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PMÚSR</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bez pripomienok</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jc w:val="center"/>
              <w:rPr>
                <w:rFonts w:ascii="Times" w:hAnsi="Times" w:cs="Times"/>
                <w:b/>
                <w:bCs/>
                <w:sz w:val="25"/>
                <w:szCs w:val="25"/>
              </w:rPr>
            </w:pPr>
            <w:r>
              <w:rPr>
                <w:rFonts w:ascii="Times" w:hAnsi="Times" w:cs="Times"/>
                <w:b/>
                <w:bCs/>
                <w:sz w:val="25"/>
                <w:szCs w:val="25"/>
              </w:rPr>
              <w:t>O</w:t>
            </w: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PMÚSR</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bez pripomienok</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jc w:val="center"/>
              <w:rPr>
                <w:rFonts w:ascii="Times" w:hAnsi="Times" w:cs="Times"/>
                <w:b/>
                <w:bCs/>
                <w:sz w:val="25"/>
                <w:szCs w:val="25"/>
              </w:rPr>
            </w:pPr>
            <w:r>
              <w:rPr>
                <w:rFonts w:ascii="Times" w:hAnsi="Times" w:cs="Times"/>
                <w:b/>
                <w:bCs/>
                <w:sz w:val="25"/>
                <w:szCs w:val="25"/>
              </w:rPr>
              <w:t>O</w:t>
            </w: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NBS</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Bez pripomienok.</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jc w:val="center"/>
              <w:rPr>
                <w:rFonts w:ascii="Times" w:hAnsi="Times" w:cs="Times"/>
                <w:b/>
                <w:bCs/>
                <w:sz w:val="25"/>
                <w:szCs w:val="25"/>
              </w:rPr>
            </w:pPr>
            <w:r>
              <w:rPr>
                <w:rFonts w:ascii="Times" w:hAnsi="Times" w:cs="Times"/>
                <w:b/>
                <w:bCs/>
                <w:sz w:val="25"/>
                <w:szCs w:val="25"/>
              </w:rPr>
              <w:t>O</w:t>
            </w: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MKSR</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 xml:space="preserve">1. Vo vlastnom materiáli odporúčame jednotlivé články označiť arabskými číslicami a dôsledne skontrolovať formátovanie textu so zameraním sa na zdvojené medzery medzi slovami. 2. V čl. 1 odporúčame vložiť nový bod 1, ktorý znie: „Štatút Slovenskej komisie pre UNESCO (ďalej len „štatút“) upravuje pôsobnosť, úlohy a zloženie Slovenskej komisie pre UNESCO (ďalej len „komisia“) a spoluprácu s právnickými osobami a fyzickými osobami, ktorých činnosť súvisí s úlohami Slovenskej republiky v UNESCO. Doterajší bod 1 sa označuje ako bod 2. 3. V čl. 1 bode 2 odporúčame použiť zavedenú legislatívnu skratku. Táto pripomienka platí pre všetky časti materiálu. 4. V čl. 2 odporúčame definovať aj úlohy komisie vo vzťahu k odborným poradným orgánom komisie (k čl. 7). 5. V čl. 2 písm. f) odporúčame za slovo „svetového“ vložiť slovo „kultúrneho“. 6. V čl. 2 písm. h) odporúčame na konci vložiť čiarku. 7. V čl. 2 písm. l) odporúčame slovo „nadväzuje“ nahradiť slovom „rozvíja“. 8. V čl. 2 písm. m) odporúčame slovo </w:t>
            </w:r>
            <w:r>
              <w:rPr>
                <w:rFonts w:ascii="Times" w:hAnsi="Times" w:cs="Times"/>
                <w:sz w:val="25"/>
                <w:szCs w:val="25"/>
              </w:rPr>
              <w:lastRenderedPageBreak/>
              <w:t xml:space="preserve">„stálym“ nahradiť slovom „Stálym“. Táto pripomienka platí pre celý vlastný materiál. 9. V čl. 3 odporúčame slová „operatívny orgán“ nahradiť slovami „operatívnym orgánom“. 10. V čl. 3 odporúčame zvážiť určenie nepárneho počtu členov, prípadne určenie minimálneho počtu členov. 11. V čl. 3 bode 1 písm. a) odporúčame odkaz 1 na poznámku pod čiarou vložiť za čiarku. 12. V čl. 3 bode 1 písm. b) odporúčame čiarku nahradiť bodkou. 13. V čl. 3 bode 3 odporúčame slová „čl. III. ods. 1 a)“ nahradiť slovami „odseku 1 písm. a)“. 14. V čl. 3 bode 4 odporúčame slová „čl. III. ods. 1 b)“ nahradiť slovami „odseku 1 písm. b)“. 15. V čl. 3 bode 5 odporúčame za slovo „záležitostí“ vložiť slová „Slovenskej republiky“. Táto pripomienka platí pre všetky časti materiálu. 16. V čl. 4 úvodnej vete odporúčame pred dvojbodkou vypustiť medzeru. 17. V čl. 4 písm. b) odporúčame použiť zavedenú legislatívnu skratku. 18. V čl. 4 písm. c) odporúčame zaviesť legislatívnu skratku „(ďalej len „výbory“)“. 19. V čl. 4 odporúčame za slovo „UNESCO“ vložiť skratku „(IDS)“. 20. V čl. 5 bode 2 odporúčame za slovo „knižnice“ vložiť slová „v Bratislave“. 21. V čl. 6 bode 1 odporúčame slovo „zhromaždenie“ nahradiť slovom „zhromaždením“. 22. V čl. 7 odporúčame použiť legislatívnu skratku zavedenú v čl. 4 písm. c). 23. V čl. 7 bode 2 druhú vetu odporúčame upraviť takto: „Na základe poverenia komisie, členov nových výborov navrhuje významný odborník v príslušnej oblasti činnosti UNESCO.“ 24. Čl. 8 považujeme za nadbytočný, keďže vzťah IDS je daný zmluvou medzi UKB a MZVaEZ SR a s činnosťou komisie nemá žiadny priamy vzťah. Ide len o konštatačné tvrdenie, ktoré má právny základ a definovanie svojej činnosti dané iným dokumentom ako je predkladaný štatút. 25. V čl. 9 úvodnej vete odporúčame použiť legislatívnu skratku zavedenú v čl. 1 bode 1. Táto pripomienka platí aj pre čl. 13 bod 1. 26. V čl. 9 bode 1 odporúčame na konci vložiť bodku. 27. V čl. 13 bode 1 odporúčame na koniec vety vložiť bodku. 28. V čl. 13 odporúčame vypustiť bod 2 a vložiť ho za čl. 13 ako samostatný čl. 14. 29. V čl. 13 bod 5 odporúčame upraviť takto: “Ku dňu nadobudnutia platnosti štatútu sa zrušujú všetky platne existujúce </w:t>
            </w:r>
            <w:r>
              <w:rPr>
                <w:rFonts w:ascii="Times" w:hAnsi="Times" w:cs="Times"/>
                <w:sz w:val="25"/>
                <w:szCs w:val="25"/>
              </w:rPr>
              <w:lastRenderedPageBreak/>
              <w:t xml:space="preserve">organizačné zložky komisie.”. Odôvodnenie: 1. Gramatická pripomienka. 2. až 3. Legislatívna technika. 4. a 5. Presnosť. 6. Gramatická pripomienka. 7. Slovo „rozvíja“ lepšie vystihuje úlohu komisie. 8. a 9. Gramatické pripomienky. 10. Objektivita. 11. Legislatívna technika. 12. Gramatická pripomienka. 13. Zosúladenie s ostatným textom. 14. Legislatívna technika. 15. Názov ministerstva. 16. Gramatická pripomienka. 17. až 19. Legislatívna technika. 20. Oficiálny názov knižnice podľa zriaďovacej listiny. 21. Gramatická pripomienka. 22. Legislatívna technika. 23. Gramatická pripomienka. 24. Konštatačné tvrdenie. 25. Legislatívna technika. 26. Gramatická pripomienka. 27. Presnosť. 28. Legislatívna technika. 29. Presnosť. </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jc w:val="center"/>
              <w:rPr>
                <w:rFonts w:ascii="Times" w:hAnsi="Times" w:cs="Times"/>
                <w:b/>
                <w:bCs/>
                <w:sz w:val="25"/>
                <w:szCs w:val="25"/>
              </w:rPr>
            </w:pPr>
            <w:r>
              <w:rPr>
                <w:rFonts w:ascii="Times" w:hAnsi="Times" w:cs="Times"/>
                <w:b/>
                <w:bCs/>
                <w:sz w:val="25"/>
                <w:szCs w:val="25"/>
              </w:rPr>
              <w:lastRenderedPageBreak/>
              <w:t>O</w:t>
            </w: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lastRenderedPageBreak/>
              <w:t>MKSR</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 xml:space="preserve">V bode B. 1. odporúčame slovo „Štatútu“ nahradiť slovom „štatútu“. Táto pripomienka platí aj pre bod C.1. Odôvodnenie: Gramatická pripomienka. </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jc w:val="center"/>
              <w:rPr>
                <w:rFonts w:ascii="Times" w:hAnsi="Times" w:cs="Times"/>
                <w:b/>
                <w:bCs/>
                <w:sz w:val="25"/>
                <w:szCs w:val="25"/>
              </w:rPr>
            </w:pPr>
            <w:r>
              <w:rPr>
                <w:rFonts w:ascii="Times" w:hAnsi="Times" w:cs="Times"/>
                <w:b/>
                <w:bCs/>
                <w:sz w:val="25"/>
                <w:szCs w:val="25"/>
              </w:rPr>
              <w:t>O</w:t>
            </w: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MKSR</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 xml:space="preserve">1. Odporúčame používať legislatívne skratky zavedené vo vlastnom materiáli. 2. V prvom odseku odporúčame za slovo „čl.“ vložiť medzeru. 3. V šiestom odseku odporúčame slovo „Návrhu“ nahradiť slovom „návrhu“. Odôvodnenie: 1. Legislatívna technika. 2. a 3. Gramatické pripomienky. </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jc w:val="center"/>
              <w:rPr>
                <w:rFonts w:ascii="Times" w:hAnsi="Times" w:cs="Times"/>
                <w:b/>
                <w:bCs/>
                <w:sz w:val="25"/>
                <w:szCs w:val="25"/>
              </w:rPr>
            </w:pPr>
            <w:r>
              <w:rPr>
                <w:rFonts w:ascii="Times" w:hAnsi="Times" w:cs="Times"/>
                <w:b/>
                <w:bCs/>
                <w:sz w:val="25"/>
                <w:szCs w:val="25"/>
              </w:rPr>
              <w:t>O</w:t>
            </w: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MKSR</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 xml:space="preserve">1. Odporúčame používať legislatívne skratky zavedené vo vlastnom materiáli. 2. V bode 2 odporúčame slovo „neodpovedá“ nahradiť slovom „nezodpovedá“. Odôvodnenie: 1. Legislatívna technika. 2. Gramatická pripomienka. </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jc w:val="center"/>
              <w:rPr>
                <w:rFonts w:ascii="Times" w:hAnsi="Times" w:cs="Times"/>
                <w:b/>
                <w:bCs/>
                <w:sz w:val="25"/>
                <w:szCs w:val="25"/>
              </w:rPr>
            </w:pPr>
            <w:r>
              <w:rPr>
                <w:rFonts w:ascii="Times" w:hAnsi="Times" w:cs="Times"/>
                <w:b/>
                <w:bCs/>
                <w:sz w:val="25"/>
                <w:szCs w:val="25"/>
              </w:rPr>
              <w:t>O</w:t>
            </w: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NBÚSR</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Odporúčame na konci prvého riadku vložiť za slovo "iniciatívny" slovo "návrh".</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jc w:val="center"/>
              <w:rPr>
                <w:rFonts w:ascii="Times" w:hAnsi="Times" w:cs="Times"/>
                <w:b/>
                <w:bCs/>
                <w:sz w:val="25"/>
                <w:szCs w:val="25"/>
              </w:rPr>
            </w:pPr>
            <w:r>
              <w:rPr>
                <w:rFonts w:ascii="Times" w:hAnsi="Times" w:cs="Times"/>
                <w:b/>
                <w:bCs/>
                <w:sz w:val="25"/>
                <w:szCs w:val="25"/>
              </w:rPr>
              <w:t>O</w:t>
            </w: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SŠHRSR</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bez pripomienok</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MŽPSR</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 xml:space="preserve">1. Odporúčame preformulovať úvodnú vetu „Materiál Štatút Slovenskej komisie pre UNESCO (ďalej len „štatút“) sa predkladá ako iniciatívny v súlade s čl. 6 platného štatútu Slovenskej komisie pre UNESCO (ďalej len „komisia“), podľa ktorého </w:t>
            </w:r>
            <w:r>
              <w:rPr>
                <w:rFonts w:ascii="Times" w:hAnsi="Times" w:cs="Times"/>
                <w:sz w:val="25"/>
                <w:szCs w:val="25"/>
              </w:rPr>
              <w:lastRenderedPageBreak/>
              <w:t xml:space="preserve">zmeny a doplnenia štatútu schvaľuje vláda Slovenskej republiky.“ Zavedené legislatívne skratky dôsledne používať v ďalšom texte. 2. V treťom odseku, prvá veta odporúčame slovo „je“ nahradiť slovom „bude“. </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jc w:val="center"/>
              <w:rPr>
                <w:rFonts w:ascii="Times" w:hAnsi="Times" w:cs="Times"/>
                <w:b/>
                <w:bCs/>
                <w:sz w:val="25"/>
                <w:szCs w:val="25"/>
              </w:rPr>
            </w:pPr>
            <w:r>
              <w:rPr>
                <w:rFonts w:ascii="Times" w:hAnsi="Times" w:cs="Times"/>
                <w:b/>
                <w:bCs/>
                <w:sz w:val="25"/>
                <w:szCs w:val="25"/>
              </w:rPr>
              <w:lastRenderedPageBreak/>
              <w:t>O</w:t>
            </w: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lastRenderedPageBreak/>
              <w:t>Verejnosť</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Odporúčame spresniť bod B1, t.j. poveriť ministra ZVaEZ vykonávaním (titulárnej) funkcie predsedu Slovenskej komisie pre UNESCO</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MŽPSR</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 xml:space="preserve">1. Odporúčame zjednotiť veľkosť písma v nadpise štatútu s celým textom a zvýrazniť ho boldom. 2. Odporúčame pod nadpis štatútu doplniť formuláciu „schválený uznesením vlády Slovenskej republiky z ........... č.“. 3. Odporúčame v celom texte vlastného materiálu zmeniť označenie článkov štatútu z „Článok I“ na „Čl. 1“, spolu s podnadpisom ich zvýrazniť boldom a zamerať ich do stredu listu. 4. Odporúčame v celom texte vlastného materiálu zmeniť označenie odsekov z „1.“ na „(1)“. 5. Odporúčame upraviť znenie legislatívnej skratky z „(ďalej len „Komisia“)“ na „(ďalej len „komisia“)“. 6. Odporúčame zvážiť zavedenie legislatívnej skratky pre Ministerstvo zahraničných vecí a európskych záležitostí Slovenskej republiky a používať ju v ďalšom texte. 7. V Článku III odporúčame prvý odsek pre väčšiu zrozumiteľnosť označiť ako „(1)“ a číslovanie nasledujúcich odsekov tomu prispôsobiť. 8. Odporúčame zvážiť zavedenie legislatívnej skratky pre ministra zahraničných vecí a európskych záležitostí Slovenskej republiky a používať ju v ďalšom texte. 9. Odporúčame upraviť odkaz v Článku III ods. 3 z „čl. III. ods. 1 a)“ na „čl. 3 ods. 1 písm. a)“, podobne upraviť aj ods. 4 toho istého článku. 10. V Článku IV odporúčame zmeniť slovo „tých“ na „tie“. 11. V Článku V odporúčame rozpísať skratku „TASR“. 12. V Článku VII odporúčame prvý odsek pre väčšiu zrozumiteľnosť označiť ako „(1)“ a číslovanie nasledujúcich odsekov tomu prispôsobiť. 13. V Článku VIII odporúčame presunúť zavedenú legislatívnu skratku „(ďalej len „IDS“)“ z podnadpisu do prvého odseku tohto článku. 14. V Článku VIII odporúčame prvý odsek pre väčšiu zrozumiteľnosť označiť ako „(1)“ a číslovanie nasledujúcich odsekov tomu prispôsobiť. 15. V Článku IX odporúčame prvý odsek </w:t>
            </w:r>
            <w:r>
              <w:rPr>
                <w:rFonts w:ascii="Times" w:hAnsi="Times" w:cs="Times"/>
                <w:sz w:val="25"/>
                <w:szCs w:val="25"/>
              </w:rPr>
              <w:lastRenderedPageBreak/>
              <w:t xml:space="preserve">pre väčšiu zrozumiteľnosť označiť ako „(1)“ a číslovanie nasledujúcich odsekov tomu prispôsobiť. 16. V Článku IX odporúčame zaviesť legislatívnu skratku „sekretariát komisie“. 17. Odporúčame prvý odsek Článku IX ukončiť bodkou. 18. Odporúčame zmeniť podnadpis Článku XIII z formulácie „Spoločné, prechodné a záverečné ustanovenia“ na „Spoločné a prechodné ustanovenia“ a jeho obsah upraviť nasledovne: „(1) Sekretariát Komisie predloží na schválenie ministrovi zahraničných vecí a európskych záležitostí Slovenskej republiky Organizačný poriadok Slovenskej komisie pre UNESCO, odsúhlasený členmi Komisie na prvej schôdzi Komisie. (2) Minister zahraničných vecí a európskych záležitostí Slovenskej republiky vymenúva nové organizačné zložky Komisie v súlade s novým štatútom k 1. septembru 2016.“ 19. Navrhujeme vytvoriť osobitný „Čl. 14 Zrušovacie ustanovenia“ so znením: „(1) Zrušuje sa Štatút Slovenskej komisie pre UNESCO, schválený uznesením vlády Slovenskej republiky uznesením z 12. januára 1993 č. 6. (2) Zrušujú sa doterajšie organizačné zložky Komisie v zložení a personálnom obsadení, v akom existovali ku dňu nadobudnutia účinnosti tohto štatútu. 20. Navrhujeme vytvoriť osobitný „Čl. 15 Účinnosť“ so znením: „Tento štatút nadobúda účinnosť 1. septembra 2016.“ </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jc w:val="center"/>
              <w:rPr>
                <w:rFonts w:ascii="Times" w:hAnsi="Times" w:cs="Times"/>
                <w:b/>
                <w:bCs/>
                <w:sz w:val="25"/>
                <w:szCs w:val="25"/>
              </w:rPr>
            </w:pPr>
            <w:r>
              <w:rPr>
                <w:rFonts w:ascii="Times" w:hAnsi="Times" w:cs="Times"/>
                <w:b/>
                <w:bCs/>
                <w:sz w:val="25"/>
                <w:szCs w:val="25"/>
              </w:rPr>
              <w:lastRenderedPageBreak/>
              <w:t>O</w:t>
            </w: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lastRenderedPageBreak/>
              <w:t>Verejnosť</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Odporúčame vložiť termín „kontrolný termín k 31.1. každoročne“ (štvrťročný odpočet je nadbytočný) + zvážiť doplnenie nositeľov úlohy o vedúceho ÚV SR a relevantných splnomocnencov vlády.</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MŽPSR</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 xml:space="preserve">1. Odporúčame do názvu materiálu doplniť slovo „Návrh“. 2. V sekcii Definícia problému odporúčame zmeniť slovo „štatútu“ na „Štatútu“, slovo „neodpovedá“ na „nezodpovedá“. 3. V sekcii Ciele a výsledný stav odporúčame zmeniť predložku „na“ na „pre“. </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jc w:val="center"/>
              <w:rPr>
                <w:rFonts w:ascii="Times" w:hAnsi="Times" w:cs="Times"/>
                <w:b/>
                <w:bCs/>
                <w:sz w:val="25"/>
                <w:szCs w:val="25"/>
              </w:rPr>
            </w:pPr>
            <w:r>
              <w:rPr>
                <w:rFonts w:ascii="Times" w:hAnsi="Times" w:cs="Times"/>
                <w:b/>
                <w:bCs/>
                <w:sz w:val="25"/>
                <w:szCs w:val="25"/>
              </w:rPr>
              <w:t>O</w:t>
            </w: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Verejnosť</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 xml:space="preserve">Odporúčame vložiť novú úlohu pre ministra ZVaEZ – predkladať na rokovanie </w:t>
            </w:r>
            <w:r>
              <w:rPr>
                <w:rFonts w:ascii="Times" w:hAnsi="Times" w:cs="Times"/>
                <w:sz w:val="25"/>
                <w:szCs w:val="25"/>
              </w:rPr>
              <w:lastRenderedPageBreak/>
              <w:t>vlády SR informáciu o činnosti komisie / do 31.3. každoročne.</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lastRenderedPageBreak/>
              <w:t>Verejnosť</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Odporúčame doplniť všetkých nositeľov úloh.</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Verejnosť</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Odporúčame vypustiť zmienku o právnej subjektivite komisie – komisia je „len“ poradným orgánom vlády (ibaže by právna subjektivita vyplývala z medzinárodného dokumentu – potom však odporúčame vložiť príslušný odkaz).</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Verejnosť</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Odporúčame vypustiť úlohu komisie implementovať rozhodnutia orgánov UNESCO – uvedené reálne vykonávajú príslušné ÚOŠS, resp. iné organizácie, nie komisia.</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Verejnosť</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Odporúčame vypustiť odkaz pod čiarou č. 1 pre nadbytočnosť, resp. priamo uviesť relevantné ÚOŠS.</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Verejnosť</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Odporúčame doplniť pôsobnosť predsedu komisie (viď predkladacia správa).</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Verejnosť</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Odporúčame sprehľadniť štruktúru poradných a pridružených orgánov komisie (nie je napr. zrejmé, aké poradné orgány sa majú v čl. 2 písm. h) na mysli). Zároveň odporúčame zvážiť terminologickú zmenu pri označení „podvýborov“ komisie (keďže poradný orgán vlády má mať poradné orgány).</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Verejnosť</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Odporúčame celkové sprehľadnenie štruktúry štatútu.</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Verejnosť</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Odporúčame spresniť bod B1, t.j. poveriť ministra ZVaEZ vykonávaním (titulárnej) funkcie predsedu Slovenskej komisie pre UNESCO</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Verejnosť</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Odporúčame vložiť termín „kontrolný termín k 31.1. každoročne“ (štvrťročný odpočet je nadbytočný) + zvážiť doplnenie nositeľov úlohy o vedúceho ÚV SR a relevantných splnomocnencov vlády.</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MDVaRRSR</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 xml:space="preserve">1. V článku XI odporúčame vynechať slovo „prítomných“, aby rozhodnutia boli </w:t>
            </w:r>
            <w:r>
              <w:rPr>
                <w:rFonts w:ascii="Times" w:hAnsi="Times" w:cs="Times"/>
                <w:sz w:val="25"/>
                <w:szCs w:val="25"/>
              </w:rPr>
              <w:lastRenderedPageBreak/>
              <w:t xml:space="preserve">prijímané nadpolovičnou väčšinou hlasov všetkých členov Komisie. 2. V článku XII ods. 2 odporúčame vypustiť časť vety za spojkou alebo, vrátane spojky, „alebo iných subjektov v Slovenskej republike podieľajúcich sa na plnení programov a aktivít UNESCO.“ </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jc w:val="center"/>
              <w:rPr>
                <w:rFonts w:ascii="Times" w:hAnsi="Times" w:cs="Times"/>
                <w:b/>
                <w:bCs/>
                <w:sz w:val="25"/>
                <w:szCs w:val="25"/>
              </w:rPr>
            </w:pPr>
            <w:r>
              <w:rPr>
                <w:rFonts w:ascii="Times" w:hAnsi="Times" w:cs="Times"/>
                <w:b/>
                <w:bCs/>
                <w:sz w:val="25"/>
                <w:szCs w:val="25"/>
              </w:rPr>
              <w:lastRenderedPageBreak/>
              <w:t>O</w:t>
            </w: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lastRenderedPageBreak/>
              <w:t>ŠÚSR</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bez pripomienok</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jc w:val="center"/>
              <w:rPr>
                <w:rFonts w:ascii="Times" w:hAnsi="Times" w:cs="Times"/>
                <w:b/>
                <w:bCs/>
                <w:sz w:val="25"/>
                <w:szCs w:val="25"/>
              </w:rPr>
            </w:pPr>
            <w:r>
              <w:rPr>
                <w:rFonts w:ascii="Times" w:hAnsi="Times" w:cs="Times"/>
                <w:b/>
                <w:bCs/>
                <w:sz w:val="25"/>
                <w:szCs w:val="25"/>
              </w:rPr>
              <w:t>O</w:t>
            </w: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MŠVVaŠSR</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 xml:space="preserve">1. uznesenie, bod B1 Odporúčame spresniť bod B1, t.j. poveriť ministra ZVaEZ vykonávaním (titulárnej) funkcie predsedu Slovenskej komisie pre UNESCO 2. uznesenie, bod C1 Odporúčame vložiť termín „kontrolný termín k 31.1. každoročne“ (štvrťročný odpočet je nadbytočný) + zvážiť doplnenie nositeľov úlohy o vedúceho ÚV SR a relevantných splnomocnencov vlády. 3. uznesenie, bod C2 Odporúčame vložiť novú úlohu pre ministra ZVaEZ – predkladať na rokovanie vlády SR informáciu o činnosti komisie / do 31.3. každoročne. 4. uznesenie, časť Vykonajú Odporúčame doplniť všetkých nositeľov úloh. 5. vlastný materiál, čl. 1 bod 2 Odporúčame vypustiť zmienku o právnej subjektivite komisie – komisia je „len“ poradným orgánom vlády (ibaže by právna subjektivita vyplývala z medzinárodného dokumentu – potom však odporúčame vložiť príslušný odkaz). 6. vlastný materiál, čl. 2 ods. e) Odporúčame vypustiť úlohu komisie implementovať rozhodnutia orgánov UNESCO – uvedené reálne vykonávajú príslušné ÚOŠS, resp. iné organizácie, nie komisia. 7. vlastný materiál, čl. 3 bod 1 Odporúčame vypustiť odkaz pod čiarou č. 1 pre nadbytočnosť, resp. priamo uviesť relevantné ÚOŠS. 8. vlastný materiál, čl. 3 bod 5 Odporúčame doplniť pôsobnosť predsedu komisie (viď predkladacia správa). 9. Článok IV, str. 2, čl. 4 - doplniť čiarku v 1. vete "... v UNESCO, a to ..." : 10. Článok IX, str.4 - doplniť bodku v bode č. 1 za ... Ministerstva zahraničných vecí a európskych záležitostí. " </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ÚPVSR</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Bez pripomienok</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jc w:val="center"/>
              <w:rPr>
                <w:rFonts w:ascii="Times" w:hAnsi="Times" w:cs="Times"/>
                <w:b/>
                <w:bCs/>
                <w:sz w:val="25"/>
                <w:szCs w:val="25"/>
              </w:rPr>
            </w:pPr>
            <w:r>
              <w:rPr>
                <w:rFonts w:ascii="Times" w:hAnsi="Times" w:cs="Times"/>
                <w:b/>
                <w:bCs/>
                <w:sz w:val="25"/>
                <w:szCs w:val="25"/>
              </w:rPr>
              <w:t>O</w:t>
            </w: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lastRenderedPageBreak/>
              <w:t>MOSR</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Bez pripomienok.</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jc w:val="center"/>
              <w:rPr>
                <w:rFonts w:ascii="Times" w:hAnsi="Times" w:cs="Times"/>
                <w:b/>
                <w:bCs/>
                <w:sz w:val="25"/>
                <w:szCs w:val="25"/>
              </w:rPr>
            </w:pPr>
            <w:r>
              <w:rPr>
                <w:rFonts w:ascii="Times" w:hAnsi="Times" w:cs="Times"/>
                <w:b/>
                <w:bCs/>
                <w:sz w:val="25"/>
                <w:szCs w:val="25"/>
              </w:rPr>
              <w:t>O</w:t>
            </w: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ÚNMSSR</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bez pripomienok</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jc w:val="center"/>
              <w:rPr>
                <w:rFonts w:ascii="Times" w:hAnsi="Times" w:cs="Times"/>
                <w:b/>
                <w:bCs/>
                <w:sz w:val="25"/>
                <w:szCs w:val="25"/>
              </w:rPr>
            </w:pPr>
            <w:r>
              <w:rPr>
                <w:rFonts w:ascii="Times" w:hAnsi="Times" w:cs="Times"/>
                <w:b/>
                <w:bCs/>
                <w:sz w:val="25"/>
                <w:szCs w:val="25"/>
              </w:rPr>
              <w:t>O</w:t>
            </w: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MPRVSR</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Odporúčame jednotlivé názvy článkov zarovnať v celom texte na stred.</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jc w:val="center"/>
              <w:rPr>
                <w:rFonts w:ascii="Times" w:hAnsi="Times" w:cs="Times"/>
                <w:b/>
                <w:bCs/>
                <w:sz w:val="25"/>
                <w:szCs w:val="25"/>
              </w:rPr>
            </w:pPr>
            <w:r>
              <w:rPr>
                <w:rFonts w:ascii="Times" w:hAnsi="Times" w:cs="Times"/>
                <w:b/>
                <w:bCs/>
                <w:sz w:val="25"/>
                <w:szCs w:val="25"/>
              </w:rPr>
              <w:t>O</w:t>
            </w: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MSSR</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bez pripomienok</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jc w:val="center"/>
              <w:rPr>
                <w:rFonts w:ascii="Times" w:hAnsi="Times" w:cs="Times"/>
                <w:b/>
                <w:bCs/>
                <w:sz w:val="25"/>
                <w:szCs w:val="25"/>
              </w:rPr>
            </w:pPr>
            <w:r>
              <w:rPr>
                <w:rFonts w:ascii="Times" w:hAnsi="Times" w:cs="Times"/>
                <w:b/>
                <w:bCs/>
                <w:sz w:val="25"/>
                <w:szCs w:val="25"/>
              </w:rPr>
              <w:t>O</w:t>
            </w: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MZSR</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 xml:space="preserve">Ministerstvo zdravotníctva Slovenskej republiky uplatňuje k materiálu „Štatút Slovenskej komisie pre UNESCO - MPK“ z hľadiska svojej vecnej pôsobnosti nasledujúce pripomienky: 1. Za uvádzacími vetami v jednotlivých článkoch odporúčame vypustiť dvojbodky. 2. V čl. II v písmene h) odporúčame na konci doplniť čiarku. 3. V čl. III bode 1 písm. a) odporúčame za odkazom doplniť zátvorku a interpunkčné znamienko napísať pred odkaz, zátvorku doplniť aj v poznámke pod čiarou. Za písmenom b) odporúčame čiarku nahradiť bodkou. 4. Číslovku „4“ v čl. V a čl. X odporúčame napísať slovom. 5. V čl. VIII bode l slová „SR“ odporúčame nahradiť slovami „Slovenská republika“. 6. V čl. X odporúčame za slovom „záležitostí“ doplniť slová „Slovenskej republiky“. 7. V čl. XI odporúčame prvú vetu upraviť takto: „Komisia prijíma rozhodnutia nadpolovičnou väčšinou hlasov prítomných členov komisie.“ V čl. XIII treťom bode odporúčame slovo „vymenúva“ nahradiť slovom „vymenuje". </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jc w:val="center"/>
              <w:rPr>
                <w:rFonts w:ascii="Times" w:hAnsi="Times" w:cs="Times"/>
                <w:b/>
                <w:bCs/>
                <w:sz w:val="25"/>
                <w:szCs w:val="25"/>
              </w:rPr>
            </w:pPr>
            <w:r>
              <w:rPr>
                <w:rFonts w:ascii="Times" w:hAnsi="Times" w:cs="Times"/>
                <w:b/>
                <w:bCs/>
                <w:sz w:val="25"/>
                <w:szCs w:val="25"/>
              </w:rPr>
              <w:t>O</w:t>
            </w: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ÚJDSR</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bez pripomienok</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jc w:val="center"/>
              <w:rPr>
                <w:rFonts w:ascii="Times" w:hAnsi="Times" w:cs="Times"/>
                <w:b/>
                <w:bCs/>
                <w:sz w:val="25"/>
                <w:szCs w:val="25"/>
              </w:rPr>
            </w:pPr>
            <w:r>
              <w:rPr>
                <w:rFonts w:ascii="Times" w:hAnsi="Times" w:cs="Times"/>
                <w:b/>
                <w:bCs/>
                <w:sz w:val="25"/>
                <w:szCs w:val="25"/>
              </w:rPr>
              <w:t>O</w:t>
            </w: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MHSR</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bez pripomienok</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GPSR</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 xml:space="preserve">Odporúčame vypustiť druhú vetu, nakoľko právnickú osobu, resp. osobu s právnou subjektivitou podľa slovenského právneho poriadku nie je možné zriadiť „štatútom“ komisie, ktorá má postavenie odborného poradného orgánu vlády Slovenskej republiky. Ak oprávnenie zriadiť právnickú osobu štatútom komisie vyplýva z </w:t>
            </w:r>
            <w:r>
              <w:rPr>
                <w:rFonts w:ascii="Times" w:hAnsi="Times" w:cs="Times"/>
                <w:sz w:val="25"/>
                <w:szCs w:val="25"/>
              </w:rPr>
              <w:lastRenderedPageBreak/>
              <w:t>medzinárodnej zmluvy alebo zákona, je potrebné uviesť ustanovenie a právny dokument, z ktorého takéto oprávnenie vyplýva. Podľa § 18 ods. 2 Občianskeho zákonníka právnickými osobami sú: a) združenia fyzických alebo právnických osôb, b) účelové združenia majetku, c) jednotky územnej samosprávy, d) iné subjekty, o ktorých to ustanovuje zákon. Poukazujeme aj na to, že § 2 zákona č. 575/2001 Z. z. o organizácii činnosti vlády a organizácii ústrednej štátnej správy v znení neskorších predpisov neustanovuje možnosť, aby boli poradné orgány vlády Slovenskej republiky zriaďované s právnou subjektivitou. Z ich postavenia ako pomocných a poradných orgánov vlády Slovenskej republiky i podstaty úloh, na plnenie ktorých sa zriaďujú (koordinačné, konzultatívne alebo odborné), sa javí byť logické, že tieto orgány majú skôr povahu expertných pracovných komisií pôsobiacich v súčinnosti s Úradom vlády Slovenskej republiky, a nie povahu orgánov s právnou subjektivitou (právnických osôb) so všetkým, čo s existenciou právnickej osoby s vlastnou právnou subjektivitou súvisí.</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jc w:val="center"/>
              <w:rPr>
                <w:rFonts w:ascii="Times" w:hAnsi="Times" w:cs="Times"/>
                <w:b/>
                <w:bCs/>
                <w:sz w:val="25"/>
                <w:szCs w:val="25"/>
              </w:rPr>
            </w:pPr>
            <w:r>
              <w:rPr>
                <w:rFonts w:ascii="Times" w:hAnsi="Times" w:cs="Times"/>
                <w:b/>
                <w:bCs/>
                <w:sz w:val="25"/>
                <w:szCs w:val="25"/>
              </w:rPr>
              <w:lastRenderedPageBreak/>
              <w:t>Z</w:t>
            </w: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lastRenderedPageBreak/>
              <w:t>GPSR</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Odporúčame na konci ustanovenia doplniť čiarku.</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jc w:val="center"/>
              <w:rPr>
                <w:rFonts w:ascii="Times" w:hAnsi="Times" w:cs="Times"/>
                <w:b/>
                <w:bCs/>
                <w:sz w:val="25"/>
                <w:szCs w:val="25"/>
              </w:rPr>
            </w:pPr>
            <w:r>
              <w:rPr>
                <w:rFonts w:ascii="Times" w:hAnsi="Times" w:cs="Times"/>
                <w:b/>
                <w:bCs/>
                <w:sz w:val="25"/>
                <w:szCs w:val="25"/>
              </w:rPr>
              <w:t>O</w:t>
            </w: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GPSR</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Odporúčame na konci uvádzacej vety vypustiť predložku „v“ a dvojbodku a v písmenách a) až d) vložiť predložku „v“ v príslušnom gramatickom tvare.</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jc w:val="center"/>
              <w:rPr>
                <w:rFonts w:ascii="Times" w:hAnsi="Times" w:cs="Times"/>
                <w:b/>
                <w:bCs/>
                <w:sz w:val="25"/>
                <w:szCs w:val="25"/>
              </w:rPr>
            </w:pPr>
            <w:r>
              <w:rPr>
                <w:rFonts w:ascii="Times" w:hAnsi="Times" w:cs="Times"/>
                <w:b/>
                <w:bCs/>
                <w:sz w:val="25"/>
                <w:szCs w:val="25"/>
              </w:rPr>
              <w:t>O</w:t>
            </w: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GPSR</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Odporúčame za slovo „kandidujú“ vložiť slová „členovia výborov“.</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jc w:val="center"/>
              <w:rPr>
                <w:rFonts w:ascii="Times" w:hAnsi="Times" w:cs="Times"/>
                <w:b/>
                <w:bCs/>
                <w:sz w:val="25"/>
                <w:szCs w:val="25"/>
              </w:rPr>
            </w:pPr>
            <w:r>
              <w:rPr>
                <w:rFonts w:ascii="Times" w:hAnsi="Times" w:cs="Times"/>
                <w:b/>
                <w:bCs/>
                <w:sz w:val="25"/>
                <w:szCs w:val="25"/>
              </w:rPr>
              <w:t>O</w:t>
            </w: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GPSR</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Odporúčame v prvej vete za slovo „sa“ vložiť slovo „zároveň“.</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jc w:val="center"/>
              <w:rPr>
                <w:rFonts w:ascii="Times" w:hAnsi="Times" w:cs="Times"/>
                <w:b/>
                <w:bCs/>
                <w:sz w:val="25"/>
                <w:szCs w:val="25"/>
              </w:rPr>
            </w:pPr>
            <w:r>
              <w:rPr>
                <w:rFonts w:ascii="Times" w:hAnsi="Times" w:cs="Times"/>
                <w:b/>
                <w:bCs/>
                <w:sz w:val="25"/>
                <w:szCs w:val="25"/>
              </w:rPr>
              <w:t>O</w:t>
            </w: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GPSR</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Odporúčame v prvej vete slovo „sprístupnené“ nahradiť slovom „sprístupneným“ a v dátume „1.6.1994“ uviesť označenie mesiaca slovom.</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jc w:val="center"/>
              <w:rPr>
                <w:rFonts w:ascii="Times" w:hAnsi="Times" w:cs="Times"/>
                <w:b/>
                <w:bCs/>
                <w:sz w:val="25"/>
                <w:szCs w:val="25"/>
              </w:rPr>
            </w:pPr>
            <w:r>
              <w:rPr>
                <w:rFonts w:ascii="Times" w:hAnsi="Times" w:cs="Times"/>
                <w:b/>
                <w:bCs/>
                <w:sz w:val="25"/>
                <w:szCs w:val="25"/>
              </w:rPr>
              <w:t>O</w:t>
            </w: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t>GPSR</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 xml:space="preserve">V nadväznosti na pripomienku k čl. I bodu 2 navrhujeme vypustenie článku XII z návrhu štatútu komisie. Financovanie nákladov spojených s činnosťou komisie odporúčame zahrnúť do rozpočtu Úradu vlády Slovenskej republiky alebo </w:t>
            </w:r>
            <w:r>
              <w:rPr>
                <w:rFonts w:ascii="Times" w:hAnsi="Times" w:cs="Times"/>
                <w:sz w:val="25"/>
                <w:szCs w:val="25"/>
              </w:rPr>
              <w:lastRenderedPageBreak/>
              <w:t xml:space="preserve">Ministerstva zahraničných vecí a európskych záležitostí Slovenskej republiky. </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jc w:val="center"/>
              <w:rPr>
                <w:rFonts w:ascii="Times" w:hAnsi="Times" w:cs="Times"/>
                <w:b/>
                <w:bCs/>
                <w:sz w:val="25"/>
                <w:szCs w:val="25"/>
              </w:rPr>
            </w:pPr>
            <w:r>
              <w:rPr>
                <w:rFonts w:ascii="Times" w:hAnsi="Times" w:cs="Times"/>
                <w:b/>
                <w:bCs/>
                <w:sz w:val="25"/>
                <w:szCs w:val="25"/>
              </w:rPr>
              <w:lastRenderedPageBreak/>
              <w:t>Z</w:t>
            </w:r>
          </w:p>
        </w:tc>
      </w:tr>
      <w:tr w:rsidR="00372453">
        <w:trPr>
          <w:divId w:val="513765316"/>
          <w:jc w:val="center"/>
        </w:trPr>
        <w:tc>
          <w:tcPr>
            <w:tcW w:w="1500" w:type="pct"/>
            <w:tcBorders>
              <w:top w:val="outset" w:sz="6" w:space="0" w:color="000000"/>
              <w:left w:val="outset" w:sz="6" w:space="0" w:color="000000"/>
              <w:bottom w:val="outset" w:sz="6" w:space="0" w:color="000000"/>
              <w:right w:val="outset" w:sz="6" w:space="0" w:color="000000"/>
            </w:tcBorders>
            <w:hideMark/>
          </w:tcPr>
          <w:p w:rsidR="00372453" w:rsidRDefault="00372453">
            <w:pPr>
              <w:jc w:val="center"/>
              <w:rPr>
                <w:rFonts w:ascii="Times" w:hAnsi="Times" w:cs="Times"/>
                <w:b/>
                <w:bCs/>
                <w:sz w:val="25"/>
                <w:szCs w:val="25"/>
              </w:rPr>
            </w:pPr>
            <w:r>
              <w:rPr>
                <w:rFonts w:ascii="Times" w:hAnsi="Times" w:cs="Times"/>
                <w:b/>
                <w:bCs/>
                <w:sz w:val="25"/>
                <w:szCs w:val="25"/>
              </w:rPr>
              <w:lastRenderedPageBreak/>
              <w:t>MFSR</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rPr>
                <w:rFonts w:ascii="Times" w:hAnsi="Times" w:cs="Times"/>
                <w:sz w:val="25"/>
                <w:szCs w:val="25"/>
              </w:rPr>
            </w:pPr>
            <w:r>
              <w:rPr>
                <w:rFonts w:ascii="Times" w:hAnsi="Times" w:cs="Times"/>
                <w:sz w:val="25"/>
                <w:szCs w:val="25"/>
              </w:rPr>
              <w:t xml:space="preserve">1. V článku II písm. i) Štatútu Slovenskej komisie pre UNESCO je použitá formulácia: „pripravuje kandidátov za Slovenskú republiku do subsidiárnych orgánov UNESCO.“ Z uvedenej formulácie nie je zrejmé, akú aktivitu Komisia vo vzťahu ku kandidátom SR do subsidiárnych orgánov UNESCO vykonáva. Odporúčam upraviť tak, aby bolo jednoznačné, čo presne je úlohou Komisie vo vzťahu ku kandidátom SR do subsidiárnych orgánov UNESCO. 2. Podľa článku XII Finančné prostriedky komisie rozpočet komisie tvorí aj príspevok Ministerstva zahraničných vecí a európskych záležitostí SR na zabezpečenie organizačných a programových aktivít komisie. Vzhľadom na túto skutočnosť, nie je možné súhlasiť s tým, že predložený návrh nemá vplyv na rozpočet verejnej správy a doložku vybraných vplyvov je potrebné vypracovať v súlade s platnou Jednotnou metodikou na posudzovanie vybraných vplyvov. 3. V článku XIII odporúčam zmeniť poradie odsekov 4 a 5 tak, aby zrušenie platnosti štatútu bolo uvedené v odseku 5. 4. Z. formálneho hľadiska odporúčam číslo a nadpis jednotlivých článkov štatútu umiestniť na stred strany. </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372453" w:rsidRDefault="00372453">
            <w:pPr>
              <w:jc w:val="center"/>
              <w:rPr>
                <w:rFonts w:ascii="Times" w:hAnsi="Times" w:cs="Times"/>
                <w:b/>
                <w:bCs/>
                <w:sz w:val="25"/>
                <w:szCs w:val="25"/>
              </w:rPr>
            </w:pPr>
            <w:r>
              <w:rPr>
                <w:rFonts w:ascii="Times" w:hAnsi="Times" w:cs="Times"/>
                <w:b/>
                <w:bCs/>
                <w:sz w:val="25"/>
                <w:szCs w:val="25"/>
              </w:rPr>
              <w:t>O</w:t>
            </w:r>
          </w:p>
        </w:tc>
      </w:tr>
    </w:tbl>
    <w:p w:rsidR="00DD1B41" w:rsidRDefault="00DD1B41" w:rsidP="00D710A5">
      <w:pPr>
        <w:widowControl/>
        <w:spacing w:after="0" w:line="240" w:lineRule="auto"/>
        <w:rPr>
          <w:rFonts w:ascii="Times New Roman" w:hAnsi="Times New Roman" w:cs="Calibri"/>
          <w:sz w:val="20"/>
          <w:szCs w:val="20"/>
        </w:rPr>
      </w:pPr>
    </w:p>
    <w:tbl>
      <w:tblPr>
        <w:tblW w:w="0" w:type="auto"/>
        <w:tblLook w:val="0000" w:firstRow="0" w:lastRow="0" w:firstColumn="0" w:lastColumn="0" w:noHBand="0" w:noVBand="0"/>
      </w:tblPr>
      <w:tblGrid>
        <w:gridCol w:w="4928"/>
      </w:tblGrid>
      <w:tr w:rsidR="006173E4" w:rsidRPr="00F44C37" w:rsidTr="00C27ACD">
        <w:tc>
          <w:tcPr>
            <w:tcW w:w="4928" w:type="dxa"/>
            <w:tcBorders>
              <w:top w:val="nil"/>
              <w:left w:val="nil"/>
              <w:bottom w:val="nil"/>
              <w:right w:val="nil"/>
            </w:tcBorders>
          </w:tcPr>
          <w:p w:rsidR="006173E4" w:rsidRPr="00772C99" w:rsidRDefault="006173E4" w:rsidP="00C27ACD">
            <w:pPr>
              <w:pStyle w:val="Zkladntext"/>
              <w:widowControl/>
              <w:jc w:val="both"/>
              <w:rPr>
                <w:b w:val="0"/>
                <w:color w:val="000000"/>
                <w:sz w:val="22"/>
                <w:szCs w:val="22"/>
              </w:rPr>
            </w:pPr>
          </w:p>
          <w:p w:rsidR="006173E4" w:rsidRPr="00772C99" w:rsidRDefault="006173E4" w:rsidP="00C27ACD">
            <w:pPr>
              <w:pStyle w:val="Zkladntext"/>
              <w:widowControl/>
              <w:jc w:val="both"/>
              <w:rPr>
                <w:b w:val="0"/>
                <w:color w:val="000000"/>
                <w:sz w:val="22"/>
                <w:szCs w:val="22"/>
              </w:rPr>
            </w:pPr>
            <w:r w:rsidRPr="00772C99">
              <w:rPr>
                <w:b w:val="0"/>
                <w:color w:val="000000"/>
                <w:sz w:val="22"/>
                <w:szCs w:val="22"/>
              </w:rPr>
              <w:t>Vysvetlivky  k použitým skratkám v tabuľke:</w:t>
            </w:r>
          </w:p>
        </w:tc>
      </w:tr>
      <w:tr w:rsidR="006173E4" w:rsidRPr="00F44C37" w:rsidTr="00C27ACD">
        <w:tc>
          <w:tcPr>
            <w:tcW w:w="4928" w:type="dxa"/>
            <w:tcBorders>
              <w:top w:val="nil"/>
              <w:left w:val="nil"/>
              <w:bottom w:val="nil"/>
              <w:right w:val="nil"/>
            </w:tcBorders>
          </w:tcPr>
          <w:p w:rsidR="006173E4" w:rsidRPr="00772C99" w:rsidRDefault="006173E4" w:rsidP="00C27ACD">
            <w:pPr>
              <w:pStyle w:val="Zkladntext"/>
              <w:widowControl/>
              <w:jc w:val="both"/>
              <w:rPr>
                <w:b w:val="0"/>
                <w:color w:val="000000"/>
                <w:sz w:val="22"/>
                <w:szCs w:val="22"/>
              </w:rPr>
            </w:pPr>
            <w:r w:rsidRPr="00772C99">
              <w:rPr>
                <w:b w:val="0"/>
                <w:color w:val="000000"/>
                <w:sz w:val="22"/>
                <w:szCs w:val="22"/>
              </w:rPr>
              <w:t>O – obyčajná</w:t>
            </w:r>
          </w:p>
        </w:tc>
      </w:tr>
      <w:tr w:rsidR="006173E4" w:rsidRPr="00F44C37" w:rsidTr="00C27ACD">
        <w:tc>
          <w:tcPr>
            <w:tcW w:w="4928" w:type="dxa"/>
            <w:tcBorders>
              <w:top w:val="nil"/>
              <w:left w:val="nil"/>
              <w:bottom w:val="nil"/>
              <w:right w:val="nil"/>
            </w:tcBorders>
          </w:tcPr>
          <w:p w:rsidR="006173E4" w:rsidRPr="00772C99" w:rsidRDefault="006173E4" w:rsidP="00C27ACD">
            <w:pPr>
              <w:pStyle w:val="Zkladntext"/>
              <w:widowControl/>
              <w:jc w:val="both"/>
              <w:rPr>
                <w:b w:val="0"/>
                <w:color w:val="000000"/>
                <w:sz w:val="22"/>
                <w:szCs w:val="22"/>
              </w:rPr>
            </w:pPr>
            <w:r w:rsidRPr="00772C99">
              <w:rPr>
                <w:b w:val="0"/>
                <w:color w:val="000000"/>
                <w:sz w:val="22"/>
                <w:szCs w:val="22"/>
              </w:rPr>
              <w:t>Z – zásadná</w:t>
            </w:r>
          </w:p>
        </w:tc>
      </w:tr>
    </w:tbl>
    <w:p w:rsidR="006173E4" w:rsidRPr="005A1161" w:rsidRDefault="006173E4" w:rsidP="00D710A5">
      <w:pPr>
        <w:widowControl/>
        <w:spacing w:after="0" w:line="240" w:lineRule="auto"/>
        <w:rPr>
          <w:rFonts w:ascii="Times New Roman" w:hAnsi="Times New Roman" w:cs="Calibri"/>
          <w:sz w:val="20"/>
          <w:szCs w:val="20"/>
        </w:rPr>
      </w:pPr>
    </w:p>
    <w:sectPr w:rsidR="006173E4" w:rsidRPr="005A1161">
      <w:pgSz w:w="15840" w:h="12240" w:orient="landscape"/>
      <w:pgMar w:top="1418" w:right="851" w:bottom="1418"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EE"/>
    <w:family w:val="roman"/>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3B0"/>
    <w:rsid w:val="000144C3"/>
    <w:rsid w:val="000B3F57"/>
    <w:rsid w:val="002C2B40"/>
    <w:rsid w:val="002F00DB"/>
    <w:rsid w:val="00327A2D"/>
    <w:rsid w:val="00372453"/>
    <w:rsid w:val="003A35EB"/>
    <w:rsid w:val="003C009A"/>
    <w:rsid w:val="004C083B"/>
    <w:rsid w:val="005A1161"/>
    <w:rsid w:val="006173E4"/>
    <w:rsid w:val="00661635"/>
    <w:rsid w:val="006A0E56"/>
    <w:rsid w:val="00761851"/>
    <w:rsid w:val="00772C99"/>
    <w:rsid w:val="00773CE7"/>
    <w:rsid w:val="008461A5"/>
    <w:rsid w:val="0087529A"/>
    <w:rsid w:val="008F1A80"/>
    <w:rsid w:val="00A56287"/>
    <w:rsid w:val="00AA4FD0"/>
    <w:rsid w:val="00B3505E"/>
    <w:rsid w:val="00B50E2A"/>
    <w:rsid w:val="00B51490"/>
    <w:rsid w:val="00BA14D6"/>
    <w:rsid w:val="00BF7A63"/>
    <w:rsid w:val="00D02827"/>
    <w:rsid w:val="00D17ED7"/>
    <w:rsid w:val="00D463B0"/>
    <w:rsid w:val="00D710A5"/>
    <w:rsid w:val="00DD1B41"/>
    <w:rsid w:val="00DF7EB5"/>
    <w:rsid w:val="00F10D72"/>
    <w:rsid w:val="00F44C37"/>
    <w:rsid w:val="00FE24F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D710A5"/>
    <w:pPr>
      <w:widowControl w:val="0"/>
      <w:adjustRightInd w:val="0"/>
    </w:pPr>
    <w:rPr>
      <w:rFonts w:ascii="Calibri" w:eastAsia="Times New Roman" w:hAnsi="Calibri" w:cs="Times New Roma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D710A5"/>
    <w:rPr>
      <w:rFonts w:ascii="Times New Roman" w:hAnsi="Times New Roman" w:cs="Times New Roman"/>
      <w:color w:val="808080"/>
    </w:rPr>
  </w:style>
  <w:style w:type="paragraph" w:styleId="Textbubliny">
    <w:name w:val="Balloon Text"/>
    <w:basedOn w:val="Normlny"/>
    <w:link w:val="TextbublinyChar"/>
    <w:uiPriority w:val="99"/>
    <w:semiHidden/>
    <w:unhideWhenUsed/>
    <w:rsid w:val="00D710A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D710A5"/>
    <w:rPr>
      <w:rFonts w:ascii="Tahoma" w:eastAsia="Times New Roman" w:hAnsi="Tahoma" w:cs="Tahoma"/>
      <w:sz w:val="16"/>
      <w:szCs w:val="16"/>
      <w:lang w:val="en-US"/>
    </w:rPr>
  </w:style>
  <w:style w:type="table" w:styleId="Mriekatabuky">
    <w:name w:val="Table Grid"/>
    <w:basedOn w:val="Normlnatabuka"/>
    <w:uiPriority w:val="59"/>
    <w:rsid w:val="00D710A5"/>
    <w:pPr>
      <w:widowControl w:val="0"/>
      <w:autoSpaceDE w:val="0"/>
      <w:autoSpaceDN w:val="0"/>
      <w:adjustRightInd w:val="0"/>
      <w:spacing w:after="0" w:line="240" w:lineRule="auto"/>
    </w:pPr>
    <w:rPr>
      <w:rFonts w:ascii="Calibri" w:eastAsia="Times New Roman" w:hAnsi="Calibri" w:cs="Times New Roman"/>
      <w:sz w:val="24"/>
      <w:szCs w:val="24"/>
      <w:lang w:eastAsia="sk-SK"/>
    </w:rPr>
    <w:tblPr>
      <w:tblInd w:w="0" w:type="dxa"/>
      <w:tblCellMar>
        <w:top w:w="0" w:type="dxa"/>
        <w:left w:w="0" w:type="dxa"/>
        <w:bottom w:w="0" w:type="dxa"/>
        <w:right w:w="0" w:type="dxa"/>
      </w:tblCellMar>
    </w:tblPr>
  </w:style>
  <w:style w:type="character" w:styleId="Siln">
    <w:name w:val="Strong"/>
    <w:basedOn w:val="Predvolenpsmoodseku"/>
    <w:uiPriority w:val="22"/>
    <w:qFormat/>
    <w:rsid w:val="00D710A5"/>
    <w:rPr>
      <w:rFonts w:ascii="Times New Roman" w:hAnsi="Times New Roman" w:cs="Times New Roman"/>
      <w:b/>
      <w:bCs/>
    </w:rPr>
  </w:style>
  <w:style w:type="paragraph" w:styleId="Zkladntext">
    <w:name w:val="Body Text"/>
    <w:basedOn w:val="Normlny"/>
    <w:link w:val="ZkladntextChar"/>
    <w:uiPriority w:val="99"/>
    <w:semiHidden/>
    <w:rsid w:val="00D710A5"/>
    <w:pPr>
      <w:spacing w:after="0" w:line="240" w:lineRule="auto"/>
      <w:jc w:val="center"/>
    </w:pPr>
    <w:rPr>
      <w:rFonts w:ascii="Times New Roman" w:hAnsi="Times New Roman"/>
      <w:b/>
      <w:bCs/>
      <w:sz w:val="28"/>
      <w:szCs w:val="28"/>
      <w:lang w:eastAsia="sk-SK"/>
    </w:rPr>
  </w:style>
  <w:style w:type="character" w:customStyle="1" w:styleId="ZkladntextChar">
    <w:name w:val="Základný text Char"/>
    <w:basedOn w:val="Predvolenpsmoodseku"/>
    <w:link w:val="Zkladntext"/>
    <w:uiPriority w:val="99"/>
    <w:semiHidden/>
    <w:rsid w:val="00D710A5"/>
    <w:rPr>
      <w:rFonts w:ascii="Times New Roman" w:eastAsia="Times New Roman" w:hAnsi="Times New Roman" w:cs="Times New Roman"/>
      <w:b/>
      <w:bCs/>
      <w:sz w:val="28"/>
      <w:szCs w:val="28"/>
      <w:lang w:eastAsia="sk-SK"/>
    </w:rPr>
  </w:style>
  <w:style w:type="paragraph" w:styleId="Zarkazkladnhotextu2">
    <w:name w:val="Body Text Indent 2"/>
    <w:basedOn w:val="Normlny"/>
    <w:link w:val="Zarkazkladnhotextu2Char"/>
    <w:uiPriority w:val="99"/>
    <w:semiHidden/>
    <w:unhideWhenUsed/>
    <w:rsid w:val="00D710A5"/>
    <w:pPr>
      <w:spacing w:after="120" w:line="480" w:lineRule="auto"/>
      <w:ind w:left="283"/>
    </w:pPr>
  </w:style>
  <w:style w:type="character" w:customStyle="1" w:styleId="Zarkazkladnhotextu2Char">
    <w:name w:val="Zarážka základného textu 2 Char"/>
    <w:basedOn w:val="Predvolenpsmoodseku"/>
    <w:link w:val="Zarkazkladnhotextu2"/>
    <w:uiPriority w:val="99"/>
    <w:semiHidden/>
    <w:rsid w:val="00D710A5"/>
    <w:rPr>
      <w:rFonts w:ascii="Calibri" w:eastAsia="Times New Roman" w:hAnsi="Calibri" w:cs="Times New Roman"/>
      <w:lang w:val="en-US"/>
    </w:rPr>
  </w:style>
  <w:style w:type="character" w:styleId="Odkaznakomentr">
    <w:name w:val="annotation reference"/>
    <w:basedOn w:val="Predvolenpsmoodseku"/>
    <w:uiPriority w:val="99"/>
    <w:semiHidden/>
    <w:unhideWhenUsed/>
    <w:rsid w:val="006A0E56"/>
    <w:rPr>
      <w:sz w:val="16"/>
      <w:szCs w:val="16"/>
    </w:rPr>
  </w:style>
  <w:style w:type="paragraph" w:styleId="Textkomentra">
    <w:name w:val="annotation text"/>
    <w:basedOn w:val="Normlny"/>
    <w:link w:val="TextkomentraChar"/>
    <w:uiPriority w:val="99"/>
    <w:semiHidden/>
    <w:unhideWhenUsed/>
    <w:rsid w:val="006A0E56"/>
    <w:pPr>
      <w:spacing w:line="240" w:lineRule="auto"/>
    </w:pPr>
    <w:rPr>
      <w:sz w:val="20"/>
      <w:szCs w:val="20"/>
    </w:rPr>
  </w:style>
  <w:style w:type="character" w:customStyle="1" w:styleId="TextkomentraChar">
    <w:name w:val="Text komentára Char"/>
    <w:basedOn w:val="Predvolenpsmoodseku"/>
    <w:link w:val="Textkomentra"/>
    <w:uiPriority w:val="99"/>
    <w:semiHidden/>
    <w:rsid w:val="006A0E56"/>
    <w:rPr>
      <w:rFonts w:ascii="Calibri" w:eastAsia="Times New Roman" w:hAnsi="Calibri" w:cs="Times New Roman"/>
      <w:sz w:val="20"/>
      <w:szCs w:val="20"/>
      <w:lang w:val="en-US"/>
    </w:rPr>
  </w:style>
  <w:style w:type="paragraph" w:styleId="Predmetkomentra">
    <w:name w:val="annotation subject"/>
    <w:basedOn w:val="Textkomentra"/>
    <w:next w:val="Textkomentra"/>
    <w:link w:val="PredmetkomentraChar"/>
    <w:uiPriority w:val="99"/>
    <w:semiHidden/>
    <w:unhideWhenUsed/>
    <w:rsid w:val="006A0E56"/>
    <w:rPr>
      <w:b/>
      <w:bCs/>
    </w:rPr>
  </w:style>
  <w:style w:type="character" w:customStyle="1" w:styleId="PredmetkomentraChar">
    <w:name w:val="Predmet komentára Char"/>
    <w:basedOn w:val="TextkomentraChar"/>
    <w:link w:val="Predmetkomentra"/>
    <w:uiPriority w:val="99"/>
    <w:semiHidden/>
    <w:rsid w:val="006A0E56"/>
    <w:rPr>
      <w:rFonts w:ascii="Calibri" w:eastAsia="Times New Roman" w:hAnsi="Calibri" w:cs="Times New Roman"/>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D710A5"/>
    <w:pPr>
      <w:widowControl w:val="0"/>
      <w:adjustRightInd w:val="0"/>
    </w:pPr>
    <w:rPr>
      <w:rFonts w:ascii="Calibri" w:eastAsia="Times New Roman" w:hAnsi="Calibri" w:cs="Times New Roma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D710A5"/>
    <w:rPr>
      <w:rFonts w:ascii="Times New Roman" w:hAnsi="Times New Roman" w:cs="Times New Roman"/>
      <w:color w:val="808080"/>
    </w:rPr>
  </w:style>
  <w:style w:type="paragraph" w:styleId="Textbubliny">
    <w:name w:val="Balloon Text"/>
    <w:basedOn w:val="Normlny"/>
    <w:link w:val="TextbublinyChar"/>
    <w:uiPriority w:val="99"/>
    <w:semiHidden/>
    <w:unhideWhenUsed/>
    <w:rsid w:val="00D710A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D710A5"/>
    <w:rPr>
      <w:rFonts w:ascii="Tahoma" w:eastAsia="Times New Roman" w:hAnsi="Tahoma" w:cs="Tahoma"/>
      <w:sz w:val="16"/>
      <w:szCs w:val="16"/>
      <w:lang w:val="en-US"/>
    </w:rPr>
  </w:style>
  <w:style w:type="table" w:styleId="Mriekatabuky">
    <w:name w:val="Table Grid"/>
    <w:basedOn w:val="Normlnatabuka"/>
    <w:uiPriority w:val="59"/>
    <w:rsid w:val="00D710A5"/>
    <w:pPr>
      <w:widowControl w:val="0"/>
      <w:autoSpaceDE w:val="0"/>
      <w:autoSpaceDN w:val="0"/>
      <w:adjustRightInd w:val="0"/>
      <w:spacing w:after="0" w:line="240" w:lineRule="auto"/>
    </w:pPr>
    <w:rPr>
      <w:rFonts w:ascii="Calibri" w:eastAsia="Times New Roman" w:hAnsi="Calibri" w:cs="Times New Roman"/>
      <w:sz w:val="24"/>
      <w:szCs w:val="24"/>
      <w:lang w:eastAsia="sk-SK"/>
    </w:rPr>
    <w:tblPr>
      <w:tblInd w:w="0" w:type="dxa"/>
      <w:tblCellMar>
        <w:top w:w="0" w:type="dxa"/>
        <w:left w:w="0" w:type="dxa"/>
        <w:bottom w:w="0" w:type="dxa"/>
        <w:right w:w="0" w:type="dxa"/>
      </w:tblCellMar>
    </w:tblPr>
  </w:style>
  <w:style w:type="character" w:styleId="Siln">
    <w:name w:val="Strong"/>
    <w:basedOn w:val="Predvolenpsmoodseku"/>
    <w:uiPriority w:val="22"/>
    <w:qFormat/>
    <w:rsid w:val="00D710A5"/>
    <w:rPr>
      <w:rFonts w:ascii="Times New Roman" w:hAnsi="Times New Roman" w:cs="Times New Roman"/>
      <w:b/>
      <w:bCs/>
    </w:rPr>
  </w:style>
  <w:style w:type="paragraph" w:styleId="Zkladntext">
    <w:name w:val="Body Text"/>
    <w:basedOn w:val="Normlny"/>
    <w:link w:val="ZkladntextChar"/>
    <w:uiPriority w:val="99"/>
    <w:semiHidden/>
    <w:rsid w:val="00D710A5"/>
    <w:pPr>
      <w:spacing w:after="0" w:line="240" w:lineRule="auto"/>
      <w:jc w:val="center"/>
    </w:pPr>
    <w:rPr>
      <w:rFonts w:ascii="Times New Roman" w:hAnsi="Times New Roman"/>
      <w:b/>
      <w:bCs/>
      <w:sz w:val="28"/>
      <w:szCs w:val="28"/>
      <w:lang w:eastAsia="sk-SK"/>
    </w:rPr>
  </w:style>
  <w:style w:type="character" w:customStyle="1" w:styleId="ZkladntextChar">
    <w:name w:val="Základný text Char"/>
    <w:basedOn w:val="Predvolenpsmoodseku"/>
    <w:link w:val="Zkladntext"/>
    <w:uiPriority w:val="99"/>
    <w:semiHidden/>
    <w:rsid w:val="00D710A5"/>
    <w:rPr>
      <w:rFonts w:ascii="Times New Roman" w:eastAsia="Times New Roman" w:hAnsi="Times New Roman" w:cs="Times New Roman"/>
      <w:b/>
      <w:bCs/>
      <w:sz w:val="28"/>
      <w:szCs w:val="28"/>
      <w:lang w:eastAsia="sk-SK"/>
    </w:rPr>
  </w:style>
  <w:style w:type="paragraph" w:styleId="Zarkazkladnhotextu2">
    <w:name w:val="Body Text Indent 2"/>
    <w:basedOn w:val="Normlny"/>
    <w:link w:val="Zarkazkladnhotextu2Char"/>
    <w:uiPriority w:val="99"/>
    <w:semiHidden/>
    <w:unhideWhenUsed/>
    <w:rsid w:val="00D710A5"/>
    <w:pPr>
      <w:spacing w:after="120" w:line="480" w:lineRule="auto"/>
      <w:ind w:left="283"/>
    </w:pPr>
  </w:style>
  <w:style w:type="character" w:customStyle="1" w:styleId="Zarkazkladnhotextu2Char">
    <w:name w:val="Zarážka základného textu 2 Char"/>
    <w:basedOn w:val="Predvolenpsmoodseku"/>
    <w:link w:val="Zarkazkladnhotextu2"/>
    <w:uiPriority w:val="99"/>
    <w:semiHidden/>
    <w:rsid w:val="00D710A5"/>
    <w:rPr>
      <w:rFonts w:ascii="Calibri" w:eastAsia="Times New Roman" w:hAnsi="Calibri" w:cs="Times New Roman"/>
      <w:lang w:val="en-US"/>
    </w:rPr>
  </w:style>
  <w:style w:type="character" w:styleId="Odkaznakomentr">
    <w:name w:val="annotation reference"/>
    <w:basedOn w:val="Predvolenpsmoodseku"/>
    <w:uiPriority w:val="99"/>
    <w:semiHidden/>
    <w:unhideWhenUsed/>
    <w:rsid w:val="006A0E56"/>
    <w:rPr>
      <w:sz w:val="16"/>
      <w:szCs w:val="16"/>
    </w:rPr>
  </w:style>
  <w:style w:type="paragraph" w:styleId="Textkomentra">
    <w:name w:val="annotation text"/>
    <w:basedOn w:val="Normlny"/>
    <w:link w:val="TextkomentraChar"/>
    <w:uiPriority w:val="99"/>
    <w:semiHidden/>
    <w:unhideWhenUsed/>
    <w:rsid w:val="006A0E56"/>
    <w:pPr>
      <w:spacing w:line="240" w:lineRule="auto"/>
    </w:pPr>
    <w:rPr>
      <w:sz w:val="20"/>
      <w:szCs w:val="20"/>
    </w:rPr>
  </w:style>
  <w:style w:type="character" w:customStyle="1" w:styleId="TextkomentraChar">
    <w:name w:val="Text komentára Char"/>
    <w:basedOn w:val="Predvolenpsmoodseku"/>
    <w:link w:val="Textkomentra"/>
    <w:uiPriority w:val="99"/>
    <w:semiHidden/>
    <w:rsid w:val="006A0E56"/>
    <w:rPr>
      <w:rFonts w:ascii="Calibri" w:eastAsia="Times New Roman" w:hAnsi="Calibri" w:cs="Times New Roman"/>
      <w:sz w:val="20"/>
      <w:szCs w:val="20"/>
      <w:lang w:val="en-US"/>
    </w:rPr>
  </w:style>
  <w:style w:type="paragraph" w:styleId="Predmetkomentra">
    <w:name w:val="annotation subject"/>
    <w:basedOn w:val="Textkomentra"/>
    <w:next w:val="Textkomentra"/>
    <w:link w:val="PredmetkomentraChar"/>
    <w:uiPriority w:val="99"/>
    <w:semiHidden/>
    <w:unhideWhenUsed/>
    <w:rsid w:val="006A0E56"/>
    <w:rPr>
      <w:b/>
      <w:bCs/>
    </w:rPr>
  </w:style>
  <w:style w:type="character" w:customStyle="1" w:styleId="PredmetkomentraChar">
    <w:name w:val="Predmet komentára Char"/>
    <w:basedOn w:val="TextkomentraChar"/>
    <w:link w:val="Predmetkomentra"/>
    <w:uiPriority w:val="99"/>
    <w:semiHidden/>
    <w:rsid w:val="006A0E56"/>
    <w:rPr>
      <w:rFonts w:ascii="Calibri" w:eastAsia="Times New Roman" w:hAnsi="Calibri"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594086">
      <w:bodyDiv w:val="1"/>
      <w:marLeft w:val="0"/>
      <w:marRight w:val="0"/>
      <w:marTop w:val="0"/>
      <w:marBottom w:val="0"/>
      <w:divBdr>
        <w:top w:val="none" w:sz="0" w:space="0" w:color="auto"/>
        <w:left w:val="none" w:sz="0" w:space="0" w:color="auto"/>
        <w:bottom w:val="none" w:sz="0" w:space="0" w:color="auto"/>
        <w:right w:val="none" w:sz="0" w:space="0" w:color="auto"/>
      </w:divBdr>
      <w:divsChild>
        <w:div w:id="330067953">
          <w:marLeft w:val="0"/>
          <w:marRight w:val="0"/>
          <w:marTop w:val="0"/>
          <w:marBottom w:val="0"/>
          <w:divBdr>
            <w:top w:val="none" w:sz="0" w:space="0" w:color="auto"/>
            <w:left w:val="none" w:sz="0" w:space="0" w:color="auto"/>
            <w:bottom w:val="none" w:sz="0" w:space="0" w:color="auto"/>
            <w:right w:val="none" w:sz="0" w:space="0" w:color="auto"/>
          </w:divBdr>
        </w:div>
      </w:divsChild>
    </w:div>
    <w:div w:id="513765316">
      <w:bodyDiv w:val="1"/>
      <w:marLeft w:val="0"/>
      <w:marRight w:val="0"/>
      <w:marTop w:val="0"/>
      <w:marBottom w:val="0"/>
      <w:divBdr>
        <w:top w:val="none" w:sz="0" w:space="0" w:color="auto"/>
        <w:left w:val="none" w:sz="0" w:space="0" w:color="auto"/>
        <w:bottom w:val="none" w:sz="0" w:space="0" w:color="auto"/>
        <w:right w:val="none" w:sz="0" w:space="0" w:color="auto"/>
      </w:divBdr>
    </w:div>
    <w:div w:id="637222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6.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5.xml"/><Relationship Id="rId5" Type="http://schemas.openxmlformats.org/officeDocument/2006/relationships/settings" Target="settings.xml"/><Relationship Id="rId10"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customXml" Target="../customXml/item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documentManagement>
    <_dlc_DocIdUrl xmlns="e60a29af-d413-48d4-bd90-fe9d2a897e4b">
      <Url>https://ovdmasv601/sites/DMS/_layouts/15/DocIdRedir.aspx?ID=WKX3UHSAJ2R6-2-734190</Url>
      <Description>WKX3UHSAJ2R6-2-734190</Description>
    </_dlc_DocIdUrl>
    <_dlc_DocId xmlns="e60a29af-d413-48d4-bd90-fe9d2a897e4b">WKX3UHSAJ2R6-2-734190</_dlc_DocId>
  </documentManagement>
</p:properties>
</file>

<file path=customXml/item2.xml><?xml version="1.0" encoding="utf-8"?>
<f:fields xmlns:f="http://schemas.fabasoft.com/folio/2007/fields">
  <f:record ref="">
    <f:field ref="objname" par="" edit="true" text="Vznesené pripomienky v ramci medzirezortného pripomienkového konania"/>
    <f:field ref="objsubject" par="" edit="true" text="Vznesené pripomienky v ramci medzirezortného pripomienkového konania"/>
    <f:field ref="objcreatedby" par="" text="Administrator, System"/>
    <f:field ref="objcreatedat" par="" text="17.5.2016 15:42:45"/>
    <f:field ref="objchangedby" par="" text="Administrator, System"/>
    <f:field ref="objmodifiedat" par="" text="17.5.2016 15:42:47"/>
    <f:field ref="doc_FSCFOLIO_1_1001_FieldDocumentNumber" par="" text=""/>
    <f:field ref="doc_FSCFOLIO_1_1001_FieldSubject" par="" edit="true" text="Vznesené pripomienky v ramci medzirezortného pripomienkového konania"/>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F9624D-2C82-4EE2-B71F-93362BC12327}"/>
</file>

<file path=customXml/itemProps2.xml><?xml version="1.0" encoding="utf-8"?>
<ds:datastoreItem xmlns:ds="http://schemas.openxmlformats.org/officeDocument/2006/customXml" ds:itemID="{4E8A9591-F074-446B-902F-511FF79C122F}"/>
</file>

<file path=customXml/itemProps3.xml><?xml version="1.0" encoding="utf-8"?>
<ds:datastoreItem xmlns:ds="http://schemas.openxmlformats.org/officeDocument/2006/customXml" ds:itemID="{76ECD040-440F-41EA-AC3B-42B3AF17DC16}"/>
</file>

<file path=customXml/itemProps4.xml><?xml version="1.0" encoding="utf-8"?>
<ds:datastoreItem xmlns:ds="http://schemas.openxmlformats.org/officeDocument/2006/customXml" ds:itemID="{04DA35AE-C67C-4430-8D99-B24C52EF4442}"/>
</file>

<file path=customXml/itemProps5.xml><?xml version="1.0" encoding="utf-8"?>
<ds:datastoreItem xmlns:ds="http://schemas.openxmlformats.org/officeDocument/2006/customXml" ds:itemID="{30110638-6555-43B4-A388-A25AFC8ACAB0}"/>
</file>

<file path=customXml/itemProps6.xml><?xml version="1.0" encoding="utf-8"?>
<ds:datastoreItem xmlns:ds="http://schemas.openxmlformats.org/officeDocument/2006/customXml" ds:itemID="{84B26499-0653-4B56-A7C6-D178D29DB05B}"/>
</file>

<file path=docProps/app.xml><?xml version="1.0" encoding="utf-8"?>
<Properties xmlns="http://schemas.openxmlformats.org/officeDocument/2006/extended-properties" xmlns:vt="http://schemas.openxmlformats.org/officeDocument/2006/docPropsVTypes">
  <Template>Normal.dotm</Template>
  <TotalTime>0</TotalTime>
  <Pages>10</Pages>
  <Words>2532</Words>
  <Characters>14436</Characters>
  <Application>Microsoft Office Word</Application>
  <DocSecurity>0</DocSecurity>
  <Lines>120</Lines>
  <Paragraphs>33</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MZV SR</Company>
  <LinksUpToDate>false</LinksUpToDate>
  <CharactersWithSpaces>16935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Lubos Kubus</dc:creator>
  <cp:lastModifiedBy>Windows User</cp:lastModifiedBy>
  <cp:revision>2</cp:revision>
  <dcterms:created xsi:type="dcterms:W3CDTF">2016-06-10T12:48:00Z</dcterms:created>
  <dcterms:modified xsi:type="dcterms:W3CDTF">2016-06-10T12:48:00Z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cisloparlamenttlac">
    <vt:lpwstr/>
  </property>
  <property fmtid="{D5CDD505-2E9C-101B-9397-08002B2CF9AE}" pid="5" name="FSC#SKEDITIONSLOVLEX@103.510:stavpredpis">
    <vt:lpwstr>Vyhodnotenie medzirezortného pripomienkového konania</vt:lpwstr>
  </property>
  <property fmtid="{D5CDD505-2E9C-101B-9397-08002B2CF9AE}" pid="6" name="FSC#SKEDITIONSLOVLEX@103.510:povodpredpis">
    <vt:lpwstr>Slovlex (eLeg)</vt:lpwstr>
  </property>
  <property fmtid="{D5CDD505-2E9C-101B-9397-08002B2CF9AE}" pid="7" name="FSC#SKEDITIONSLOVLEX@103.510:legoblast">
    <vt:lpwstr>Nelegislatívna oblasť</vt:lpwstr>
  </property>
  <property fmtid="{D5CDD505-2E9C-101B-9397-08002B2CF9AE}" pid="8" name="FSC#SKEDITIONSLOVLEX@103.510:uzemplat">
    <vt:lpwstr/>
  </property>
  <property fmtid="{D5CDD505-2E9C-101B-9397-08002B2CF9AE}" pid="9" name="FSC#SKEDITIONSLOVLEX@103.510:vztahypredpis">
    <vt:lpwstr/>
  </property>
  <property fmtid="{D5CDD505-2E9C-101B-9397-08002B2CF9AE}" pid="10" name="FSC#SKEDITIONSLOVLEX@103.510:predkladatel">
    <vt:lpwstr>Mgr. Edita Filadelfiová</vt:lpwstr>
  </property>
  <property fmtid="{D5CDD505-2E9C-101B-9397-08002B2CF9AE}" pid="11" name="FSC#SKEDITIONSLOVLEX@103.510:zodppredkladatel">
    <vt:lpwstr>Miroslav Lajčák</vt:lpwstr>
  </property>
  <property fmtid="{D5CDD505-2E9C-101B-9397-08002B2CF9AE}" pid="12" name="FSC#SKEDITIONSLOVLEX@103.510:dalsipredkladatel">
    <vt:lpwstr/>
  </property>
  <property fmtid="{D5CDD505-2E9C-101B-9397-08002B2CF9AE}" pid="13" name="FSC#SKEDITIONSLOVLEX@103.510:nazovpredpis">
    <vt:lpwstr> Štatút Slovenskej komisie pre UNESCO</vt:lpwstr>
  </property>
  <property fmtid="{D5CDD505-2E9C-101B-9397-08002B2CF9AE}" pid="14" name="FSC#SKEDITIONSLOVLEX@103.510:nazovpredpis1">
    <vt:lpwstr/>
  </property>
  <property fmtid="{D5CDD505-2E9C-101B-9397-08002B2CF9AE}" pid="15" name="FSC#SKEDITIONSLOVLEX@103.510:nazovpredpis2">
    <vt:lpwstr/>
  </property>
  <property fmtid="{D5CDD505-2E9C-101B-9397-08002B2CF9AE}" pid="16" name="FSC#SKEDITIONSLOVLEX@103.510:nazovpredpis3">
    <vt:lpwstr/>
  </property>
  <property fmtid="{D5CDD505-2E9C-101B-9397-08002B2CF9AE}" pid="17" name="FSC#SKEDITIONSLOVLEX@103.510:cislopredpis">
    <vt:lpwstr/>
  </property>
  <property fmtid="{D5CDD505-2E9C-101B-9397-08002B2CF9AE}" pid="18" name="FSC#SKEDITIONSLOVLEX@103.510:zodpinstitucia">
    <vt:lpwstr>Ministerstvo zahraničných vecí a európskych záležitostí Slovenskej republiky</vt:lpwstr>
  </property>
  <property fmtid="{D5CDD505-2E9C-101B-9397-08002B2CF9AE}" pid="19" name="FSC#SKEDITIONSLOVLEX@103.510:pripomienkovatelia">
    <vt:lpwstr/>
  </property>
  <property fmtid="{D5CDD505-2E9C-101B-9397-08002B2CF9AE}" pid="20" name="FSC#SKEDITIONSLOVLEX@103.510:autorpredpis">
    <vt:lpwstr/>
  </property>
  <property fmtid="{D5CDD505-2E9C-101B-9397-08002B2CF9AE}" pid="21" name="FSC#SKEDITIONSLOVLEX@103.510:podnetpredpis">
    <vt:lpwstr>Uznesenie vlády SR č. 6/1993_x000d_
zo dňa 12. januára 1993</vt:lpwstr>
  </property>
  <property fmtid="{D5CDD505-2E9C-101B-9397-08002B2CF9AE}" pid="22" name="FSC#SKEDITIONSLOVLEX@103.510:plnynazovpredpis">
    <vt:lpwstr> Štatút Slovenskej komisie pre UNESCO</vt:lpwstr>
  </property>
  <property fmtid="{D5CDD505-2E9C-101B-9397-08002B2CF9AE}" pid="23" name="FSC#SKEDITIONSLOVLEX@103.510:plnynazovpredpis1">
    <vt:lpwstr/>
  </property>
  <property fmtid="{D5CDD505-2E9C-101B-9397-08002B2CF9AE}" pid="24" name="FSC#SKEDITIONSLOVLEX@103.510:plnynazovpredpis2">
    <vt:lpwstr/>
  </property>
  <property fmtid="{D5CDD505-2E9C-101B-9397-08002B2CF9AE}" pid="25" name="FSC#SKEDITIONSLOVLEX@103.510:plnynazovpredpis3">
    <vt:lpwstr/>
  </property>
  <property fmtid="{D5CDD505-2E9C-101B-9397-08002B2CF9AE}" pid="26" name="FSC#SKEDITIONSLOVLEX@103.510:rezortcislopredpis">
    <vt:lpwstr>580.182/2016-OSNO</vt:lpwstr>
  </property>
  <property fmtid="{D5CDD505-2E9C-101B-9397-08002B2CF9AE}" pid="27" name="FSC#SKEDITIONSLOVLEX@103.510:citaciapredpis">
    <vt:lpwstr/>
  </property>
  <property fmtid="{D5CDD505-2E9C-101B-9397-08002B2CF9AE}" pid="28" name="FSC#SKEDITIONSLOVLEX@103.510:spiscislouv">
    <vt:lpwstr/>
  </property>
  <property fmtid="{D5CDD505-2E9C-101B-9397-08002B2CF9AE}" pid="29" name="FSC#SKEDITIONSLOVLEX@103.510:datumschvalpredpis">
    <vt:lpwstr/>
  </property>
  <property fmtid="{D5CDD505-2E9C-101B-9397-08002B2CF9AE}" pid="30" name="FSC#SKEDITIONSLOVLEX@103.510:platneod">
    <vt:lpwstr/>
  </property>
  <property fmtid="{D5CDD505-2E9C-101B-9397-08002B2CF9AE}" pid="31" name="FSC#SKEDITIONSLOVLEX@103.510:platnedo">
    <vt:lpwstr/>
  </property>
  <property fmtid="{D5CDD505-2E9C-101B-9397-08002B2CF9AE}" pid="32" name="FSC#SKEDITIONSLOVLEX@103.510:ucinnostod">
    <vt:lpwstr/>
  </property>
  <property fmtid="{D5CDD505-2E9C-101B-9397-08002B2CF9AE}" pid="33" name="FSC#SKEDITIONSLOVLEX@103.510:ucinnostdo">
    <vt:lpwstr/>
  </property>
  <property fmtid="{D5CDD505-2E9C-101B-9397-08002B2CF9AE}" pid="34" name="FSC#SKEDITIONSLOVLEX@103.510:datumplatnosti">
    <vt:lpwstr/>
  </property>
  <property fmtid="{D5CDD505-2E9C-101B-9397-08002B2CF9AE}" pid="35" name="FSC#SKEDITIONSLOVLEX@103.510:cislolp">
    <vt:lpwstr>LP/2016/274</vt:lpwstr>
  </property>
  <property fmtid="{D5CDD505-2E9C-101B-9397-08002B2CF9AE}" pid="36" name="FSC#SKEDITIONSLOVLEX@103.510:typsprievdok">
    <vt:lpwstr>Vznesené pripomienky v ramci medzirezortného pripomienkového konania</vt:lpwstr>
  </property>
  <property fmtid="{D5CDD505-2E9C-101B-9397-08002B2CF9AE}" pid="37" name="FSC#SKEDITIONSLOVLEX@103.510:cislopartlac">
    <vt:lpwstr/>
  </property>
  <property fmtid="{D5CDD505-2E9C-101B-9397-08002B2CF9AE}" pid="38" name="FSC#SKEDITIONSLOVLEX@103.510:AttrStrListDocPropUcelPredmetZmluvy">
    <vt:lpwstr/>
  </property>
  <property fmtid="{D5CDD505-2E9C-101B-9397-08002B2CF9AE}" pid="39" name="FSC#SKEDITIONSLOVLEX@103.510:AttrStrListDocPropUpravaPravFOPRO">
    <vt:lpwstr/>
  </property>
  <property fmtid="{D5CDD505-2E9C-101B-9397-08002B2CF9AE}" pid="40" name="FSC#SKEDITIONSLOVLEX@103.510:AttrStrListDocPropUpravaPredmetuZmluvy">
    <vt:lpwstr/>
  </property>
  <property fmtid="{D5CDD505-2E9C-101B-9397-08002B2CF9AE}" pid="41" name="FSC#SKEDITIONSLOVLEX@103.510:AttrStrListDocPropKategoriaZmluvy74">
    <vt:lpwstr/>
  </property>
  <property fmtid="{D5CDD505-2E9C-101B-9397-08002B2CF9AE}" pid="42" name="FSC#SKEDITIONSLOVLEX@103.510:AttrStrListDocPropKategoriaZmluvy75">
    <vt:lpwstr/>
  </property>
  <property fmtid="{D5CDD505-2E9C-101B-9397-08002B2CF9AE}" pid="43" name="FSC#SKEDITIONSLOVLEX@103.510:AttrStrListDocPropDopadyPrijatiaZmluvy">
    <vt:lpwstr/>
  </property>
  <property fmtid="{D5CDD505-2E9C-101B-9397-08002B2CF9AE}" pid="44" name="FSC#SKEDITIONSLOVLEX@103.510:AttrStrListDocPropProblematikaPPa">
    <vt:lpwstr/>
  </property>
  <property fmtid="{D5CDD505-2E9C-101B-9397-08002B2CF9AE}" pid="45" name="FSC#SKEDITIONSLOVLEX@103.510:AttrStrListDocPropPrimarnePravoEU">
    <vt:lpwstr/>
  </property>
  <property fmtid="{D5CDD505-2E9C-101B-9397-08002B2CF9AE}" pid="46" name="FSC#SKEDITIONSLOVLEX@103.510:AttrStrListDocPropSekundarneLegPravoPO">
    <vt:lpwstr/>
  </property>
  <property fmtid="{D5CDD505-2E9C-101B-9397-08002B2CF9AE}" pid="47" name="FSC#SKEDITIONSLOVLEX@103.510:AttrStrListDocPropSekundarneNelegPravoPO">
    <vt:lpwstr/>
  </property>
  <property fmtid="{D5CDD505-2E9C-101B-9397-08002B2CF9AE}" pid="48" name="FSC#SKEDITIONSLOVLEX@103.510:AttrStrListDocPropSekundarneLegPravoDO">
    <vt:lpwstr/>
  </property>
  <property fmtid="{D5CDD505-2E9C-101B-9397-08002B2CF9AE}" pid="49" name="FSC#SKEDITIONSLOVLEX@103.510:AttrStrListDocPropProblematikaPPb">
    <vt:lpwstr/>
  </property>
  <property fmtid="{D5CDD505-2E9C-101B-9397-08002B2CF9AE}" pid="50" name="FSC#SKEDITIONSLOVLEX@103.510:AttrStrListDocPropNazovPredpisuEU">
    <vt:lpwstr/>
  </property>
  <property fmtid="{D5CDD505-2E9C-101B-9397-08002B2CF9AE}" pid="51" name="FSC#SKEDITIONSLOVLEX@103.510:AttrStrListDocPropLehotaPrebratieSmernice">
    <vt:lpwstr/>
  </property>
  <property fmtid="{D5CDD505-2E9C-101B-9397-08002B2CF9AE}" pid="52" name="FSC#SKEDITIONSLOVLEX@103.510:AttrStrListDocPropLehotaNaPredlozenie">
    <vt:lpwstr/>
  </property>
  <property fmtid="{D5CDD505-2E9C-101B-9397-08002B2CF9AE}" pid="53" name="FSC#SKEDITIONSLOVLEX@103.510:AttrStrListDocPropInfoZaciatokKonania">
    <vt:lpwstr/>
  </property>
  <property fmtid="{D5CDD505-2E9C-101B-9397-08002B2CF9AE}" pid="54" name="FSC#SKEDITIONSLOVLEX@103.510:AttrStrListDocPropInfoUzPreberanePP">
    <vt:lpwstr/>
  </property>
  <property fmtid="{D5CDD505-2E9C-101B-9397-08002B2CF9AE}" pid="55" name="FSC#SKEDITIONSLOVLEX@103.510:AttrStrListDocPropStupenZlucitelnostiPP">
    <vt:lpwstr/>
  </property>
  <property fmtid="{D5CDD505-2E9C-101B-9397-08002B2CF9AE}" pid="56" name="FSC#SKEDITIONSLOVLEX@103.510:AttrStrListDocPropGestorSpolupRezorty">
    <vt:lpwstr/>
  </property>
  <property fmtid="{D5CDD505-2E9C-101B-9397-08002B2CF9AE}" pid="57" name="FSC#SKEDITIONSLOVLEX@103.510:AttrDateDocPropZaciatokPKK">
    <vt:lpwstr/>
  </property>
  <property fmtid="{D5CDD505-2E9C-101B-9397-08002B2CF9AE}" pid="58" name="FSC#SKEDITIONSLOVLEX@103.510:AttrDateDocPropUkonceniePKK">
    <vt:lpwstr/>
  </property>
  <property fmtid="{D5CDD505-2E9C-101B-9397-08002B2CF9AE}" pid="59" name="FSC#SKEDITIONSLOVLEX@103.510:AttrStrDocPropVplyvRozpocetVS">
    <vt:lpwstr>Negatívne</vt:lpwstr>
  </property>
  <property fmtid="{D5CDD505-2E9C-101B-9397-08002B2CF9AE}" pid="60" name="FSC#SKEDITIONSLOVLEX@103.510:AttrStrDocPropVplyvPodnikatelskeProstr">
    <vt:lpwstr/>
  </property>
  <property fmtid="{D5CDD505-2E9C-101B-9397-08002B2CF9AE}" pid="61" name="FSC#SKEDITIONSLOVLEX@103.510:AttrStrDocPropVplyvSocialny">
    <vt:lpwstr/>
  </property>
  <property fmtid="{D5CDD505-2E9C-101B-9397-08002B2CF9AE}" pid="62" name="FSC#SKEDITIONSLOVLEX@103.510:AttrStrDocPropVplyvNaZivotProstr">
    <vt:lpwstr/>
  </property>
  <property fmtid="{D5CDD505-2E9C-101B-9397-08002B2CF9AE}" pid="63" name="FSC#SKEDITIONSLOVLEX@103.510:AttrStrDocPropVplyvNaInformatizaciu">
    <vt:lpwstr/>
  </property>
  <property fmtid="{D5CDD505-2E9C-101B-9397-08002B2CF9AE}" pid="64" name="FSC#SKEDITIONSLOVLEX@103.510:AttrStrListDocPropPoznamkaVplyv">
    <vt:lpwstr/>
  </property>
  <property fmtid="{D5CDD505-2E9C-101B-9397-08002B2CF9AE}" pid="65" name="FSC#SKEDITIONSLOVLEX@103.510:AttrStrListDocPropAltRiesenia">
    <vt:lpwstr>Žiadne.</vt:lpwstr>
  </property>
  <property fmtid="{D5CDD505-2E9C-101B-9397-08002B2CF9AE}" pid="66" name="FSC#SKEDITIONSLOVLEX@103.510:AttrStrListDocPropStanoviskoGest">
    <vt:lpwstr>Netýka sa.</vt:lpwstr>
  </property>
  <property fmtid="{D5CDD505-2E9C-101B-9397-08002B2CF9AE}" pid="67" name="FSC#SKEDITIONSLOVLEX@103.510:AttrStrListDocPropTextKomunike">
    <vt:lpwstr>Vláda Slovenskej republiky na svojom rokovaní dňa ....................... prerokovala a schválila materiál Štatút Slovenskej komisie pre UNESCO.</vt:lpwstr>
  </property>
  <property fmtid="{D5CDD505-2E9C-101B-9397-08002B2CF9AE}" pid="68" name="FSC#SKEDITIONSLOVLEX@103.510:AttrStrListDocPropUznesenieCastA">
    <vt:lpwstr/>
  </property>
  <property fmtid="{D5CDD505-2E9C-101B-9397-08002B2CF9AE}" pid="69" name="FSC#SKEDITIONSLOVLEX@103.510:AttrStrListDocPropUznesenieZodpovednyA1">
    <vt:lpwstr/>
  </property>
  <property fmtid="{D5CDD505-2E9C-101B-9397-08002B2CF9AE}" pid="70" name="FSC#SKEDITIONSLOVLEX@103.510:AttrStrListDocPropUznesenieTextA1">
    <vt:lpwstr/>
  </property>
  <property fmtid="{D5CDD505-2E9C-101B-9397-08002B2CF9AE}" pid="71" name="FSC#SKEDITIONSLOVLEX@103.510:AttrStrListDocPropUznesenieTerminA1">
    <vt:lpwstr/>
  </property>
  <property fmtid="{D5CDD505-2E9C-101B-9397-08002B2CF9AE}" pid="72" name="FSC#SKEDITIONSLOVLEX@103.510:AttrStrListDocPropUznesenieBODA1">
    <vt:lpwstr/>
  </property>
  <property fmtid="{D5CDD505-2E9C-101B-9397-08002B2CF9AE}" pid="73" name="FSC#SKEDITIONSLOVLEX@103.510:AttrStrListDocPropUznesenieZodpovednyA2">
    <vt:lpwstr/>
  </property>
  <property fmtid="{D5CDD505-2E9C-101B-9397-08002B2CF9AE}" pid="74" name="FSC#SKEDITIONSLOVLEX@103.510:AttrStrListDocPropUznesenieTextA2">
    <vt:lpwstr/>
  </property>
  <property fmtid="{D5CDD505-2E9C-101B-9397-08002B2CF9AE}" pid="75" name="FSC#SKEDITIONSLOVLEX@103.510:AttrStrListDocPropUznesenieTerminA2">
    <vt:lpwstr/>
  </property>
  <property fmtid="{D5CDD505-2E9C-101B-9397-08002B2CF9AE}" pid="76" name="FSC#SKEDITIONSLOVLEX@103.510:AttrStrListDocPropUznesenieBODA3">
    <vt:lpwstr/>
  </property>
  <property fmtid="{D5CDD505-2E9C-101B-9397-08002B2CF9AE}" pid="77" name="FSC#SKEDITIONSLOVLEX@103.510:AttrStrListDocPropUznesenieZodpovednyA3">
    <vt:lpwstr/>
  </property>
  <property fmtid="{D5CDD505-2E9C-101B-9397-08002B2CF9AE}" pid="78" name="FSC#SKEDITIONSLOVLEX@103.510:AttrStrListDocPropUznesenieTextA3">
    <vt:lpwstr/>
  </property>
  <property fmtid="{D5CDD505-2E9C-101B-9397-08002B2CF9AE}" pid="79" name="FSC#SKEDITIONSLOVLEX@103.510:AttrStrListDocPropUznesenieTerminA3">
    <vt:lpwstr/>
  </property>
  <property fmtid="{D5CDD505-2E9C-101B-9397-08002B2CF9AE}" pid="80" name="FSC#SKEDITIONSLOVLEX@103.510:AttrStrListDocPropUznesenieBODA4">
    <vt:lpwstr/>
  </property>
  <property fmtid="{D5CDD505-2E9C-101B-9397-08002B2CF9AE}" pid="81" name="FSC#SKEDITIONSLOVLEX@103.510:AttrStrListDocPropUznesenieZodpovednyA4">
    <vt:lpwstr/>
  </property>
  <property fmtid="{D5CDD505-2E9C-101B-9397-08002B2CF9AE}" pid="82" name="FSC#SKEDITIONSLOVLEX@103.510:AttrStrListDocPropUznesenieTextA4">
    <vt:lpwstr/>
  </property>
  <property fmtid="{D5CDD505-2E9C-101B-9397-08002B2CF9AE}" pid="83" name="FSC#SKEDITIONSLOVLEX@103.510:AttrStrListDocPropUznesenieTerminA4">
    <vt:lpwstr/>
  </property>
  <property fmtid="{D5CDD505-2E9C-101B-9397-08002B2CF9AE}" pid="84" name="FSC#SKEDITIONSLOVLEX@103.510:AttrStrListDocPropUznesenieCastB">
    <vt:lpwstr/>
  </property>
  <property fmtid="{D5CDD505-2E9C-101B-9397-08002B2CF9AE}" pid="85" name="FSC#SKEDITIONSLOVLEX@103.510:AttrStrListDocPropUznesenieBODB1">
    <vt:lpwstr/>
  </property>
  <property fmtid="{D5CDD505-2E9C-101B-9397-08002B2CF9AE}" pid="86" name="FSC#SKEDITIONSLOVLEX@103.510:AttrStrListDocPropUznesenieZodpovednyB1">
    <vt:lpwstr/>
  </property>
  <property fmtid="{D5CDD505-2E9C-101B-9397-08002B2CF9AE}" pid="87" name="FSC#SKEDITIONSLOVLEX@103.510:AttrStrListDocPropUznesenieTextB1">
    <vt:lpwstr/>
  </property>
  <property fmtid="{D5CDD505-2E9C-101B-9397-08002B2CF9AE}" pid="88" name="FSC#SKEDITIONSLOVLEX@103.510:AttrStrListDocPropUznesenieTerminB1">
    <vt:lpwstr/>
  </property>
  <property fmtid="{D5CDD505-2E9C-101B-9397-08002B2CF9AE}" pid="89" name="FSC#SKEDITIONSLOVLEX@103.510:AttrStrListDocPropUznesenieBODB2">
    <vt:lpwstr/>
  </property>
  <property fmtid="{D5CDD505-2E9C-101B-9397-08002B2CF9AE}" pid="90" name="FSC#SKEDITIONSLOVLEX@103.510:AttrStrListDocPropUznesenieZodpovednyB2">
    <vt:lpwstr/>
  </property>
  <property fmtid="{D5CDD505-2E9C-101B-9397-08002B2CF9AE}" pid="91" name="FSC#SKEDITIONSLOVLEX@103.510:AttrStrListDocPropUznesenieTextB2">
    <vt:lpwstr/>
  </property>
  <property fmtid="{D5CDD505-2E9C-101B-9397-08002B2CF9AE}" pid="92" name="FSC#SKEDITIONSLOVLEX@103.510:AttrStrListDocPropUznesenieTerminB2">
    <vt:lpwstr/>
  </property>
  <property fmtid="{D5CDD505-2E9C-101B-9397-08002B2CF9AE}" pid="93" name="FSC#SKEDITIONSLOVLEX@103.510:AttrStrListDocPropUznesenieBODB3">
    <vt:lpwstr/>
  </property>
  <property fmtid="{D5CDD505-2E9C-101B-9397-08002B2CF9AE}" pid="94" name="FSC#SKEDITIONSLOVLEX@103.510:AttrStrListDocPropUznesenieZodpovednyB3">
    <vt:lpwstr/>
  </property>
  <property fmtid="{D5CDD505-2E9C-101B-9397-08002B2CF9AE}" pid="95" name="FSC#SKEDITIONSLOVLEX@103.510:AttrStrListDocPropUznesenieTextB3">
    <vt:lpwstr/>
  </property>
  <property fmtid="{D5CDD505-2E9C-101B-9397-08002B2CF9AE}" pid="96" name="FSC#SKEDITIONSLOVLEX@103.510:AttrStrListDocPropUznesenieTerminB3">
    <vt:lpwstr/>
  </property>
  <property fmtid="{D5CDD505-2E9C-101B-9397-08002B2CF9AE}" pid="97" name="FSC#SKEDITIONSLOVLEX@103.510:AttrStrListDocPropUznesenieBODB4">
    <vt:lpwstr/>
  </property>
  <property fmtid="{D5CDD505-2E9C-101B-9397-08002B2CF9AE}" pid="98" name="FSC#SKEDITIONSLOVLEX@103.510:AttrStrListDocPropUznesenieZodpovednyB4">
    <vt:lpwstr/>
  </property>
  <property fmtid="{D5CDD505-2E9C-101B-9397-08002B2CF9AE}" pid="99" name="FSC#SKEDITIONSLOVLEX@103.510:AttrStrListDocPropUznesenieTextB4">
    <vt:lpwstr/>
  </property>
  <property fmtid="{D5CDD505-2E9C-101B-9397-08002B2CF9AE}" pid="100" name="FSC#SKEDITIONSLOVLEX@103.510:AttrStrListDocPropUznesenieTerminB4">
    <vt:lpwstr/>
  </property>
  <property fmtid="{D5CDD505-2E9C-101B-9397-08002B2CF9AE}" pid="101" name="FSC#SKEDITIONSLOVLEX@103.510:AttrStrListDocPropUznesenieCastC">
    <vt:lpwstr/>
  </property>
  <property fmtid="{D5CDD505-2E9C-101B-9397-08002B2CF9AE}" pid="102" name="FSC#SKEDITIONSLOVLEX@103.510:AttrStrListDocPropUznesenieBODC1">
    <vt:lpwstr/>
  </property>
  <property fmtid="{D5CDD505-2E9C-101B-9397-08002B2CF9AE}" pid="103" name="FSC#SKEDITIONSLOVLEX@103.510:AttrStrListDocPropUznesenieZodpovednyC1">
    <vt:lpwstr/>
  </property>
  <property fmtid="{D5CDD505-2E9C-101B-9397-08002B2CF9AE}" pid="104" name="FSC#SKEDITIONSLOVLEX@103.510:AttrStrListDocPropUznesenieTextC1">
    <vt:lpwstr/>
  </property>
  <property fmtid="{D5CDD505-2E9C-101B-9397-08002B2CF9AE}" pid="105" name="FSC#SKEDITIONSLOVLEX@103.510:AttrStrListDocPropUznesenieTerminC1">
    <vt:lpwstr/>
  </property>
  <property fmtid="{D5CDD505-2E9C-101B-9397-08002B2CF9AE}" pid="106" name="FSC#SKEDITIONSLOVLEX@103.510:AttrStrListDocPropUznesenieBODC2">
    <vt:lpwstr/>
  </property>
  <property fmtid="{D5CDD505-2E9C-101B-9397-08002B2CF9AE}" pid="107" name="FSC#SKEDITIONSLOVLEX@103.510:AttrStrListDocPropUznesenieZodpovednyC2">
    <vt:lpwstr/>
  </property>
  <property fmtid="{D5CDD505-2E9C-101B-9397-08002B2CF9AE}" pid="108" name="FSC#SKEDITIONSLOVLEX@103.510:AttrStrListDocPropUznesenieTextC2">
    <vt:lpwstr/>
  </property>
  <property fmtid="{D5CDD505-2E9C-101B-9397-08002B2CF9AE}" pid="109" name="FSC#SKEDITIONSLOVLEX@103.510:AttrStrListDocPropUznesenieTerminC2">
    <vt:lpwstr/>
  </property>
  <property fmtid="{D5CDD505-2E9C-101B-9397-08002B2CF9AE}" pid="110" name="FSC#SKEDITIONSLOVLEX@103.510:AttrStrListDocPropUznesenieBODC3">
    <vt:lpwstr/>
  </property>
  <property fmtid="{D5CDD505-2E9C-101B-9397-08002B2CF9AE}" pid="111" name="FSC#SKEDITIONSLOVLEX@103.510:AttrStrListDocPropUznesenieZodpovednyC3">
    <vt:lpwstr/>
  </property>
  <property fmtid="{D5CDD505-2E9C-101B-9397-08002B2CF9AE}" pid="112" name="FSC#SKEDITIONSLOVLEX@103.510:AttrStrListDocPropUznesenieTextC3">
    <vt:lpwstr/>
  </property>
  <property fmtid="{D5CDD505-2E9C-101B-9397-08002B2CF9AE}" pid="113" name="FSC#SKEDITIONSLOVLEX@103.510:AttrStrListDocPropUznesenieTerminC3">
    <vt:lpwstr/>
  </property>
  <property fmtid="{D5CDD505-2E9C-101B-9397-08002B2CF9AE}" pid="114" name="FSC#SKEDITIONSLOVLEX@103.510:AttrStrListDocPropUznesenieBODC4">
    <vt:lpwstr/>
  </property>
  <property fmtid="{D5CDD505-2E9C-101B-9397-08002B2CF9AE}" pid="115" name="FSC#SKEDITIONSLOVLEX@103.510:AttrStrListDocPropUznesenieZodpovednyC4">
    <vt:lpwstr/>
  </property>
  <property fmtid="{D5CDD505-2E9C-101B-9397-08002B2CF9AE}" pid="116" name="FSC#SKEDITIONSLOVLEX@103.510:AttrStrListDocPropUznesenieTextC4">
    <vt:lpwstr/>
  </property>
  <property fmtid="{D5CDD505-2E9C-101B-9397-08002B2CF9AE}" pid="117" name="FSC#SKEDITIONSLOVLEX@103.510:AttrStrListDocPropUznesenieTerminC4">
    <vt:lpwstr/>
  </property>
  <property fmtid="{D5CDD505-2E9C-101B-9397-08002B2CF9AE}" pid="118" name="FSC#SKEDITIONSLOVLEX@103.510:AttrStrListDocPropUznesenieCastD">
    <vt:lpwstr/>
  </property>
  <property fmtid="{D5CDD505-2E9C-101B-9397-08002B2CF9AE}" pid="119" name="FSC#SKEDITIONSLOVLEX@103.510:AttrStrListDocPropUznesenieBODD1">
    <vt:lpwstr/>
  </property>
  <property fmtid="{D5CDD505-2E9C-101B-9397-08002B2CF9AE}" pid="120" name="FSC#SKEDITIONSLOVLEX@103.510:AttrStrListDocPropUznesenieZodpovednyD1">
    <vt:lpwstr/>
  </property>
  <property fmtid="{D5CDD505-2E9C-101B-9397-08002B2CF9AE}" pid="121" name="FSC#SKEDITIONSLOVLEX@103.510:AttrStrListDocPropUznesenieTextD1">
    <vt:lpwstr/>
  </property>
  <property fmtid="{D5CDD505-2E9C-101B-9397-08002B2CF9AE}" pid="122" name="FSC#SKEDITIONSLOVLEX@103.510:AttrStrListDocPropUznesenieTerminD1">
    <vt:lpwstr/>
  </property>
  <property fmtid="{D5CDD505-2E9C-101B-9397-08002B2CF9AE}" pid="123" name="FSC#SKEDITIONSLOVLEX@103.510:AttrStrListDocPropUznesenieBODD2">
    <vt:lpwstr/>
  </property>
  <property fmtid="{D5CDD505-2E9C-101B-9397-08002B2CF9AE}" pid="124" name="FSC#SKEDITIONSLOVLEX@103.510:AttrStrListDocPropUznesenieZodpovednyD2">
    <vt:lpwstr/>
  </property>
  <property fmtid="{D5CDD505-2E9C-101B-9397-08002B2CF9AE}" pid="125" name="FSC#SKEDITIONSLOVLEX@103.510:AttrStrListDocPropUznesenieTextD2">
    <vt:lpwstr/>
  </property>
  <property fmtid="{D5CDD505-2E9C-101B-9397-08002B2CF9AE}" pid="126" name="FSC#SKEDITIONSLOVLEX@103.510:AttrStrListDocPropUznesenieTerminD2">
    <vt:lpwstr/>
  </property>
  <property fmtid="{D5CDD505-2E9C-101B-9397-08002B2CF9AE}" pid="127" name="FSC#SKEDITIONSLOVLEX@103.510:AttrStrListDocPropUznesenieBODD3">
    <vt:lpwstr/>
  </property>
  <property fmtid="{D5CDD505-2E9C-101B-9397-08002B2CF9AE}" pid="128" name="FSC#SKEDITIONSLOVLEX@103.510:AttrStrListDocPropUznesenieZodpovednyD3">
    <vt:lpwstr/>
  </property>
  <property fmtid="{D5CDD505-2E9C-101B-9397-08002B2CF9AE}" pid="129" name="FSC#SKEDITIONSLOVLEX@103.510:AttrStrListDocPropUznesenieTextD3">
    <vt:lpwstr/>
  </property>
  <property fmtid="{D5CDD505-2E9C-101B-9397-08002B2CF9AE}" pid="130" name="FSC#SKEDITIONSLOVLEX@103.510:AttrStrListDocPropUznesenieTerminD3">
    <vt:lpwstr/>
  </property>
  <property fmtid="{D5CDD505-2E9C-101B-9397-08002B2CF9AE}" pid="131" name="FSC#SKEDITIONSLOVLEX@103.510:AttrStrListDocPropUznesenieBODD4">
    <vt:lpwstr/>
  </property>
  <property fmtid="{D5CDD505-2E9C-101B-9397-08002B2CF9AE}" pid="132" name="FSC#SKEDITIONSLOVLEX@103.510:AttrStrListDocPropUznesenieZodpovednyD4">
    <vt:lpwstr/>
  </property>
  <property fmtid="{D5CDD505-2E9C-101B-9397-08002B2CF9AE}" pid="133" name="FSC#SKEDITIONSLOVLEX@103.510:AttrStrListDocPropUznesenieTextD4">
    <vt:lpwstr/>
  </property>
  <property fmtid="{D5CDD505-2E9C-101B-9397-08002B2CF9AE}" pid="134" name="FSC#SKEDITIONSLOVLEX@103.510:AttrStrListDocPropUznesenieTerminD4">
    <vt:lpwstr/>
  </property>
  <property fmtid="{D5CDD505-2E9C-101B-9397-08002B2CF9AE}" pid="135" name="FSC#SKEDITIONSLOVLEX@103.510:AttrStrListDocPropUznesenieVykonaju">
    <vt:lpwstr>minister zahraničných vecí a európskych záležitostí Slovenskej republiky  </vt:lpwstr>
  </property>
  <property fmtid="{D5CDD505-2E9C-101B-9397-08002B2CF9AE}" pid="136" name="FSC#SKEDITIONSLOVLEX@103.510:AttrStrListDocPropUznesenieNaVedomie">
    <vt:lpwstr/>
  </property>
  <property fmtid="{D5CDD505-2E9C-101B-9397-08002B2CF9AE}" pid="137" name="FSC#SKEDITIONSLOVLEX@103.510:funkciaPred">
    <vt:lpwstr/>
  </property>
  <property fmtid="{D5CDD505-2E9C-101B-9397-08002B2CF9AE}" pid="138" name="FSC#SKEDITIONSLOVLEX@103.510:funkciaPredAkuzativ">
    <vt:lpwstr/>
  </property>
  <property fmtid="{D5CDD505-2E9C-101B-9397-08002B2CF9AE}" pid="139" name="FSC#SKEDITIONSLOVLEX@103.510:funkciaPredDativ">
    <vt:lpwstr/>
  </property>
  <property fmtid="{D5CDD505-2E9C-101B-9397-08002B2CF9AE}" pid="140" name="FSC#SKEDITIONSLOVLEX@103.510:funkciaZodpPred">
    <vt:lpwstr>minister zahraničných vecí a európskych záležitostí Slovenskej republiky</vt:lpwstr>
  </property>
  <property fmtid="{D5CDD505-2E9C-101B-9397-08002B2CF9AE}" pid="141" name="FSC#SKEDITIONSLOVLEX@103.510:funkciaZodpPredAkuzativ">
    <vt:lpwstr>ministra zahraničných vecí a európskych záležitostí Slovenskej republiky</vt:lpwstr>
  </property>
  <property fmtid="{D5CDD505-2E9C-101B-9397-08002B2CF9AE}" pid="142" name="FSC#SKEDITIONSLOVLEX@103.510:funkciaZodpPredDativ">
    <vt:lpwstr>ministrovi zahraničných vecí a európskych záležitostí Slovenskej republiky</vt:lpwstr>
  </property>
  <property fmtid="{D5CDD505-2E9C-101B-9397-08002B2CF9AE}" pid="143" name="FSC#SKEDITIONSLOVLEX@103.510:funkciaDalsiPred">
    <vt:lpwstr/>
  </property>
  <property fmtid="{D5CDD505-2E9C-101B-9397-08002B2CF9AE}" pid="144" name="FSC#SKEDITIONSLOVLEX@103.510:funkciaDalsiPredAkuzativ">
    <vt:lpwstr/>
  </property>
  <property fmtid="{D5CDD505-2E9C-101B-9397-08002B2CF9AE}" pid="145" name="FSC#SKEDITIONSLOVLEX@103.510:funkciaDalsiPredDativ">
    <vt:lpwstr/>
  </property>
  <property fmtid="{D5CDD505-2E9C-101B-9397-08002B2CF9AE}" pid="146" name="FSC#SKEDITIONSLOVLEX@103.510:predkladateliaObalSD">
    <vt:lpwstr>Miroslav Lajčák_x000d_
minister zahraničných vecí a európskych záležitostí Slovenskej republiky</vt:lpwstr>
  </property>
  <property fmtid="{D5CDD505-2E9C-101B-9397-08002B2CF9AE}" pid="147" name="FSC#SKEDITIONSLOVLEX@103.510:AttrStrListDocPropTextVseobPrilohy">
    <vt:lpwstr/>
  </property>
  <property fmtid="{D5CDD505-2E9C-101B-9397-08002B2CF9AE}" pid="148" name="FSC#SKEDITIONSLOVLEX@103.510:AttrStrListDocPropTextPredklSpravy">
    <vt:lpwstr>&lt;p&gt;Materiál Štatút Slovenskej komisie pre UNESCO (ďalej len "štatút") sa predkladá ako iniciatívny návrh v&amp;nbsp;súlade s&amp;nbsp;čl. 6 platného štatútu Slovenskej komisie pre UNESCO (ďalej len "komisia"), podľa ktorého zmeny a&amp;nbsp;doplnenia štatútu schvaľuj</vt:lpwstr>
  </property>
  <property fmtid="{D5CDD505-2E9C-101B-9397-08002B2CF9AE}" pid="149" name="FSC#COOSYSTEM@1.1:Container">
    <vt:lpwstr>COO.2145.1000.3.1410126</vt:lpwstr>
  </property>
  <property fmtid="{D5CDD505-2E9C-101B-9397-08002B2CF9AE}" pid="150" name="FSC#FSCFOLIO@1.1001:docpropproject">
    <vt:lpwstr/>
  </property>
  <property fmtid="{D5CDD505-2E9C-101B-9397-08002B2CF9AE}" pid="151" name="FSC#SKEDITIONSLOVLEX@103.510:aktualnyrok">
    <vt:lpwstr>2016</vt:lpwstr>
  </property>
  <property fmtid="{D5CDD505-2E9C-101B-9397-08002B2CF9AE}" pid="152" name="ContentTypeId">
    <vt:lpwstr>0x0101006C0C8C3C1E3DCC44BECE3792677AD011</vt:lpwstr>
  </property>
  <property fmtid="{D5CDD505-2E9C-101B-9397-08002B2CF9AE}" pid="153" name="_dlc_DocIdItemGuid">
    <vt:lpwstr>223d6619-f314-4e77-aa3b-1bf6f861651f</vt:lpwstr>
  </property>
</Properties>
</file>