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0D" w:rsidRDefault="002E2FDE" w:rsidP="00D4240D">
      <w:pPr>
        <w:spacing w:before="6000" w:after="0" w:line="240" w:lineRule="aut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 xml:space="preserve">Súhrnný audit </w:t>
      </w:r>
      <w:r w:rsidRPr="002E2FDE">
        <w:rPr>
          <w:rFonts w:ascii="Times New Roman" w:hAnsi="Times New Roman" w:cs="Times New Roman"/>
          <w:b/>
          <w:sz w:val="32"/>
          <w:szCs w:val="32"/>
        </w:rPr>
        <w:t>výk</w:t>
      </w:r>
      <w:r>
        <w:rPr>
          <w:rFonts w:ascii="Times New Roman" w:hAnsi="Times New Roman" w:cs="Times New Roman"/>
          <w:b/>
          <w:sz w:val="32"/>
          <w:szCs w:val="32"/>
        </w:rPr>
        <w:t>onu kompetencií verejnej správy</w:t>
      </w:r>
      <w:r w:rsidR="0097152D">
        <w:rPr>
          <w:rFonts w:ascii="Times New Roman" w:hAnsi="Times New Roman" w:cs="Times New Roman"/>
          <w:b/>
          <w:sz w:val="32"/>
          <w:szCs w:val="32"/>
        </w:rPr>
        <w:t xml:space="preserve"> </w:t>
      </w:r>
      <w:r w:rsidR="00F36A4E">
        <w:rPr>
          <w:rFonts w:ascii="Times New Roman" w:hAnsi="Times New Roman" w:cs="Times New Roman"/>
          <w:b/>
          <w:sz w:val="32"/>
          <w:szCs w:val="32"/>
        </w:rPr>
        <w:t>-</w:t>
      </w:r>
      <w:r w:rsidR="0097152D">
        <w:rPr>
          <w:rFonts w:ascii="Times New Roman" w:hAnsi="Times New Roman" w:cs="Times New Roman"/>
          <w:b/>
          <w:sz w:val="32"/>
          <w:szCs w:val="32"/>
        </w:rPr>
        <w:t xml:space="preserve"> segmentu územnej samosprávy</w:t>
      </w:r>
      <w:r>
        <w:rPr>
          <w:rFonts w:ascii="Times New Roman" w:hAnsi="Times New Roman" w:cs="Times New Roman"/>
          <w:b/>
          <w:sz w:val="32"/>
          <w:szCs w:val="32"/>
        </w:rPr>
        <w:t xml:space="preserve"> </w:t>
      </w:r>
      <w:r w:rsidRPr="002E2FDE">
        <w:rPr>
          <w:rFonts w:ascii="Times New Roman" w:hAnsi="Times New Roman" w:cs="Times New Roman"/>
          <w:b/>
          <w:sz w:val="32"/>
          <w:szCs w:val="32"/>
        </w:rPr>
        <w:t>a návrh na zabezpečenie financovania kompetencií verejnej správy</w:t>
      </w:r>
    </w:p>
    <w:p w:rsidR="00D4240D" w:rsidRPr="00FD3988" w:rsidRDefault="00D4240D" w:rsidP="00D4240D">
      <w:pPr>
        <w:spacing w:before="6000" w:after="0" w:line="240" w:lineRule="auto"/>
        <w:jc w:val="center"/>
        <w:rPr>
          <w:rFonts w:ascii="Times New Roman" w:hAnsi="Times New Roman" w:cs="Times New Roman"/>
          <w:sz w:val="28"/>
          <w:szCs w:val="28"/>
        </w:rPr>
      </w:pPr>
      <w:r w:rsidRPr="00FD3988">
        <w:rPr>
          <w:rFonts w:ascii="Times New Roman" w:hAnsi="Times New Roman" w:cs="Times New Roman"/>
          <w:sz w:val="28"/>
          <w:szCs w:val="28"/>
        </w:rPr>
        <w:t>Bratislava, december 2013</w:t>
      </w:r>
    </w:p>
    <w:p w:rsidR="00D4240D" w:rsidRDefault="00D4240D">
      <w:pPr>
        <w:spacing w:after="0" w:line="240" w:lineRule="auto"/>
        <w:jc w:val="both"/>
        <w:rPr>
          <w:rFonts w:ascii="Times New Roman" w:hAnsi="Times New Roman" w:cs="Times New Roman"/>
          <w:sz w:val="32"/>
          <w:szCs w:val="32"/>
        </w:rPr>
      </w:pPr>
      <w:r>
        <w:rPr>
          <w:rFonts w:ascii="Times New Roman" w:hAnsi="Times New Roman" w:cs="Times New Roman"/>
          <w:sz w:val="32"/>
          <w:szCs w:val="32"/>
        </w:rPr>
        <w:br w:type="page"/>
      </w:r>
    </w:p>
    <w:p w:rsidR="00D4240D" w:rsidRPr="00D4240D" w:rsidRDefault="00D4240D" w:rsidP="00D4240D">
      <w:pPr>
        <w:spacing w:after="600"/>
        <w:jc w:val="center"/>
        <w:rPr>
          <w:rFonts w:ascii="Times New Roman" w:hAnsi="Times New Roman"/>
          <w:b/>
          <w:sz w:val="32"/>
          <w:szCs w:val="32"/>
        </w:rPr>
      </w:pPr>
      <w:r w:rsidRPr="00D4240D">
        <w:rPr>
          <w:rFonts w:ascii="Times New Roman" w:hAnsi="Times New Roman"/>
          <w:b/>
          <w:sz w:val="32"/>
          <w:szCs w:val="32"/>
        </w:rPr>
        <w:lastRenderedPageBreak/>
        <w:t>Základné údaje o vykonanom audite verejnej správy</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008"/>
        <w:gridCol w:w="4532"/>
      </w:tblGrid>
      <w:tr w:rsidR="00D4240D" w:rsidRPr="00D4240D" w:rsidTr="00D4240D">
        <w:trPr>
          <w:trHeight w:val="566"/>
        </w:trPr>
        <w:tc>
          <w:tcPr>
            <w:tcW w:w="817" w:type="dxa"/>
            <w:vAlign w:val="center"/>
          </w:tcPr>
          <w:p w:rsidR="00D4240D" w:rsidRPr="00D4240D" w:rsidRDefault="00D4240D" w:rsidP="00D4240D">
            <w:pPr>
              <w:numPr>
                <w:ilvl w:val="0"/>
                <w:numId w:val="30"/>
              </w:numPr>
              <w:tabs>
                <w:tab w:val="left" w:pos="75"/>
              </w:tabs>
              <w:spacing w:after="0"/>
              <w:contextualSpacing/>
              <w:rPr>
                <w:rFonts w:ascii="Times New Roman" w:eastAsia="Times New Roman" w:hAnsi="Times New Roman" w:cs="Times New Roman"/>
                <w:lang w:eastAsia="sk-SK"/>
              </w:rPr>
            </w:pPr>
            <w:bookmarkStart w:id="1" w:name="_Ref373739605"/>
          </w:p>
        </w:tc>
        <w:bookmarkEnd w:id="1"/>
        <w:tc>
          <w:tcPr>
            <w:tcW w:w="4008" w:type="dxa"/>
            <w:vAlign w:val="center"/>
          </w:tcPr>
          <w:p w:rsidR="00D4240D" w:rsidRPr="00D4240D" w:rsidRDefault="00D4240D" w:rsidP="00D4240D">
            <w:pPr>
              <w:spacing w:after="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Podnet</w:t>
            </w:r>
          </w:p>
        </w:tc>
        <w:tc>
          <w:tcPr>
            <w:tcW w:w="4532" w:type="dxa"/>
            <w:vAlign w:val="center"/>
          </w:tcPr>
          <w:p w:rsidR="00D4240D" w:rsidRPr="00D4240D" w:rsidRDefault="00D4240D" w:rsidP="00060E4A">
            <w:pPr>
              <w:tabs>
                <w:tab w:val="left" w:pos="720"/>
                <w:tab w:val="left" w:pos="5040"/>
              </w:tabs>
              <w:spacing w:before="120" w:after="12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Uznesenie vlády SR č. 48 z 22. februára 2012 v znení uznesenia vlády SR č. 465 z </w:t>
            </w:r>
            <w:r>
              <w:rPr>
                <w:rFonts w:ascii="Times New Roman" w:eastAsia="Times New Roman" w:hAnsi="Times New Roman" w:cs="Times New Roman"/>
                <w:lang w:eastAsia="sk-SK"/>
              </w:rPr>
              <w:t>19. </w:t>
            </w:r>
            <w:r w:rsidRPr="00D4240D">
              <w:rPr>
                <w:rFonts w:ascii="Times New Roman" w:eastAsia="Times New Roman" w:hAnsi="Times New Roman" w:cs="Times New Roman"/>
                <w:lang w:eastAsia="sk-SK"/>
              </w:rPr>
              <w:t>septembra 2012</w:t>
            </w:r>
          </w:p>
        </w:tc>
      </w:tr>
      <w:tr w:rsidR="00D4240D" w:rsidRPr="00D4240D" w:rsidTr="00D4240D">
        <w:trPr>
          <w:trHeight w:val="566"/>
        </w:trPr>
        <w:tc>
          <w:tcPr>
            <w:tcW w:w="817" w:type="dxa"/>
            <w:vAlign w:val="center"/>
          </w:tcPr>
          <w:p w:rsidR="00D4240D" w:rsidRPr="00D4240D" w:rsidRDefault="00D4240D" w:rsidP="00D4240D">
            <w:pPr>
              <w:numPr>
                <w:ilvl w:val="0"/>
                <w:numId w:val="30"/>
              </w:numPr>
              <w:tabs>
                <w:tab w:val="left" w:pos="75"/>
              </w:tabs>
              <w:spacing w:after="0"/>
              <w:contextualSpacing/>
              <w:rPr>
                <w:rFonts w:ascii="Times New Roman" w:eastAsia="Times New Roman" w:hAnsi="Times New Roman" w:cs="Times New Roman"/>
                <w:lang w:eastAsia="sk-SK"/>
              </w:rPr>
            </w:pPr>
          </w:p>
        </w:tc>
        <w:tc>
          <w:tcPr>
            <w:tcW w:w="4008" w:type="dxa"/>
            <w:vAlign w:val="center"/>
          </w:tcPr>
          <w:p w:rsidR="00D4240D" w:rsidRPr="00D4240D" w:rsidRDefault="00D4240D" w:rsidP="00D4240D">
            <w:pPr>
              <w:spacing w:after="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Zameranie auditu</w:t>
            </w:r>
          </w:p>
        </w:tc>
        <w:tc>
          <w:tcPr>
            <w:tcW w:w="4532" w:type="dxa"/>
            <w:vAlign w:val="center"/>
          </w:tcPr>
          <w:p w:rsidR="00D4240D" w:rsidRPr="00D4240D" w:rsidRDefault="00D4240D" w:rsidP="00060E4A">
            <w:pPr>
              <w:tabs>
                <w:tab w:val="left" w:pos="720"/>
                <w:tab w:val="left" w:pos="5040"/>
              </w:tabs>
              <w:spacing w:before="120" w:after="12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Výkon a financovanie pôsobností územnej samosprávy (prenesených i samosprávnych)</w:t>
            </w:r>
          </w:p>
        </w:tc>
      </w:tr>
      <w:tr w:rsidR="00D4240D" w:rsidRPr="00D4240D" w:rsidTr="00D4240D">
        <w:trPr>
          <w:trHeight w:val="1411"/>
        </w:trPr>
        <w:tc>
          <w:tcPr>
            <w:tcW w:w="817" w:type="dxa"/>
            <w:vAlign w:val="center"/>
          </w:tcPr>
          <w:p w:rsidR="00D4240D" w:rsidRPr="00D4240D" w:rsidRDefault="00D4240D" w:rsidP="00D4240D">
            <w:pPr>
              <w:numPr>
                <w:ilvl w:val="0"/>
                <w:numId w:val="30"/>
              </w:numPr>
              <w:tabs>
                <w:tab w:val="left" w:pos="75"/>
              </w:tabs>
              <w:spacing w:after="0"/>
              <w:contextualSpacing/>
              <w:rPr>
                <w:rFonts w:ascii="Times New Roman" w:eastAsia="Times New Roman" w:hAnsi="Times New Roman" w:cs="Times New Roman"/>
                <w:lang w:eastAsia="sk-SK"/>
              </w:rPr>
            </w:pPr>
          </w:p>
        </w:tc>
        <w:tc>
          <w:tcPr>
            <w:tcW w:w="4008" w:type="dxa"/>
            <w:vAlign w:val="center"/>
          </w:tcPr>
          <w:p w:rsidR="00D4240D" w:rsidRPr="00D4240D" w:rsidRDefault="00D4240D" w:rsidP="00D4240D">
            <w:pPr>
              <w:spacing w:after="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Hlavné ciele auditu</w:t>
            </w:r>
          </w:p>
        </w:tc>
        <w:tc>
          <w:tcPr>
            <w:tcW w:w="4532" w:type="dxa"/>
            <w:vAlign w:val="center"/>
          </w:tcPr>
          <w:p w:rsidR="00D4240D" w:rsidRPr="00D4240D" w:rsidRDefault="00D4240D" w:rsidP="00060E4A">
            <w:pPr>
              <w:spacing w:before="120" w:after="120"/>
              <w:rPr>
                <w:rFonts w:ascii="Times New Roman" w:eastAsia="Times New Roman" w:hAnsi="Times New Roman" w:cs="Times New Roman"/>
                <w:lang w:eastAsia="sk-SK"/>
              </w:rPr>
            </w:pPr>
            <w:r w:rsidRPr="00D4240D">
              <w:rPr>
                <w:rFonts w:ascii="Times New Roman" w:hAnsi="Times New Roman" w:cs="Times New Roman"/>
              </w:rPr>
              <w:t>Prehodnotenie uskutočnenej decentralizácie a dekoncentrácie pôsobností na obce a samosprávne kraje, analýza súčasného stavu zabezpečovania pôsobností obcami a samosprávnymi krajmi a stabilizácia ich financovania</w:t>
            </w:r>
          </w:p>
        </w:tc>
      </w:tr>
      <w:tr w:rsidR="00D4240D" w:rsidRPr="00D4240D" w:rsidTr="00D4240D">
        <w:trPr>
          <w:trHeight w:val="549"/>
        </w:trPr>
        <w:tc>
          <w:tcPr>
            <w:tcW w:w="817" w:type="dxa"/>
            <w:vAlign w:val="center"/>
          </w:tcPr>
          <w:p w:rsidR="00D4240D" w:rsidRPr="00D4240D" w:rsidRDefault="00D4240D" w:rsidP="00D4240D">
            <w:pPr>
              <w:numPr>
                <w:ilvl w:val="0"/>
                <w:numId w:val="30"/>
              </w:numPr>
              <w:tabs>
                <w:tab w:val="left" w:pos="75"/>
              </w:tabs>
              <w:spacing w:after="0"/>
              <w:contextualSpacing/>
              <w:rPr>
                <w:rFonts w:ascii="Times New Roman" w:eastAsia="Times New Roman" w:hAnsi="Times New Roman" w:cs="Times New Roman"/>
                <w:lang w:eastAsia="sk-SK"/>
              </w:rPr>
            </w:pPr>
          </w:p>
        </w:tc>
        <w:tc>
          <w:tcPr>
            <w:tcW w:w="4008" w:type="dxa"/>
            <w:vAlign w:val="center"/>
          </w:tcPr>
          <w:p w:rsidR="00D4240D" w:rsidRPr="00D4240D" w:rsidRDefault="00D4240D" w:rsidP="00D4240D">
            <w:pPr>
              <w:spacing w:after="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Obdobi</w:t>
            </w:r>
            <w:r w:rsidR="00060E4A">
              <w:rPr>
                <w:rFonts w:ascii="Times New Roman" w:eastAsia="Times New Roman" w:hAnsi="Times New Roman" w:cs="Times New Roman"/>
                <w:lang w:eastAsia="sk-SK"/>
              </w:rPr>
              <w:t>e, za ktoré sa činnosti hodnotili</w:t>
            </w:r>
          </w:p>
        </w:tc>
        <w:tc>
          <w:tcPr>
            <w:tcW w:w="4532" w:type="dxa"/>
            <w:vAlign w:val="center"/>
          </w:tcPr>
          <w:p w:rsidR="00D4240D" w:rsidRPr="00D4240D" w:rsidRDefault="00D4240D" w:rsidP="00060E4A">
            <w:pPr>
              <w:spacing w:before="120" w:after="12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2001, 2005, 2011</w:t>
            </w:r>
          </w:p>
        </w:tc>
      </w:tr>
      <w:tr w:rsidR="00D4240D" w:rsidRPr="00D4240D" w:rsidTr="00D4240D">
        <w:trPr>
          <w:trHeight w:val="445"/>
        </w:trPr>
        <w:tc>
          <w:tcPr>
            <w:tcW w:w="817" w:type="dxa"/>
            <w:vAlign w:val="center"/>
          </w:tcPr>
          <w:p w:rsidR="00D4240D" w:rsidRPr="00D4240D" w:rsidRDefault="00D4240D" w:rsidP="00D4240D">
            <w:pPr>
              <w:numPr>
                <w:ilvl w:val="0"/>
                <w:numId w:val="30"/>
              </w:numPr>
              <w:tabs>
                <w:tab w:val="left" w:pos="75"/>
              </w:tabs>
              <w:spacing w:after="0"/>
              <w:contextualSpacing/>
              <w:rPr>
                <w:rFonts w:ascii="Times New Roman" w:eastAsia="Times New Roman" w:hAnsi="Times New Roman" w:cs="Times New Roman"/>
                <w:lang w:eastAsia="sk-SK"/>
              </w:rPr>
            </w:pPr>
          </w:p>
        </w:tc>
        <w:tc>
          <w:tcPr>
            <w:tcW w:w="4008" w:type="dxa"/>
            <w:vAlign w:val="center"/>
          </w:tcPr>
          <w:p w:rsidR="00D4240D" w:rsidRPr="00D4240D" w:rsidRDefault="00D4240D" w:rsidP="00D4240D">
            <w:pPr>
              <w:spacing w:after="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Doba vykonania auditu</w:t>
            </w:r>
          </w:p>
        </w:tc>
        <w:tc>
          <w:tcPr>
            <w:tcW w:w="4532" w:type="dxa"/>
            <w:vAlign w:val="center"/>
          </w:tcPr>
          <w:p w:rsidR="00D4240D" w:rsidRPr="00D4240D" w:rsidRDefault="00060E4A" w:rsidP="00060E4A">
            <w:pPr>
              <w:spacing w:before="120" w:after="120"/>
              <w:rPr>
                <w:rFonts w:ascii="Times New Roman" w:eastAsia="Times New Roman" w:hAnsi="Times New Roman" w:cs="Times New Roman"/>
                <w:lang w:eastAsia="sk-SK"/>
              </w:rPr>
            </w:pPr>
            <w:r>
              <w:rPr>
                <w:rFonts w:ascii="Times New Roman" w:eastAsia="Times New Roman" w:hAnsi="Times New Roman" w:cs="Times New Roman"/>
                <w:lang w:eastAsia="sk-SK"/>
              </w:rPr>
              <w:t>1. 2</w:t>
            </w:r>
            <w:r w:rsidR="00D4240D" w:rsidRPr="00D4240D">
              <w:rPr>
                <w:rFonts w:ascii="Times New Roman" w:eastAsia="Times New Roman" w:hAnsi="Times New Roman" w:cs="Times New Roman"/>
                <w:lang w:eastAsia="sk-SK"/>
              </w:rPr>
              <w:t>. 2013 – 31. 7. 2013</w:t>
            </w:r>
          </w:p>
        </w:tc>
      </w:tr>
      <w:tr w:rsidR="00D4240D" w:rsidRPr="00D4240D" w:rsidTr="00D4240D">
        <w:tc>
          <w:tcPr>
            <w:tcW w:w="817" w:type="dxa"/>
            <w:vAlign w:val="center"/>
          </w:tcPr>
          <w:p w:rsidR="00D4240D" w:rsidRPr="00D4240D" w:rsidRDefault="00D4240D" w:rsidP="00D4240D">
            <w:pPr>
              <w:numPr>
                <w:ilvl w:val="0"/>
                <w:numId w:val="30"/>
              </w:numPr>
              <w:tabs>
                <w:tab w:val="left" w:pos="75"/>
              </w:tabs>
              <w:spacing w:after="0"/>
              <w:contextualSpacing/>
              <w:rPr>
                <w:rFonts w:ascii="Times New Roman" w:eastAsia="Times New Roman" w:hAnsi="Times New Roman" w:cs="Times New Roman"/>
                <w:lang w:eastAsia="sk-SK"/>
              </w:rPr>
            </w:pPr>
          </w:p>
        </w:tc>
        <w:tc>
          <w:tcPr>
            <w:tcW w:w="4008" w:type="dxa"/>
            <w:vAlign w:val="center"/>
          </w:tcPr>
          <w:p w:rsidR="00D4240D" w:rsidRPr="00D4240D" w:rsidRDefault="00D4240D" w:rsidP="00D4240D">
            <w:pPr>
              <w:spacing w:after="0"/>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Audit vykonali</w:t>
            </w:r>
          </w:p>
        </w:tc>
        <w:tc>
          <w:tcPr>
            <w:tcW w:w="4532" w:type="dxa"/>
            <w:vAlign w:val="center"/>
          </w:tcPr>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dopravy, výstavby a regionálneho rozvoja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hospodárstva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financií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kultúry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práce, sociálnych vecí a rodiny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školstva, vedy, výskumu a športu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vnútra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zdravotníctva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Ministerstvo životného prostredia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Úrad vlády Slovenskej republiky,</w:t>
            </w:r>
          </w:p>
          <w:p w:rsidR="00D4240D" w:rsidRPr="00D4240D" w:rsidRDefault="00D4240D" w:rsidP="00060E4A">
            <w:pPr>
              <w:spacing w:before="120" w:after="120" w:line="240" w:lineRule="auto"/>
              <w:ind w:left="-6"/>
              <w:rPr>
                <w:rFonts w:ascii="Times New Roman" w:eastAsia="Times New Roman" w:hAnsi="Times New Roman" w:cs="Times New Roman"/>
                <w:lang w:eastAsia="sk-SK"/>
              </w:rPr>
            </w:pPr>
            <w:r w:rsidRPr="00D4240D">
              <w:rPr>
                <w:rFonts w:ascii="Times New Roman" w:eastAsia="Times New Roman" w:hAnsi="Times New Roman" w:cs="Times New Roman"/>
                <w:lang w:eastAsia="sk-SK"/>
              </w:rPr>
              <w:t>Úrad geodézie, kartografie a katastra Slovenskej republiky</w:t>
            </w:r>
          </w:p>
        </w:tc>
      </w:tr>
    </w:tbl>
    <w:p w:rsidR="00060E4A" w:rsidRDefault="00060E4A">
      <w:pPr>
        <w:spacing w:after="0" w:line="240" w:lineRule="auto"/>
        <w:jc w:val="both"/>
        <w:rPr>
          <w:rFonts w:ascii="Times New Roman" w:hAnsi="Times New Roman" w:cs="Times New Roman"/>
          <w:b/>
          <w:sz w:val="32"/>
          <w:szCs w:val="32"/>
        </w:rPr>
      </w:pPr>
    </w:p>
    <w:p w:rsidR="00060E4A" w:rsidRDefault="00060E4A">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br w:type="page"/>
      </w:r>
    </w:p>
    <w:p w:rsidR="003D37C0" w:rsidRPr="003D37C0" w:rsidRDefault="003D37C0" w:rsidP="003D37C0">
      <w:pPr>
        <w:pStyle w:val="Obsah1"/>
      </w:pPr>
      <w:r w:rsidRPr="003D37C0">
        <w:lastRenderedPageBreak/>
        <w:t>Obsah</w:t>
      </w:r>
    </w:p>
    <w:p w:rsidR="00E62A70" w:rsidRPr="003D37C0" w:rsidRDefault="00E62A70" w:rsidP="003D37C0">
      <w:pPr>
        <w:pStyle w:val="Obsah1"/>
        <w:spacing w:before="120"/>
        <w:rPr>
          <w:noProof/>
          <w:sz w:val="22"/>
          <w:szCs w:val="22"/>
        </w:rPr>
      </w:pPr>
      <w:r>
        <w:fldChar w:fldCharType="begin"/>
      </w:r>
      <w:r>
        <w:instrText xml:space="preserve"> TOC \o "1-3" \h \z \t "Štýl_a1;1;Štýl_a2;2;Štýl_a3;3;Štýl_a4;3" </w:instrText>
      </w:r>
      <w:r>
        <w:fldChar w:fldCharType="separate"/>
      </w:r>
      <w:hyperlink w:anchor="_Toc373740540" w:history="1">
        <w:r w:rsidRPr="003D37C0">
          <w:rPr>
            <w:rStyle w:val="Hypertextovprepojenie"/>
            <w:noProof/>
            <w:sz w:val="22"/>
            <w:szCs w:val="22"/>
          </w:rPr>
          <w:t>A.</w:t>
        </w:r>
        <w:r w:rsidRPr="003D37C0">
          <w:rPr>
            <w:noProof/>
            <w:sz w:val="22"/>
            <w:szCs w:val="22"/>
          </w:rPr>
          <w:tab/>
        </w:r>
        <w:r w:rsidRPr="003D37C0">
          <w:rPr>
            <w:rStyle w:val="Hypertextovprepojenie"/>
            <w:noProof/>
            <w:sz w:val="22"/>
            <w:szCs w:val="22"/>
          </w:rPr>
          <w:t>Úvod</w:t>
        </w:r>
        <w:r w:rsidRPr="003D37C0">
          <w:rPr>
            <w:noProof/>
            <w:webHidden/>
            <w:sz w:val="22"/>
            <w:szCs w:val="22"/>
          </w:rPr>
          <w:tab/>
        </w:r>
        <w:r w:rsidRPr="003D37C0">
          <w:rPr>
            <w:noProof/>
            <w:webHidden/>
            <w:sz w:val="22"/>
            <w:szCs w:val="22"/>
          </w:rPr>
          <w:fldChar w:fldCharType="begin"/>
        </w:r>
        <w:r w:rsidRPr="003D37C0">
          <w:rPr>
            <w:noProof/>
            <w:webHidden/>
            <w:sz w:val="22"/>
            <w:szCs w:val="22"/>
          </w:rPr>
          <w:instrText xml:space="preserve"> PAGEREF _Toc373740540 \h </w:instrText>
        </w:r>
        <w:r w:rsidRPr="003D37C0">
          <w:rPr>
            <w:noProof/>
            <w:webHidden/>
            <w:sz w:val="22"/>
            <w:szCs w:val="22"/>
          </w:rPr>
        </w:r>
        <w:r w:rsidRPr="003D37C0">
          <w:rPr>
            <w:noProof/>
            <w:webHidden/>
            <w:sz w:val="22"/>
            <w:szCs w:val="22"/>
          </w:rPr>
          <w:fldChar w:fldCharType="separate"/>
        </w:r>
        <w:r w:rsidR="00D55B52">
          <w:rPr>
            <w:noProof/>
            <w:webHidden/>
            <w:sz w:val="22"/>
            <w:szCs w:val="22"/>
          </w:rPr>
          <w:t>4</w:t>
        </w:r>
        <w:r w:rsidRPr="003D37C0">
          <w:rPr>
            <w:noProof/>
            <w:webHidden/>
            <w:sz w:val="22"/>
            <w:szCs w:val="22"/>
          </w:rPr>
          <w:fldChar w:fldCharType="end"/>
        </w:r>
      </w:hyperlink>
    </w:p>
    <w:p w:rsidR="00E62A70" w:rsidRPr="003D37C0" w:rsidRDefault="00C16F4D" w:rsidP="003D37C0">
      <w:pPr>
        <w:pStyle w:val="Obsah1"/>
        <w:spacing w:before="120"/>
        <w:rPr>
          <w:noProof/>
          <w:sz w:val="22"/>
          <w:szCs w:val="22"/>
        </w:rPr>
      </w:pPr>
      <w:hyperlink w:anchor="_Toc373740541" w:history="1">
        <w:r w:rsidR="00E62A70" w:rsidRPr="003D37C0">
          <w:rPr>
            <w:rStyle w:val="Hypertextovprepojenie"/>
            <w:noProof/>
            <w:sz w:val="22"/>
            <w:szCs w:val="22"/>
            <w:lang w:eastAsia="sk-SK"/>
          </w:rPr>
          <w:t>B.</w:t>
        </w:r>
        <w:r w:rsidR="00E62A70" w:rsidRPr="003D37C0">
          <w:rPr>
            <w:noProof/>
            <w:sz w:val="22"/>
            <w:szCs w:val="22"/>
          </w:rPr>
          <w:tab/>
        </w:r>
        <w:r w:rsidR="00E62A70" w:rsidRPr="003D37C0">
          <w:rPr>
            <w:rStyle w:val="Hypertextovprepojenie"/>
            <w:noProof/>
            <w:sz w:val="22"/>
            <w:szCs w:val="22"/>
            <w:lang w:eastAsia="sk-SK"/>
          </w:rPr>
          <w:t>Vykonanie a rozsah auditu</w:t>
        </w:r>
        <w:r w:rsidR="00E62A70" w:rsidRPr="003D37C0">
          <w:rPr>
            <w:noProof/>
            <w:webHidden/>
            <w:sz w:val="22"/>
            <w:szCs w:val="22"/>
          </w:rPr>
          <w:tab/>
        </w:r>
        <w:r w:rsidR="00E62A70" w:rsidRPr="003D37C0">
          <w:rPr>
            <w:noProof/>
            <w:webHidden/>
            <w:sz w:val="22"/>
            <w:szCs w:val="22"/>
          </w:rPr>
          <w:fldChar w:fldCharType="begin"/>
        </w:r>
        <w:r w:rsidR="00E62A70" w:rsidRPr="003D37C0">
          <w:rPr>
            <w:noProof/>
            <w:webHidden/>
            <w:sz w:val="22"/>
            <w:szCs w:val="22"/>
          </w:rPr>
          <w:instrText xml:space="preserve"> PAGEREF _Toc373740541 \h </w:instrText>
        </w:r>
        <w:r w:rsidR="00E62A70" w:rsidRPr="003D37C0">
          <w:rPr>
            <w:noProof/>
            <w:webHidden/>
            <w:sz w:val="22"/>
            <w:szCs w:val="22"/>
          </w:rPr>
        </w:r>
        <w:r w:rsidR="00E62A70" w:rsidRPr="003D37C0">
          <w:rPr>
            <w:noProof/>
            <w:webHidden/>
            <w:sz w:val="22"/>
            <w:szCs w:val="22"/>
          </w:rPr>
          <w:fldChar w:fldCharType="separate"/>
        </w:r>
        <w:r w:rsidR="00D55B52">
          <w:rPr>
            <w:noProof/>
            <w:webHidden/>
            <w:sz w:val="22"/>
            <w:szCs w:val="22"/>
          </w:rPr>
          <w:t>4</w:t>
        </w:r>
        <w:r w:rsidR="00E62A70" w:rsidRPr="003D37C0">
          <w:rPr>
            <w:noProof/>
            <w:webHidden/>
            <w:sz w:val="22"/>
            <w:szCs w:val="22"/>
          </w:rPr>
          <w:fldChar w:fldCharType="end"/>
        </w:r>
      </w:hyperlink>
    </w:p>
    <w:p w:rsidR="00E62A70" w:rsidRPr="003D37C0" w:rsidRDefault="00C16F4D" w:rsidP="003D37C0">
      <w:pPr>
        <w:pStyle w:val="Obsah1"/>
        <w:spacing w:before="120"/>
        <w:rPr>
          <w:noProof/>
          <w:sz w:val="22"/>
          <w:szCs w:val="22"/>
        </w:rPr>
      </w:pPr>
      <w:hyperlink w:anchor="_Toc373740542" w:history="1">
        <w:r w:rsidR="00E62A70" w:rsidRPr="003D37C0">
          <w:rPr>
            <w:rStyle w:val="Hypertextovprepojenie"/>
            <w:noProof/>
            <w:sz w:val="22"/>
            <w:szCs w:val="22"/>
            <w:lang w:eastAsia="sk-SK"/>
          </w:rPr>
          <w:t>C.</w:t>
        </w:r>
        <w:r w:rsidR="00E62A70" w:rsidRPr="003D37C0">
          <w:rPr>
            <w:noProof/>
            <w:sz w:val="22"/>
            <w:szCs w:val="22"/>
          </w:rPr>
          <w:tab/>
        </w:r>
        <w:r w:rsidR="00E62A70" w:rsidRPr="003D37C0">
          <w:rPr>
            <w:rStyle w:val="Hypertextovprepojenie"/>
            <w:noProof/>
            <w:sz w:val="22"/>
            <w:szCs w:val="22"/>
            <w:lang w:eastAsia="sk-SK"/>
          </w:rPr>
          <w:t>Priebeh a vyhodnotenie auditu</w:t>
        </w:r>
        <w:r w:rsidR="00E62A70" w:rsidRPr="003D37C0">
          <w:rPr>
            <w:noProof/>
            <w:webHidden/>
            <w:sz w:val="22"/>
            <w:szCs w:val="22"/>
          </w:rPr>
          <w:tab/>
        </w:r>
        <w:r w:rsidR="00E62A70" w:rsidRPr="003D37C0">
          <w:rPr>
            <w:noProof/>
            <w:webHidden/>
            <w:sz w:val="22"/>
            <w:szCs w:val="22"/>
          </w:rPr>
          <w:fldChar w:fldCharType="begin"/>
        </w:r>
        <w:r w:rsidR="00E62A70" w:rsidRPr="003D37C0">
          <w:rPr>
            <w:noProof/>
            <w:webHidden/>
            <w:sz w:val="22"/>
            <w:szCs w:val="22"/>
          </w:rPr>
          <w:instrText xml:space="preserve"> PAGEREF _Toc373740542 \h </w:instrText>
        </w:r>
        <w:r w:rsidR="00E62A70" w:rsidRPr="003D37C0">
          <w:rPr>
            <w:noProof/>
            <w:webHidden/>
            <w:sz w:val="22"/>
            <w:szCs w:val="22"/>
          </w:rPr>
        </w:r>
        <w:r w:rsidR="00E62A70" w:rsidRPr="003D37C0">
          <w:rPr>
            <w:noProof/>
            <w:webHidden/>
            <w:sz w:val="22"/>
            <w:szCs w:val="22"/>
          </w:rPr>
          <w:fldChar w:fldCharType="separate"/>
        </w:r>
        <w:r w:rsidR="00D55B52">
          <w:rPr>
            <w:noProof/>
            <w:webHidden/>
            <w:sz w:val="22"/>
            <w:szCs w:val="22"/>
          </w:rPr>
          <w:t>4</w:t>
        </w:r>
        <w:r w:rsidR="00E62A70" w:rsidRPr="003D37C0">
          <w:rPr>
            <w:noProof/>
            <w:webHidden/>
            <w:sz w:val="22"/>
            <w:szCs w:val="22"/>
          </w:rPr>
          <w:fldChar w:fldCharType="end"/>
        </w:r>
      </w:hyperlink>
    </w:p>
    <w:p w:rsidR="00E62A70" w:rsidRPr="003D37C0" w:rsidRDefault="00C16F4D" w:rsidP="003D37C0">
      <w:pPr>
        <w:pStyle w:val="Obsah1"/>
        <w:spacing w:before="120"/>
        <w:rPr>
          <w:noProof/>
        </w:rPr>
      </w:pPr>
      <w:hyperlink w:anchor="_Toc373740543" w:history="1">
        <w:r w:rsidR="00E62A70" w:rsidRPr="003D37C0">
          <w:rPr>
            <w:rStyle w:val="Hypertextovprepojenie"/>
            <w:noProof/>
            <w:sz w:val="22"/>
            <w:szCs w:val="22"/>
            <w:lang w:eastAsia="sk-SK"/>
          </w:rPr>
          <w:t>D.</w:t>
        </w:r>
        <w:r w:rsidR="00E62A70" w:rsidRPr="003D37C0">
          <w:rPr>
            <w:noProof/>
            <w:sz w:val="22"/>
            <w:szCs w:val="22"/>
          </w:rPr>
          <w:tab/>
        </w:r>
        <w:r w:rsidR="00E62A70" w:rsidRPr="003D37C0">
          <w:rPr>
            <w:rStyle w:val="Hypertextovprepojenie"/>
            <w:noProof/>
            <w:sz w:val="22"/>
            <w:szCs w:val="22"/>
            <w:lang w:eastAsia="sk-SK"/>
          </w:rPr>
          <w:t>Súhrnná správa o audite</w:t>
        </w:r>
        <w:r w:rsidR="00E62A70" w:rsidRPr="003D37C0">
          <w:rPr>
            <w:noProof/>
            <w:webHidden/>
            <w:sz w:val="22"/>
            <w:szCs w:val="22"/>
          </w:rPr>
          <w:tab/>
        </w:r>
        <w:r w:rsidR="00E62A70" w:rsidRPr="003D37C0">
          <w:rPr>
            <w:noProof/>
            <w:webHidden/>
            <w:sz w:val="22"/>
            <w:szCs w:val="22"/>
          </w:rPr>
          <w:fldChar w:fldCharType="begin"/>
        </w:r>
        <w:r w:rsidR="00E62A70" w:rsidRPr="003D37C0">
          <w:rPr>
            <w:noProof/>
            <w:webHidden/>
            <w:sz w:val="22"/>
            <w:szCs w:val="22"/>
          </w:rPr>
          <w:instrText xml:space="preserve"> PAGEREF _Toc373740543 \h </w:instrText>
        </w:r>
        <w:r w:rsidR="00E62A70" w:rsidRPr="003D37C0">
          <w:rPr>
            <w:noProof/>
            <w:webHidden/>
            <w:sz w:val="22"/>
            <w:szCs w:val="22"/>
          </w:rPr>
        </w:r>
        <w:r w:rsidR="00E62A70" w:rsidRPr="003D37C0">
          <w:rPr>
            <w:noProof/>
            <w:webHidden/>
            <w:sz w:val="22"/>
            <w:szCs w:val="22"/>
          </w:rPr>
          <w:fldChar w:fldCharType="separate"/>
        </w:r>
        <w:r w:rsidR="00D55B52">
          <w:rPr>
            <w:noProof/>
            <w:webHidden/>
            <w:sz w:val="22"/>
            <w:szCs w:val="22"/>
          </w:rPr>
          <w:t>5</w:t>
        </w:r>
        <w:r w:rsidR="00E62A70" w:rsidRPr="003D37C0">
          <w:rPr>
            <w:noProof/>
            <w:webHidden/>
            <w:sz w:val="22"/>
            <w:szCs w:val="22"/>
          </w:rPr>
          <w:fldChar w:fldCharType="end"/>
        </w:r>
      </w:hyperlink>
    </w:p>
    <w:p w:rsidR="00E62A70" w:rsidRPr="00E62A70" w:rsidRDefault="00C16F4D" w:rsidP="003D37C0">
      <w:pPr>
        <w:pStyle w:val="Obsah2"/>
        <w:tabs>
          <w:tab w:val="left" w:pos="660"/>
          <w:tab w:val="right" w:leader="dot" w:pos="9514"/>
        </w:tabs>
        <w:spacing w:before="120" w:after="0"/>
        <w:rPr>
          <w:rFonts w:ascii="Times New Roman" w:hAnsi="Times New Roman" w:cs="Times New Roman"/>
          <w:noProof/>
        </w:rPr>
      </w:pPr>
      <w:hyperlink w:anchor="_Toc373740544" w:history="1">
        <w:r w:rsidR="00E62A70" w:rsidRPr="00E62A70">
          <w:rPr>
            <w:rStyle w:val="Hypertextovprepojenie"/>
            <w:rFonts w:ascii="Times New Roman" w:hAnsi="Times New Roman" w:cs="Times New Roman"/>
            <w:noProof/>
          </w:rPr>
          <w:t>1.</w:t>
        </w:r>
        <w:r w:rsidR="00E62A70" w:rsidRPr="00E62A70">
          <w:rPr>
            <w:rFonts w:ascii="Times New Roman" w:hAnsi="Times New Roman" w:cs="Times New Roman"/>
            <w:noProof/>
          </w:rPr>
          <w:tab/>
        </w:r>
        <w:r w:rsidR="00E62A70" w:rsidRPr="00E62A70">
          <w:rPr>
            <w:rStyle w:val="Hypertextovprepojenie"/>
            <w:rFonts w:ascii="Times New Roman" w:hAnsi="Times New Roman" w:cs="Times New Roman"/>
            <w:noProof/>
          </w:rPr>
          <w:t>Stav výkonu prenesených pôsobností a ich financovanie</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_Toc373740544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5</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45" w:history="1">
        <w:r w:rsidR="00E62A70" w:rsidRPr="00E62A70">
          <w:rPr>
            <w:rStyle w:val="Hypertextovprepojenie"/>
            <w:rFonts w:ascii="Times New Roman" w:hAnsi="Times New Roman" w:cs="Times New Roman"/>
            <w:noProof/>
          </w:rPr>
          <w:t>1.1.</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Katalóg prenesených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_Toc373740545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5</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46" w:history="1">
        <w:r w:rsidR="00E62A70" w:rsidRPr="00E62A70">
          <w:rPr>
            <w:rStyle w:val="Hypertextovprepojenie"/>
            <w:rFonts w:ascii="Times New Roman" w:hAnsi="Times New Roman" w:cs="Times New Roman"/>
            <w:noProof/>
          </w:rPr>
          <w:t>1.2.</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Kvantifikácia výkonu prenesených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_Toc373740546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7</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47" w:history="1">
        <w:r w:rsidR="00E62A70" w:rsidRPr="00E62A70">
          <w:rPr>
            <w:rStyle w:val="Hypertextovprepojenie"/>
            <w:rFonts w:ascii="Times New Roman" w:hAnsi="Times New Roman" w:cs="Times New Roman"/>
            <w:noProof/>
          </w:rPr>
          <w:t>1.3.</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Zhodnotenie kvality výkonu prenesených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_Toc373740547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9</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48" w:history="1">
        <w:r w:rsidR="00E62A70" w:rsidRPr="00E62A70">
          <w:rPr>
            <w:rStyle w:val="Hypertextovprepojenie"/>
            <w:rFonts w:ascii="Times New Roman" w:hAnsi="Times New Roman" w:cs="Times New Roman"/>
            <w:noProof/>
            <w:lang w:eastAsia="cs-CZ"/>
          </w:rPr>
          <w:t>1.4.</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lang w:eastAsia="cs-CZ"/>
          </w:rPr>
          <w:t>Financovanie výkonu prenesených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_Toc373740548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11</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49" w:history="1">
        <w:r w:rsidR="00E62A70" w:rsidRPr="00E62A70">
          <w:rPr>
            <w:rStyle w:val="Hypertextovprepojenie"/>
            <w:rFonts w:ascii="Times New Roman" w:hAnsi="Times New Roman" w:cs="Times New Roman"/>
            <w:noProof/>
          </w:rPr>
          <w:t>1.5.</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Návrhy opatrení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_Toc373740549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13</w:t>
        </w:r>
        <w:r w:rsidR="00E62A70" w:rsidRPr="00E62A70">
          <w:rPr>
            <w:rFonts w:ascii="Times New Roman" w:hAnsi="Times New Roman" w:cs="Times New Roman"/>
            <w:noProof/>
            <w:webHidden/>
          </w:rPr>
          <w:fldChar w:fldCharType="end"/>
        </w:r>
      </w:hyperlink>
    </w:p>
    <w:p w:rsidR="00E62A70" w:rsidRPr="00E62A70" w:rsidRDefault="00C16F4D" w:rsidP="003D37C0">
      <w:pPr>
        <w:pStyle w:val="Obsah2"/>
        <w:tabs>
          <w:tab w:val="left" w:pos="660"/>
          <w:tab w:val="right" w:leader="dot" w:pos="9514"/>
        </w:tabs>
        <w:spacing w:before="120" w:after="0"/>
        <w:rPr>
          <w:rFonts w:ascii="Times New Roman" w:hAnsi="Times New Roman" w:cs="Times New Roman"/>
          <w:noProof/>
        </w:rPr>
      </w:pPr>
      <w:hyperlink w:anchor="_Toc373740550" w:history="1">
        <w:r w:rsidR="00E62A70" w:rsidRPr="00E62A70">
          <w:rPr>
            <w:rStyle w:val="Hypertextovprepojenie"/>
            <w:rFonts w:ascii="Times New Roman" w:hAnsi="Times New Roman" w:cs="Times New Roman"/>
            <w:noProof/>
          </w:rPr>
          <w:t>2.</w:t>
        </w:r>
        <w:r w:rsidR="00E62A70" w:rsidRPr="00E62A70">
          <w:rPr>
            <w:rFonts w:ascii="Times New Roman" w:hAnsi="Times New Roman" w:cs="Times New Roman"/>
            <w:noProof/>
          </w:rPr>
          <w:tab/>
        </w:r>
        <w:r w:rsidR="00E62A70" w:rsidRPr="00E62A70">
          <w:rPr>
            <w:rStyle w:val="Hypertextovprepojenie"/>
            <w:rFonts w:ascii="Times New Roman" w:hAnsi="Times New Roman" w:cs="Times New Roman"/>
            <w:noProof/>
          </w:rPr>
          <w:t>Stav výkonu samosprávnych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_Toc373740550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15</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51" w:history="1">
        <w:r w:rsidR="00E62A70" w:rsidRPr="00E62A70">
          <w:rPr>
            <w:rStyle w:val="Hypertextovprepojenie"/>
            <w:rFonts w:ascii="Times New Roman" w:hAnsi="Times New Roman" w:cs="Times New Roman"/>
            <w:noProof/>
          </w:rPr>
          <w:t>2.1</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Katalóg samosprávnych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_Toc373740551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15</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52" w:history="1">
        <w:r w:rsidR="00E62A70" w:rsidRPr="00E62A70">
          <w:rPr>
            <w:rStyle w:val="Hypertextovprepojenie"/>
            <w:rFonts w:ascii="Times New Roman" w:hAnsi="Times New Roman" w:cs="Times New Roman"/>
            <w:noProof/>
          </w:rPr>
          <w:t>2.2</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Zhodnotenie kvality výkonu samosprávnych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_Toc373740552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18</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53" w:history="1">
        <w:r w:rsidR="00E62A70" w:rsidRPr="00E62A70">
          <w:rPr>
            <w:rStyle w:val="Hypertextovprepojenie"/>
            <w:rFonts w:ascii="Times New Roman" w:hAnsi="Times New Roman" w:cs="Times New Roman"/>
            <w:noProof/>
          </w:rPr>
          <w:t>2.3</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Financovanie výkonu samosprávnych pôsobností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_Toc373740553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18</w:t>
        </w:r>
        <w:r w:rsidR="00E62A70" w:rsidRPr="00E62A70">
          <w:rPr>
            <w:rFonts w:ascii="Times New Roman" w:hAnsi="Times New Roman" w:cs="Times New Roman"/>
            <w:noProof/>
            <w:webHidden/>
          </w:rPr>
          <w:fldChar w:fldCharType="end"/>
        </w:r>
      </w:hyperlink>
    </w:p>
    <w:p w:rsidR="00E62A70" w:rsidRPr="00E62A70" w:rsidRDefault="00C16F4D" w:rsidP="003D37C0">
      <w:pPr>
        <w:pStyle w:val="Obsah3"/>
        <w:tabs>
          <w:tab w:val="left" w:pos="1100"/>
          <w:tab w:val="right" w:leader="dot" w:pos="9514"/>
        </w:tabs>
        <w:spacing w:before="120" w:after="0"/>
        <w:rPr>
          <w:rFonts w:ascii="Times New Roman" w:eastAsiaTheme="minorEastAsia" w:hAnsi="Times New Roman" w:cs="Times New Roman"/>
          <w:noProof/>
          <w:lang w:eastAsia="sk-SK"/>
        </w:rPr>
      </w:pPr>
      <w:hyperlink w:anchor="_Toc373740554" w:history="1">
        <w:r w:rsidR="00E62A70" w:rsidRPr="00E62A70">
          <w:rPr>
            <w:rStyle w:val="Hypertextovprepojenie"/>
            <w:rFonts w:ascii="Times New Roman" w:hAnsi="Times New Roman" w:cs="Times New Roman"/>
            <w:noProof/>
          </w:rPr>
          <w:t>2.4</w:t>
        </w:r>
        <w:r w:rsidR="00E62A70" w:rsidRPr="00E62A70">
          <w:rPr>
            <w:rFonts w:ascii="Times New Roman" w:eastAsiaTheme="minorEastAsia" w:hAnsi="Times New Roman" w:cs="Times New Roman"/>
            <w:noProof/>
            <w:lang w:eastAsia="sk-SK"/>
          </w:rPr>
          <w:tab/>
        </w:r>
        <w:r w:rsidR="00E62A70" w:rsidRPr="00E62A70">
          <w:rPr>
            <w:rStyle w:val="Hypertextovprepojenie"/>
            <w:rFonts w:ascii="Times New Roman" w:hAnsi="Times New Roman" w:cs="Times New Roman"/>
            <w:noProof/>
          </w:rPr>
          <w:t>Návrhy opatrení</w:t>
        </w:r>
        <w:r w:rsidR="00E62A70" w:rsidRPr="00E62A70">
          <w:rPr>
            <w:rFonts w:ascii="Times New Roman" w:hAnsi="Times New Roman" w:cs="Times New Roman"/>
            <w:noProof/>
            <w:webHidden/>
          </w:rPr>
          <w:tab/>
        </w:r>
        <w:r w:rsidR="00E62A70" w:rsidRPr="00E62A70">
          <w:rPr>
            <w:rFonts w:ascii="Times New Roman" w:hAnsi="Times New Roman" w:cs="Times New Roman"/>
            <w:noProof/>
            <w:webHidden/>
          </w:rPr>
          <w:fldChar w:fldCharType="begin"/>
        </w:r>
        <w:r w:rsidR="00E62A70" w:rsidRPr="00E62A70">
          <w:rPr>
            <w:rFonts w:ascii="Times New Roman" w:hAnsi="Times New Roman" w:cs="Times New Roman"/>
            <w:noProof/>
            <w:webHidden/>
          </w:rPr>
          <w:instrText xml:space="preserve"> PAGEREF _Toc373740554 \h </w:instrText>
        </w:r>
        <w:r w:rsidR="00E62A70" w:rsidRPr="00E62A70">
          <w:rPr>
            <w:rFonts w:ascii="Times New Roman" w:hAnsi="Times New Roman" w:cs="Times New Roman"/>
            <w:noProof/>
            <w:webHidden/>
          </w:rPr>
        </w:r>
        <w:r w:rsidR="00E62A70" w:rsidRPr="00E62A70">
          <w:rPr>
            <w:rFonts w:ascii="Times New Roman" w:hAnsi="Times New Roman" w:cs="Times New Roman"/>
            <w:noProof/>
            <w:webHidden/>
          </w:rPr>
          <w:fldChar w:fldCharType="separate"/>
        </w:r>
        <w:r w:rsidR="00D55B52">
          <w:rPr>
            <w:rFonts w:ascii="Times New Roman" w:hAnsi="Times New Roman" w:cs="Times New Roman"/>
            <w:noProof/>
            <w:webHidden/>
          </w:rPr>
          <w:t>19</w:t>
        </w:r>
        <w:r w:rsidR="00E62A70" w:rsidRPr="00E62A70">
          <w:rPr>
            <w:rFonts w:ascii="Times New Roman" w:hAnsi="Times New Roman" w:cs="Times New Roman"/>
            <w:noProof/>
            <w:webHidden/>
          </w:rPr>
          <w:fldChar w:fldCharType="end"/>
        </w:r>
      </w:hyperlink>
    </w:p>
    <w:p w:rsidR="00E62A70" w:rsidRPr="003D37C0" w:rsidRDefault="00C16F4D" w:rsidP="003D37C0">
      <w:pPr>
        <w:pStyle w:val="Obsah1"/>
        <w:spacing w:before="120"/>
        <w:rPr>
          <w:noProof/>
          <w:sz w:val="22"/>
          <w:szCs w:val="22"/>
        </w:rPr>
      </w:pPr>
      <w:hyperlink w:anchor="_Toc373740555" w:history="1">
        <w:r w:rsidR="00E62A70" w:rsidRPr="003D37C0">
          <w:rPr>
            <w:rStyle w:val="Hypertextovprepojenie"/>
            <w:noProof/>
            <w:sz w:val="22"/>
            <w:szCs w:val="22"/>
            <w:lang w:eastAsia="sk-SK"/>
          </w:rPr>
          <w:t>E.</w:t>
        </w:r>
        <w:r w:rsidR="00E62A70" w:rsidRPr="003D37C0">
          <w:rPr>
            <w:noProof/>
            <w:sz w:val="22"/>
            <w:szCs w:val="22"/>
          </w:rPr>
          <w:tab/>
        </w:r>
        <w:r w:rsidR="00E62A70" w:rsidRPr="003D37C0">
          <w:rPr>
            <w:rStyle w:val="Hypertextovprepojenie"/>
            <w:noProof/>
            <w:sz w:val="22"/>
            <w:szCs w:val="22"/>
            <w:lang w:eastAsia="sk-SK"/>
          </w:rPr>
          <w:t>Vývoj príjmov a výdavkov obcí a samosprávnych krajov v referenčných rokoch</w:t>
        </w:r>
        <w:r w:rsidR="00E62A70" w:rsidRPr="003D37C0">
          <w:rPr>
            <w:noProof/>
            <w:webHidden/>
            <w:sz w:val="22"/>
            <w:szCs w:val="22"/>
          </w:rPr>
          <w:tab/>
        </w:r>
        <w:r w:rsidR="00E62A70" w:rsidRPr="003D37C0">
          <w:rPr>
            <w:noProof/>
            <w:webHidden/>
            <w:sz w:val="22"/>
            <w:szCs w:val="22"/>
          </w:rPr>
          <w:fldChar w:fldCharType="begin"/>
        </w:r>
        <w:r w:rsidR="00E62A70" w:rsidRPr="003D37C0">
          <w:rPr>
            <w:noProof/>
            <w:webHidden/>
            <w:sz w:val="22"/>
            <w:szCs w:val="22"/>
          </w:rPr>
          <w:instrText xml:space="preserve"> PAGEREF _Toc373740555 \h </w:instrText>
        </w:r>
        <w:r w:rsidR="00E62A70" w:rsidRPr="003D37C0">
          <w:rPr>
            <w:noProof/>
            <w:webHidden/>
            <w:sz w:val="22"/>
            <w:szCs w:val="22"/>
          </w:rPr>
        </w:r>
        <w:r w:rsidR="00E62A70" w:rsidRPr="003D37C0">
          <w:rPr>
            <w:noProof/>
            <w:webHidden/>
            <w:sz w:val="22"/>
            <w:szCs w:val="22"/>
          </w:rPr>
          <w:fldChar w:fldCharType="separate"/>
        </w:r>
        <w:r w:rsidR="00D55B52">
          <w:rPr>
            <w:noProof/>
            <w:webHidden/>
            <w:sz w:val="22"/>
            <w:szCs w:val="22"/>
          </w:rPr>
          <w:t>20</w:t>
        </w:r>
        <w:r w:rsidR="00E62A70" w:rsidRPr="003D37C0">
          <w:rPr>
            <w:noProof/>
            <w:webHidden/>
            <w:sz w:val="22"/>
            <w:szCs w:val="22"/>
          </w:rPr>
          <w:fldChar w:fldCharType="end"/>
        </w:r>
      </w:hyperlink>
    </w:p>
    <w:p w:rsidR="00E62A70" w:rsidRPr="003D37C0" w:rsidRDefault="00C16F4D" w:rsidP="003D37C0">
      <w:pPr>
        <w:pStyle w:val="Obsah1"/>
        <w:spacing w:before="120"/>
        <w:rPr>
          <w:noProof/>
          <w:sz w:val="22"/>
          <w:szCs w:val="22"/>
        </w:rPr>
      </w:pPr>
      <w:hyperlink w:anchor="_Toc373740556" w:history="1">
        <w:r w:rsidR="00E62A70" w:rsidRPr="003D37C0">
          <w:rPr>
            <w:rStyle w:val="Hypertextovprepojenie"/>
            <w:noProof/>
            <w:sz w:val="22"/>
            <w:szCs w:val="22"/>
            <w:lang w:eastAsia="sk-SK"/>
          </w:rPr>
          <w:t>F.</w:t>
        </w:r>
        <w:r w:rsidR="00E62A70" w:rsidRPr="003D37C0">
          <w:rPr>
            <w:noProof/>
            <w:sz w:val="22"/>
            <w:szCs w:val="22"/>
          </w:rPr>
          <w:tab/>
        </w:r>
        <w:r w:rsidR="00E62A70" w:rsidRPr="003D37C0">
          <w:rPr>
            <w:rStyle w:val="Hypertextovprepojenie"/>
            <w:noProof/>
            <w:sz w:val="22"/>
            <w:szCs w:val="22"/>
            <w:lang w:eastAsia="sk-SK"/>
          </w:rPr>
          <w:t>Záver</w:t>
        </w:r>
        <w:r w:rsidR="00E62A70" w:rsidRPr="003D37C0">
          <w:rPr>
            <w:noProof/>
            <w:webHidden/>
            <w:sz w:val="22"/>
            <w:szCs w:val="22"/>
          </w:rPr>
          <w:tab/>
        </w:r>
        <w:r w:rsidR="00E62A70" w:rsidRPr="003D37C0">
          <w:rPr>
            <w:noProof/>
            <w:webHidden/>
            <w:sz w:val="22"/>
            <w:szCs w:val="22"/>
          </w:rPr>
          <w:fldChar w:fldCharType="begin"/>
        </w:r>
        <w:r w:rsidR="00E62A70" w:rsidRPr="003D37C0">
          <w:rPr>
            <w:noProof/>
            <w:webHidden/>
            <w:sz w:val="22"/>
            <w:szCs w:val="22"/>
          </w:rPr>
          <w:instrText xml:space="preserve"> PAGEREF _Toc373740556 \h </w:instrText>
        </w:r>
        <w:r w:rsidR="00E62A70" w:rsidRPr="003D37C0">
          <w:rPr>
            <w:noProof/>
            <w:webHidden/>
            <w:sz w:val="22"/>
            <w:szCs w:val="22"/>
          </w:rPr>
        </w:r>
        <w:r w:rsidR="00E62A70" w:rsidRPr="003D37C0">
          <w:rPr>
            <w:noProof/>
            <w:webHidden/>
            <w:sz w:val="22"/>
            <w:szCs w:val="22"/>
          </w:rPr>
          <w:fldChar w:fldCharType="separate"/>
        </w:r>
        <w:r w:rsidR="00D55B52">
          <w:rPr>
            <w:noProof/>
            <w:webHidden/>
            <w:sz w:val="22"/>
            <w:szCs w:val="22"/>
          </w:rPr>
          <w:t>22</w:t>
        </w:r>
        <w:r w:rsidR="00E62A70" w:rsidRPr="003D37C0">
          <w:rPr>
            <w:noProof/>
            <w:webHidden/>
            <w:sz w:val="22"/>
            <w:szCs w:val="22"/>
          </w:rPr>
          <w:fldChar w:fldCharType="end"/>
        </w:r>
      </w:hyperlink>
    </w:p>
    <w:p w:rsidR="003D37C0" w:rsidRPr="003D37C0" w:rsidRDefault="00E62A70" w:rsidP="003D37C0">
      <w:pPr>
        <w:spacing w:before="360" w:after="0" w:line="240" w:lineRule="auto"/>
        <w:jc w:val="center"/>
        <w:rPr>
          <w:rFonts w:ascii="Times New Roman" w:eastAsia="Times New Roman" w:hAnsi="Times New Roman" w:cs="Times New Roman"/>
          <w:b/>
          <w:lang w:eastAsia="sk-SK"/>
        </w:rPr>
      </w:pPr>
      <w:r>
        <w:rPr>
          <w:rFonts w:ascii="Times New Roman" w:hAnsi="Times New Roman" w:cs="Times New Roman"/>
          <w:b/>
          <w:sz w:val="32"/>
          <w:szCs w:val="32"/>
        </w:rPr>
        <w:fldChar w:fldCharType="end"/>
      </w:r>
      <w:r w:rsidR="003D37C0" w:rsidRPr="003D37C0">
        <w:rPr>
          <w:rFonts w:ascii="Times New Roman" w:eastAsia="Times New Roman" w:hAnsi="Times New Roman" w:cs="Times New Roman"/>
          <w:lang w:eastAsia="sk-SK"/>
        </w:rPr>
        <w:t xml:space="preserve"> </w:t>
      </w:r>
      <w:r w:rsidR="00D62921">
        <w:rPr>
          <w:rFonts w:ascii="Times New Roman" w:eastAsia="Times New Roman" w:hAnsi="Times New Roman" w:cs="Times New Roman"/>
          <w:b/>
          <w:lang w:eastAsia="sk-SK"/>
        </w:rPr>
        <w:t>Zoznam príloh</w:t>
      </w:r>
      <w:r w:rsidR="003D37C0" w:rsidRPr="003D37C0">
        <w:rPr>
          <w:rFonts w:ascii="Times New Roman" w:eastAsia="Times New Roman" w:hAnsi="Times New Roman" w:cs="Times New Roman"/>
          <w:b/>
          <w:lang w:eastAsia="sk-SK"/>
        </w:rPr>
        <w:t xml:space="preserve"> s</w:t>
      </w:r>
      <w:r w:rsidR="00D62921">
        <w:rPr>
          <w:rFonts w:ascii="Times New Roman" w:eastAsia="Times New Roman" w:hAnsi="Times New Roman" w:cs="Times New Roman"/>
          <w:b/>
          <w:lang w:eastAsia="sk-SK"/>
        </w:rPr>
        <w:t>úhrnnej s</w:t>
      </w:r>
      <w:r w:rsidR="003D37C0" w:rsidRPr="003D37C0">
        <w:rPr>
          <w:rFonts w:ascii="Times New Roman" w:eastAsia="Times New Roman" w:hAnsi="Times New Roman" w:cs="Times New Roman"/>
          <w:b/>
          <w:lang w:eastAsia="sk-SK"/>
        </w:rPr>
        <w:t>právy o audite:</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 xml:space="preserve">1a - Stav výkonu pôsobností štátnej správy prenesených na obce </w:t>
      </w:r>
      <w:r>
        <w:rPr>
          <w:rFonts w:ascii="Times New Roman" w:eastAsia="Times New Roman" w:hAnsi="Times New Roman" w:cs="Times New Roman"/>
          <w:lang w:eastAsia="sk-SK"/>
        </w:rPr>
        <w:t>-</w:t>
      </w:r>
      <w:r w:rsidRPr="00451915">
        <w:rPr>
          <w:rFonts w:ascii="Times New Roman" w:eastAsia="Times New Roman" w:hAnsi="Times New Roman" w:cs="Times New Roman"/>
          <w:lang w:eastAsia="sk-SK"/>
        </w:rPr>
        <w:t xml:space="preserve"> Katalóg činností,</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1b - Kvantifikácia výkonu prenesených pôsobností obcí (podľa veľkostných kategórii 1b-1 až 1b-4, súhrnná tabuľka),</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1c - Stav výkonu pôsobností štátnej správy prenesených na obce</w:t>
      </w:r>
      <w:r>
        <w:rPr>
          <w:rFonts w:ascii="Times New Roman" w:eastAsia="Times New Roman" w:hAnsi="Times New Roman" w:cs="Times New Roman"/>
          <w:lang w:eastAsia="sk-SK"/>
        </w:rPr>
        <w:t xml:space="preserve"> </w:t>
      </w:r>
      <w:r w:rsidRPr="00451915">
        <w:rPr>
          <w:rFonts w:ascii="Times New Roman" w:eastAsia="Times New Roman" w:hAnsi="Times New Roman" w:cs="Times New Roman"/>
          <w:lang w:eastAsia="sk-SK"/>
        </w:rPr>
        <w:t>- sumár – Zhodnotenie kvality,</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Pr>
          <w:rFonts w:ascii="Times New Roman" w:eastAsia="Times New Roman" w:hAnsi="Times New Roman" w:cs="Times New Roman"/>
          <w:lang w:eastAsia="sk-SK"/>
        </w:rPr>
        <w:t>1d - </w:t>
      </w:r>
      <w:r w:rsidRPr="00451915">
        <w:rPr>
          <w:rFonts w:ascii="Times New Roman" w:eastAsia="Times New Roman" w:hAnsi="Times New Roman" w:cs="Times New Roman"/>
          <w:lang w:eastAsia="sk-SK"/>
        </w:rPr>
        <w:t>Financovanie výkonu pôsobností štátnej správy prenesených na obce podľa veľkostných kategórii (1d-1 až 1d-4),</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2a - Stav výkonu pôsobností štátnej správy prenesených na samosprávne kraje – Katalóg činností,</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2b - Kvantifikácia výkonu prenesených pôsobností na samosprávne kraje,</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Pr>
          <w:rFonts w:ascii="Times New Roman" w:eastAsia="Times New Roman" w:hAnsi="Times New Roman" w:cs="Times New Roman"/>
          <w:lang w:eastAsia="sk-SK"/>
        </w:rPr>
        <w:t>2c - </w:t>
      </w:r>
      <w:r w:rsidRPr="00451915">
        <w:rPr>
          <w:rFonts w:ascii="Times New Roman" w:eastAsia="Times New Roman" w:hAnsi="Times New Roman" w:cs="Times New Roman"/>
          <w:lang w:eastAsia="sk-SK"/>
        </w:rPr>
        <w:t>Stav výkonu pôsobností štátnej správy prenesených na samosprávne kraje – Zhodnotenie kvality,</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2d - Financovanie výkonu pôsobností štátnej správy prenesených na samosprávne kraje,</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3a - Stav výkonu samosprávnych pôsobností obcí – Katalóg činností,</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4a - Stav výkonu samosprávnych pôsobností samosprávnych krajov – Katalóg činností,</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5 - Údaje o výkone a financovaní prenesených pôsobností podľa jednotlivých ministerstiev,</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Pr>
          <w:rFonts w:ascii="Times New Roman" w:eastAsia="Times New Roman" w:hAnsi="Times New Roman" w:cs="Times New Roman"/>
          <w:lang w:eastAsia="sk-SK"/>
        </w:rPr>
        <w:t>6 - </w:t>
      </w:r>
      <w:r w:rsidRPr="00451915">
        <w:rPr>
          <w:rFonts w:ascii="Times New Roman" w:eastAsia="Times New Roman" w:hAnsi="Times New Roman" w:cs="Times New Roman"/>
          <w:lang w:eastAsia="sk-SK"/>
        </w:rPr>
        <w:t>Údaje o výkone a financovaní samosprávnych pôsobností podľa jednotlivých ministerstiev,</w:t>
      </w:r>
    </w:p>
    <w:p w:rsidR="003D37C0" w:rsidRPr="00451915" w:rsidRDefault="003D37C0" w:rsidP="003D37C0">
      <w:pPr>
        <w:pStyle w:val="Odsekzoznamu"/>
        <w:numPr>
          <w:ilvl w:val="0"/>
          <w:numId w:val="28"/>
        </w:numPr>
        <w:spacing w:before="120" w:after="0" w:line="240" w:lineRule="auto"/>
        <w:ind w:left="851" w:hanging="567"/>
        <w:contextualSpacing w:val="0"/>
        <w:jc w:val="both"/>
        <w:rPr>
          <w:rFonts w:ascii="Times New Roman" w:eastAsia="Times New Roman" w:hAnsi="Times New Roman" w:cs="Times New Roman"/>
          <w:lang w:eastAsia="sk-SK"/>
        </w:rPr>
      </w:pPr>
      <w:r w:rsidRPr="00451915">
        <w:rPr>
          <w:rFonts w:ascii="Times New Roman" w:eastAsia="Times New Roman" w:hAnsi="Times New Roman" w:cs="Times New Roman"/>
          <w:lang w:eastAsia="sk-SK"/>
        </w:rPr>
        <w:t>7 – Návrh opatrení.</w:t>
      </w:r>
    </w:p>
    <w:p w:rsidR="00D4240D" w:rsidRDefault="00D4240D" w:rsidP="00060E4A">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br w:type="page"/>
      </w:r>
    </w:p>
    <w:p w:rsidR="005E7611" w:rsidRPr="004A3026" w:rsidRDefault="005E7611" w:rsidP="00060E4A">
      <w:pPr>
        <w:pStyle w:val="tla1"/>
      </w:pPr>
      <w:bookmarkStart w:id="2" w:name="_Toc373740540"/>
      <w:r w:rsidRPr="004A3026">
        <w:lastRenderedPageBreak/>
        <w:t>Úvod</w:t>
      </w:r>
      <w:bookmarkEnd w:id="2"/>
    </w:p>
    <w:p w:rsidR="00D97588" w:rsidRDefault="00D97588" w:rsidP="00BC7FEB">
      <w:pPr>
        <w:spacing w:before="120" w:after="0"/>
        <w:ind w:firstLine="709"/>
        <w:jc w:val="both"/>
        <w:rPr>
          <w:rFonts w:ascii="Times New Roman" w:hAnsi="Times New Roman" w:cs="Times New Roman"/>
        </w:rPr>
      </w:pPr>
      <w:r>
        <w:rPr>
          <w:rFonts w:ascii="Times New Roman" w:hAnsi="Times New Roman" w:cs="Times New Roman"/>
        </w:rPr>
        <w:t xml:space="preserve">Východiskom na vypracovanie súhrnného auditu </w:t>
      </w:r>
      <w:r w:rsidRPr="00D97588">
        <w:rPr>
          <w:rFonts w:ascii="Times New Roman" w:hAnsi="Times New Roman" w:cs="Times New Roman"/>
        </w:rPr>
        <w:t>výkonu kompetencií verejnej správy a návrh</w:t>
      </w:r>
      <w:r>
        <w:rPr>
          <w:rFonts w:ascii="Times New Roman" w:hAnsi="Times New Roman" w:cs="Times New Roman"/>
        </w:rPr>
        <w:t>u</w:t>
      </w:r>
      <w:r w:rsidRPr="00D97588">
        <w:rPr>
          <w:rFonts w:ascii="Times New Roman" w:hAnsi="Times New Roman" w:cs="Times New Roman"/>
        </w:rPr>
        <w:t xml:space="preserve"> na zabezpečenie financovania kompetencií verejnej správy </w:t>
      </w:r>
      <w:r>
        <w:rPr>
          <w:rFonts w:ascii="Times New Roman" w:hAnsi="Times New Roman" w:cs="Times New Roman"/>
        </w:rPr>
        <w:t>bolo u</w:t>
      </w:r>
      <w:r w:rsidR="005E7611" w:rsidRPr="00C07289">
        <w:rPr>
          <w:rFonts w:ascii="Times New Roman" w:hAnsi="Times New Roman" w:cs="Times New Roman"/>
        </w:rPr>
        <w:t>znesen</w:t>
      </w:r>
      <w:r>
        <w:rPr>
          <w:rFonts w:ascii="Times New Roman" w:hAnsi="Times New Roman" w:cs="Times New Roman"/>
        </w:rPr>
        <w:t>ie</w:t>
      </w:r>
      <w:r w:rsidR="005E7611" w:rsidRPr="00C07289">
        <w:rPr>
          <w:rFonts w:ascii="Times New Roman" w:hAnsi="Times New Roman" w:cs="Times New Roman"/>
        </w:rPr>
        <w:t xml:space="preserve"> vlády </w:t>
      </w:r>
      <w:r w:rsidR="00F804C2">
        <w:rPr>
          <w:rFonts w:ascii="Times New Roman" w:hAnsi="Times New Roman" w:cs="Times New Roman"/>
        </w:rPr>
        <w:t>S</w:t>
      </w:r>
      <w:r w:rsidR="00172215">
        <w:rPr>
          <w:rFonts w:ascii="Times New Roman" w:hAnsi="Times New Roman" w:cs="Times New Roman"/>
        </w:rPr>
        <w:t>lovenskej republiky</w:t>
      </w:r>
      <w:r w:rsidR="00F804C2">
        <w:rPr>
          <w:rFonts w:ascii="Times New Roman" w:hAnsi="Times New Roman" w:cs="Times New Roman"/>
        </w:rPr>
        <w:t xml:space="preserve"> (ďalej len „vláda“) č. 48 z </w:t>
      </w:r>
      <w:r w:rsidR="005E7611" w:rsidRPr="00C07289">
        <w:rPr>
          <w:rFonts w:ascii="Times New Roman" w:hAnsi="Times New Roman" w:cs="Times New Roman"/>
        </w:rPr>
        <w:t xml:space="preserve">22. februára 2012 </w:t>
      </w:r>
      <w:r w:rsidR="00F804C2">
        <w:rPr>
          <w:rFonts w:ascii="Times New Roman" w:hAnsi="Times New Roman" w:cs="Times New Roman"/>
        </w:rPr>
        <w:t xml:space="preserve">v znení </w:t>
      </w:r>
      <w:r w:rsidR="005E7611" w:rsidRPr="00C07289">
        <w:rPr>
          <w:rFonts w:ascii="Times New Roman" w:hAnsi="Times New Roman" w:cs="Times New Roman"/>
        </w:rPr>
        <w:t>uznesen</w:t>
      </w:r>
      <w:r w:rsidR="00F804C2">
        <w:rPr>
          <w:rFonts w:ascii="Times New Roman" w:hAnsi="Times New Roman" w:cs="Times New Roman"/>
        </w:rPr>
        <w:t>ia</w:t>
      </w:r>
      <w:r w:rsidR="005E7611" w:rsidRPr="00C07289">
        <w:rPr>
          <w:rFonts w:ascii="Times New Roman" w:hAnsi="Times New Roman" w:cs="Times New Roman"/>
        </w:rPr>
        <w:t xml:space="preserve"> vlády č. 465 z 19. septembra 2012</w:t>
      </w:r>
      <w:r>
        <w:rPr>
          <w:rFonts w:ascii="Times New Roman" w:hAnsi="Times New Roman" w:cs="Times New Roman"/>
        </w:rPr>
        <w:t>.</w:t>
      </w:r>
      <w:r w:rsidR="005E7611" w:rsidRPr="00C07289">
        <w:rPr>
          <w:rFonts w:ascii="Times New Roman" w:hAnsi="Times New Roman" w:cs="Times New Roman"/>
        </w:rPr>
        <w:t xml:space="preserve"> </w:t>
      </w:r>
    </w:p>
    <w:p w:rsidR="005E7611" w:rsidRPr="00C07289" w:rsidRDefault="005E7611" w:rsidP="00BC7FEB">
      <w:pPr>
        <w:spacing w:before="120" w:after="0"/>
        <w:ind w:firstLine="709"/>
        <w:jc w:val="both"/>
        <w:rPr>
          <w:rFonts w:ascii="Times New Roman" w:hAnsi="Times New Roman" w:cs="Times New Roman"/>
        </w:rPr>
      </w:pPr>
      <w:r w:rsidRPr="00C07289">
        <w:rPr>
          <w:rFonts w:ascii="Times New Roman" w:hAnsi="Times New Roman" w:cs="Times New Roman"/>
        </w:rPr>
        <w:t>Predmetné uznesenie vlády vychádza</w:t>
      </w:r>
      <w:r w:rsidR="00D97588">
        <w:rPr>
          <w:rFonts w:ascii="Times New Roman" w:hAnsi="Times New Roman" w:cs="Times New Roman"/>
        </w:rPr>
        <w:t>lo</w:t>
      </w:r>
      <w:r w:rsidRPr="00C07289">
        <w:rPr>
          <w:rFonts w:ascii="Times New Roman" w:hAnsi="Times New Roman" w:cs="Times New Roman"/>
        </w:rPr>
        <w:t xml:space="preserve"> z uznesenia Národnej rady </w:t>
      </w:r>
      <w:r w:rsidR="003E080D">
        <w:rPr>
          <w:rFonts w:ascii="Times New Roman" w:hAnsi="Times New Roman" w:cs="Times New Roman"/>
        </w:rPr>
        <w:t>Slovenskej republiky</w:t>
      </w:r>
      <w:r w:rsidR="00F804C2">
        <w:rPr>
          <w:rFonts w:ascii="Times New Roman" w:hAnsi="Times New Roman" w:cs="Times New Roman"/>
        </w:rPr>
        <w:t xml:space="preserve"> č. 748 z 8. decembra 2011 k </w:t>
      </w:r>
      <w:r w:rsidRPr="00C07289">
        <w:rPr>
          <w:rFonts w:ascii="Times New Roman" w:hAnsi="Times New Roman" w:cs="Times New Roman"/>
        </w:rPr>
        <w:t xml:space="preserve">vykonaniu auditu verejnej správy, v ktorom Národná rada </w:t>
      </w:r>
      <w:r w:rsidR="003E080D">
        <w:rPr>
          <w:rFonts w:ascii="Times New Roman" w:hAnsi="Times New Roman" w:cs="Times New Roman"/>
        </w:rPr>
        <w:t xml:space="preserve">Slovenskej republiky </w:t>
      </w:r>
      <w:r w:rsidRPr="00C07289">
        <w:rPr>
          <w:rFonts w:ascii="Times New Roman" w:hAnsi="Times New Roman" w:cs="Times New Roman"/>
        </w:rPr>
        <w:t>žiada</w:t>
      </w:r>
      <w:r w:rsidR="00D97588">
        <w:rPr>
          <w:rFonts w:ascii="Times New Roman" w:hAnsi="Times New Roman" w:cs="Times New Roman"/>
        </w:rPr>
        <w:t>la</w:t>
      </w:r>
      <w:r w:rsidRPr="00C07289">
        <w:rPr>
          <w:rFonts w:ascii="Times New Roman" w:hAnsi="Times New Roman" w:cs="Times New Roman"/>
        </w:rPr>
        <w:t xml:space="preserve"> vládu o vykonanie komplexného auditu kompetencií podľa jednotlivých úrovní verejnej správy a zabezpečenie ich financovania.</w:t>
      </w:r>
    </w:p>
    <w:p w:rsidR="005E7611" w:rsidRPr="00C07289" w:rsidRDefault="005E7611" w:rsidP="00BC7FEB">
      <w:pPr>
        <w:spacing w:before="120" w:after="0"/>
        <w:ind w:firstLine="709"/>
        <w:jc w:val="both"/>
        <w:rPr>
          <w:rFonts w:ascii="Times New Roman" w:hAnsi="Times New Roman" w:cs="Times New Roman"/>
        </w:rPr>
      </w:pPr>
      <w:r w:rsidRPr="00C07289">
        <w:rPr>
          <w:rFonts w:ascii="Times New Roman" w:hAnsi="Times New Roman" w:cs="Times New Roman"/>
        </w:rPr>
        <w:t xml:space="preserve">Zámerom spracovania auditu verejnej správy, vychádzajúc z odôvodnenia k uzneseniu </w:t>
      </w:r>
      <w:r w:rsidR="003E080D">
        <w:rPr>
          <w:rFonts w:ascii="Times New Roman" w:hAnsi="Times New Roman" w:cs="Times New Roman"/>
        </w:rPr>
        <w:t>N</w:t>
      </w:r>
      <w:r w:rsidRPr="00C07289">
        <w:rPr>
          <w:rFonts w:ascii="Times New Roman" w:hAnsi="Times New Roman" w:cs="Times New Roman"/>
        </w:rPr>
        <w:t>árodnej rady</w:t>
      </w:r>
      <w:r w:rsidR="003E080D">
        <w:rPr>
          <w:rFonts w:ascii="Times New Roman" w:hAnsi="Times New Roman" w:cs="Times New Roman"/>
        </w:rPr>
        <w:t xml:space="preserve"> Slovenskej republiky</w:t>
      </w:r>
      <w:r w:rsidRPr="00C07289">
        <w:rPr>
          <w:rFonts w:ascii="Times New Roman" w:hAnsi="Times New Roman" w:cs="Times New Roman"/>
        </w:rPr>
        <w:t xml:space="preserve">, </w:t>
      </w:r>
      <w:r w:rsidR="00D97588">
        <w:rPr>
          <w:rFonts w:ascii="Times New Roman" w:hAnsi="Times New Roman" w:cs="Times New Roman"/>
        </w:rPr>
        <w:t>bolo</w:t>
      </w:r>
      <w:r w:rsidRPr="00C07289">
        <w:rPr>
          <w:rFonts w:ascii="Times New Roman" w:hAnsi="Times New Roman" w:cs="Times New Roman"/>
        </w:rPr>
        <w:t xml:space="preserve"> - vzhľadom na súčasnú destabilizáciu financovania obcí, miest a samosprávnych krajov - dôsledne analyzovať verejné služby a náklady súvisiace s ich poskytovaním na miestnej a regionálnej úrovni.</w:t>
      </w:r>
    </w:p>
    <w:p w:rsidR="005E7611" w:rsidRDefault="00EE4037" w:rsidP="00BC7FEB">
      <w:pPr>
        <w:spacing w:before="120" w:after="0"/>
        <w:ind w:firstLine="709"/>
        <w:jc w:val="both"/>
        <w:rPr>
          <w:rFonts w:ascii="Times New Roman" w:hAnsi="Times New Roman" w:cs="Times New Roman"/>
        </w:rPr>
      </w:pPr>
      <w:r>
        <w:rPr>
          <w:rFonts w:ascii="Times New Roman" w:hAnsi="Times New Roman" w:cs="Times New Roman"/>
        </w:rPr>
        <w:t>A</w:t>
      </w:r>
      <w:r w:rsidR="005E7611" w:rsidRPr="00C07289">
        <w:rPr>
          <w:rFonts w:ascii="Times New Roman" w:hAnsi="Times New Roman" w:cs="Times New Roman"/>
        </w:rPr>
        <w:t>udit sa zam</w:t>
      </w:r>
      <w:r w:rsidR="00D97588">
        <w:rPr>
          <w:rFonts w:ascii="Times New Roman" w:hAnsi="Times New Roman" w:cs="Times New Roman"/>
        </w:rPr>
        <w:t>eral</w:t>
      </w:r>
      <w:r w:rsidR="005E7611" w:rsidRPr="00C07289">
        <w:rPr>
          <w:rFonts w:ascii="Times New Roman" w:hAnsi="Times New Roman" w:cs="Times New Roman"/>
        </w:rPr>
        <w:t xml:space="preserve"> na výkon pôsobností obcí a samosprávnych krajov a ich financovanie (rozsah auditu), najmä s cieľom dôsledného prehodnotenia uskutočnenej decentralizácie a dekoncentrácie pôsobností na obce a samosprávne kraje, analýzy súčasného stavu zabezpečovania ich pôsobností a stabilizácie ich financovania.</w:t>
      </w:r>
    </w:p>
    <w:p w:rsidR="005E7611" w:rsidRPr="00437A1D" w:rsidRDefault="005E7611" w:rsidP="00BC7FEB">
      <w:pPr>
        <w:spacing w:before="120" w:after="0"/>
        <w:ind w:firstLine="709"/>
        <w:jc w:val="both"/>
        <w:rPr>
          <w:rFonts w:ascii="Times New Roman" w:hAnsi="Times New Roman" w:cs="Times New Roman"/>
        </w:rPr>
      </w:pPr>
      <w:r w:rsidRPr="00C07289">
        <w:rPr>
          <w:rFonts w:ascii="Times New Roman" w:hAnsi="Times New Roman" w:cs="Times New Roman"/>
        </w:rPr>
        <w:t xml:space="preserve">Na základe bodu  B.41 z uznesenia vlády č. 638 z 21. novembra 2012 v priebehu spracovania auditu verejnej správy a jeho výsledkov ministerstvá a ostatné ústredné orgány štátnej správy (ďalej len „ministerstvá“) </w:t>
      </w:r>
      <w:r w:rsidR="006D2BDD">
        <w:rPr>
          <w:rFonts w:ascii="Times New Roman" w:hAnsi="Times New Roman" w:cs="Times New Roman"/>
        </w:rPr>
        <w:t>spolupracovali</w:t>
      </w:r>
      <w:r w:rsidRPr="00C07289">
        <w:rPr>
          <w:rFonts w:ascii="Times New Roman" w:hAnsi="Times New Roman" w:cs="Times New Roman"/>
        </w:rPr>
        <w:t xml:space="preserve"> so Združením miest a obcí Slovenska </w:t>
      </w:r>
      <w:r w:rsidR="00AE5D0F">
        <w:rPr>
          <w:rFonts w:ascii="Times New Roman" w:hAnsi="Times New Roman" w:cs="Times New Roman"/>
        </w:rPr>
        <w:t xml:space="preserve">(ďalej len „ZMOS“) </w:t>
      </w:r>
      <w:r w:rsidRPr="00C07289">
        <w:rPr>
          <w:rFonts w:ascii="Times New Roman" w:hAnsi="Times New Roman" w:cs="Times New Roman"/>
        </w:rPr>
        <w:t xml:space="preserve">a so Združením </w:t>
      </w:r>
      <w:r w:rsidR="00AE5D0F">
        <w:rPr>
          <w:rFonts w:ascii="Times New Roman" w:hAnsi="Times New Roman" w:cs="Times New Roman"/>
        </w:rPr>
        <w:t xml:space="preserve">samosprávnych krajov </w:t>
      </w:r>
      <w:r w:rsidRPr="00C07289">
        <w:rPr>
          <w:rFonts w:ascii="Times New Roman" w:hAnsi="Times New Roman" w:cs="Times New Roman"/>
        </w:rPr>
        <w:t>SK8</w:t>
      </w:r>
      <w:r w:rsidR="00AE5D0F">
        <w:rPr>
          <w:rFonts w:ascii="Times New Roman" w:hAnsi="Times New Roman" w:cs="Times New Roman"/>
        </w:rPr>
        <w:t xml:space="preserve"> (ďalej len </w:t>
      </w:r>
      <w:r w:rsidR="00AB215F">
        <w:rPr>
          <w:rFonts w:ascii="Times New Roman" w:hAnsi="Times New Roman" w:cs="Times New Roman"/>
        </w:rPr>
        <w:t>„</w:t>
      </w:r>
      <w:r w:rsidR="00AE5D0F">
        <w:rPr>
          <w:rFonts w:ascii="Times New Roman" w:hAnsi="Times New Roman" w:cs="Times New Roman"/>
        </w:rPr>
        <w:t>SK8“)</w:t>
      </w:r>
      <w:r w:rsidRPr="00C07289">
        <w:rPr>
          <w:rFonts w:ascii="Times New Roman" w:hAnsi="Times New Roman" w:cs="Times New Roman"/>
        </w:rPr>
        <w:t>.</w:t>
      </w:r>
    </w:p>
    <w:p w:rsidR="005E7611" w:rsidRPr="004A3026" w:rsidRDefault="005E7611" w:rsidP="00060E4A">
      <w:pPr>
        <w:pStyle w:val="tla1"/>
        <w:rPr>
          <w:lang w:eastAsia="sk-SK"/>
        </w:rPr>
      </w:pPr>
      <w:bookmarkStart w:id="3" w:name="_Ref373739705"/>
      <w:bookmarkStart w:id="4" w:name="_Toc373740541"/>
      <w:r w:rsidRPr="004A3026">
        <w:rPr>
          <w:lang w:eastAsia="sk-SK"/>
        </w:rPr>
        <w:t>Vykonanie a rozsah auditu</w:t>
      </w:r>
      <w:bookmarkEnd w:id="3"/>
      <w:bookmarkEnd w:id="4"/>
    </w:p>
    <w:p w:rsidR="002A1223" w:rsidRDefault="005E7611" w:rsidP="00BC7FEB">
      <w:pPr>
        <w:keepNext/>
        <w:spacing w:before="120" w:after="0" w:line="240" w:lineRule="auto"/>
        <w:ind w:firstLine="709"/>
        <w:jc w:val="both"/>
        <w:rPr>
          <w:rFonts w:ascii="Times New Roman" w:eastAsia="Times New Roman" w:hAnsi="Times New Roman" w:cs="Times New Roman"/>
          <w:lang w:eastAsia="sk-SK"/>
        </w:rPr>
      </w:pPr>
      <w:r w:rsidRPr="00C07289">
        <w:rPr>
          <w:rFonts w:ascii="Times New Roman" w:eastAsia="Times New Roman" w:hAnsi="Times New Roman" w:cs="Times New Roman"/>
          <w:lang w:eastAsia="sk-SK"/>
        </w:rPr>
        <w:t>Audit verejnej správy vykona</w:t>
      </w:r>
      <w:r w:rsidR="006D2BDD">
        <w:rPr>
          <w:rFonts w:ascii="Times New Roman" w:eastAsia="Times New Roman" w:hAnsi="Times New Roman" w:cs="Times New Roman"/>
          <w:lang w:eastAsia="sk-SK"/>
        </w:rPr>
        <w:t>li</w:t>
      </w:r>
      <w:r w:rsidRPr="00C07289">
        <w:rPr>
          <w:rFonts w:ascii="Times New Roman" w:eastAsia="Times New Roman" w:hAnsi="Times New Roman" w:cs="Times New Roman"/>
          <w:lang w:eastAsia="sk-SK"/>
        </w:rPr>
        <w:t xml:space="preserve"> v rozsahu svojej pôsobnosti ministerstvá, prostredníctvom ktorých vláda riadi a kontroluje výkon štátnej správy prenesený na obce a samosprávne kraje, a ktoré sú gestormi všeobecne záväzných právnych predpisov, v zmysle ktorých orgány územnej samosprávy uskutočňuj</w:t>
      </w:r>
      <w:r w:rsidR="002A1223">
        <w:rPr>
          <w:rFonts w:ascii="Times New Roman" w:eastAsia="Times New Roman" w:hAnsi="Times New Roman" w:cs="Times New Roman"/>
          <w:lang w:eastAsia="sk-SK"/>
        </w:rPr>
        <w:t>ú svoje samosprávne pôsobnosti.</w:t>
      </w:r>
    </w:p>
    <w:p w:rsidR="005E7611" w:rsidRPr="00C07289" w:rsidRDefault="006D2BDD" w:rsidP="00BC7FEB">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Audit nevykonali tie ministerstvá, ktoré</w:t>
      </w:r>
      <w:r w:rsidR="00561978">
        <w:rPr>
          <w:rFonts w:ascii="Times New Roman" w:eastAsia="Times New Roman" w:hAnsi="Times New Roman" w:cs="Times New Roman"/>
          <w:lang w:eastAsia="sk-SK"/>
        </w:rPr>
        <w:t xml:space="preserve"> vzhľadom na rozsah auditu </w:t>
      </w:r>
      <w:r>
        <w:rPr>
          <w:rFonts w:ascii="Times New Roman" w:eastAsia="Times New Roman" w:hAnsi="Times New Roman" w:cs="Times New Roman"/>
          <w:lang w:eastAsia="sk-SK"/>
        </w:rPr>
        <w:t xml:space="preserve">neboli </w:t>
      </w:r>
      <w:r w:rsidR="00561978">
        <w:rPr>
          <w:rFonts w:ascii="Times New Roman" w:eastAsia="Times New Roman" w:hAnsi="Times New Roman" w:cs="Times New Roman"/>
          <w:lang w:eastAsia="sk-SK"/>
        </w:rPr>
        <w:t xml:space="preserve">príslušné na </w:t>
      </w:r>
      <w:r>
        <w:rPr>
          <w:rFonts w:ascii="Times New Roman" w:eastAsia="Times New Roman" w:hAnsi="Times New Roman" w:cs="Times New Roman"/>
          <w:lang w:eastAsia="sk-SK"/>
        </w:rPr>
        <w:t xml:space="preserve">jeho </w:t>
      </w:r>
      <w:r w:rsidR="00561978">
        <w:rPr>
          <w:rFonts w:ascii="Times New Roman" w:eastAsia="Times New Roman" w:hAnsi="Times New Roman" w:cs="Times New Roman"/>
          <w:lang w:eastAsia="sk-SK"/>
        </w:rPr>
        <w:t>vykonanie</w:t>
      </w:r>
      <w:r>
        <w:rPr>
          <w:rFonts w:ascii="Times New Roman" w:eastAsia="Times New Roman" w:hAnsi="Times New Roman" w:cs="Times New Roman"/>
          <w:lang w:eastAsia="sk-SK"/>
        </w:rPr>
        <w:t>;</w:t>
      </w:r>
      <w:r w:rsidR="00561978">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uvedenú skutočnosť oznámili</w:t>
      </w:r>
      <w:r w:rsidR="00561978">
        <w:rPr>
          <w:rFonts w:ascii="Times New Roman" w:eastAsia="Times New Roman" w:hAnsi="Times New Roman" w:cs="Times New Roman"/>
          <w:lang w:eastAsia="sk-SK"/>
        </w:rPr>
        <w:t xml:space="preserve"> Ministerstvu vnútra </w:t>
      </w:r>
      <w:r w:rsidR="00172215">
        <w:rPr>
          <w:rFonts w:ascii="Times New Roman" w:eastAsia="Times New Roman" w:hAnsi="Times New Roman" w:cs="Times New Roman"/>
          <w:lang w:eastAsia="sk-SK"/>
        </w:rPr>
        <w:t xml:space="preserve">Slovenskej republiky (ďalej len „ministerstvo vnútra“).  </w:t>
      </w:r>
    </w:p>
    <w:p w:rsidR="005E7611" w:rsidRPr="00C07289" w:rsidRDefault="005E7611" w:rsidP="00BC7FEB">
      <w:pPr>
        <w:spacing w:before="120" w:after="0" w:line="240" w:lineRule="auto"/>
        <w:ind w:firstLine="708"/>
        <w:jc w:val="both"/>
        <w:rPr>
          <w:rFonts w:ascii="Times New Roman" w:eastAsia="Times New Roman" w:hAnsi="Times New Roman" w:cs="Times New Roman"/>
          <w:lang w:eastAsia="sk-SK"/>
        </w:rPr>
      </w:pPr>
      <w:r w:rsidRPr="00C07289">
        <w:rPr>
          <w:rFonts w:ascii="Times New Roman" w:eastAsia="Times New Roman" w:hAnsi="Times New Roman" w:cs="Times New Roman"/>
          <w:lang w:eastAsia="sk-SK"/>
        </w:rPr>
        <w:t xml:space="preserve">Preverenie financovania výkonu pôsobností územnej samosprávy sa podľa úsekov </w:t>
      </w:r>
      <w:r w:rsidR="008F25B2">
        <w:rPr>
          <w:rFonts w:ascii="Times New Roman" w:eastAsia="Times New Roman" w:hAnsi="Times New Roman" w:cs="Times New Roman"/>
          <w:lang w:eastAsia="sk-SK"/>
        </w:rPr>
        <w:t>malo vykonať</w:t>
      </w:r>
      <w:r w:rsidR="003D76B5">
        <w:rPr>
          <w:rFonts w:ascii="Times New Roman" w:eastAsia="Times New Roman" w:hAnsi="Times New Roman" w:cs="Times New Roman"/>
          <w:lang w:eastAsia="sk-SK"/>
        </w:rPr>
        <w:t xml:space="preserve"> k </w:t>
      </w:r>
      <w:r w:rsidRPr="00C07289">
        <w:rPr>
          <w:rFonts w:ascii="Times New Roman" w:eastAsia="Times New Roman" w:hAnsi="Times New Roman" w:cs="Times New Roman"/>
          <w:lang w:eastAsia="sk-SK"/>
        </w:rPr>
        <w:t xml:space="preserve">31. decembru 2001 (výdavky ešte orgánov štátnej správy), k 31. decembru 2005 (kompletný rok výkonu kompetencií prenesených zákonom č. 416/2001 Z. z. </w:t>
      </w:r>
      <w:r w:rsidR="00BD2D6B" w:rsidRPr="00BD2D6B">
        <w:rPr>
          <w:rFonts w:ascii="Times New Roman" w:eastAsia="Times New Roman" w:hAnsi="Times New Roman" w:cs="Times New Roman"/>
          <w:lang w:eastAsia="sk-SK"/>
        </w:rPr>
        <w:t>o prechode niektorých pôsobností z orgánov štátnej správy na obce a na vyššie územné celky</w:t>
      </w:r>
      <w:r w:rsidR="00BD2D6B">
        <w:rPr>
          <w:rFonts w:ascii="Times New Roman" w:eastAsia="Times New Roman" w:hAnsi="Times New Roman" w:cs="Times New Roman"/>
          <w:lang w:eastAsia="sk-SK"/>
        </w:rPr>
        <w:t xml:space="preserve"> v znení neskorších predpisov </w:t>
      </w:r>
      <w:r w:rsidRPr="00C07289">
        <w:rPr>
          <w:rFonts w:ascii="Times New Roman" w:eastAsia="Times New Roman" w:hAnsi="Times New Roman" w:cs="Times New Roman"/>
          <w:lang w:eastAsia="sk-SK"/>
        </w:rPr>
        <w:t xml:space="preserve">s novým systémom financovania) a k 31. decembru 2011 (ďalej len „referenčné roky“). </w:t>
      </w:r>
    </w:p>
    <w:p w:rsidR="005E7611" w:rsidRPr="00C07289" w:rsidRDefault="005E7611" w:rsidP="00BC7FEB">
      <w:pPr>
        <w:spacing w:before="120" w:after="0" w:line="240" w:lineRule="auto"/>
        <w:ind w:firstLine="708"/>
        <w:jc w:val="both"/>
        <w:rPr>
          <w:rFonts w:ascii="Times New Roman" w:eastAsia="Times New Roman" w:hAnsi="Times New Roman" w:cs="Times New Roman"/>
          <w:lang w:eastAsia="sk-SK"/>
        </w:rPr>
      </w:pPr>
      <w:r w:rsidRPr="00C07289">
        <w:rPr>
          <w:rFonts w:ascii="Times New Roman" w:eastAsia="Times New Roman" w:hAnsi="Times New Roman" w:cs="Times New Roman"/>
          <w:lang w:eastAsia="sk-SK"/>
        </w:rPr>
        <w:t xml:space="preserve">Aby bola zabezpečená súvislosť údajov o kvantite a kvalite s údajmi o financovaní posledného referenčného roku, pri parametroch určených v tabuľkách </w:t>
      </w:r>
      <w:r w:rsidR="008F25B2" w:rsidRPr="00C07289">
        <w:rPr>
          <w:rFonts w:ascii="Times New Roman" w:eastAsia="Times New Roman" w:hAnsi="Times New Roman" w:cs="Times New Roman"/>
          <w:lang w:eastAsia="sk-SK"/>
        </w:rPr>
        <w:t>sa</w:t>
      </w:r>
      <w:r w:rsidR="008F25B2">
        <w:rPr>
          <w:rFonts w:ascii="Times New Roman" w:eastAsia="Times New Roman" w:hAnsi="Times New Roman" w:cs="Times New Roman"/>
          <w:lang w:eastAsia="sk-SK"/>
        </w:rPr>
        <w:t xml:space="preserve"> malo vykonať</w:t>
      </w:r>
      <w:r w:rsidR="008F25B2" w:rsidRPr="00C07289">
        <w:rPr>
          <w:rFonts w:ascii="Times New Roman" w:eastAsia="Times New Roman" w:hAnsi="Times New Roman" w:cs="Times New Roman"/>
          <w:lang w:eastAsia="sk-SK"/>
        </w:rPr>
        <w:t xml:space="preserve"> </w:t>
      </w:r>
      <w:r w:rsidRPr="00C07289">
        <w:rPr>
          <w:rFonts w:ascii="Times New Roman" w:eastAsia="Times New Roman" w:hAnsi="Times New Roman" w:cs="Times New Roman"/>
          <w:lang w:eastAsia="sk-SK"/>
        </w:rPr>
        <w:t>preverenie výkonu pôsobností územnej samosprávy od 1. 1. 2011 do 31. 12. 2011.</w:t>
      </w:r>
    </w:p>
    <w:p w:rsidR="005E7611" w:rsidRPr="004A3026" w:rsidRDefault="005E7611" w:rsidP="00060E4A">
      <w:pPr>
        <w:pStyle w:val="tla1"/>
        <w:rPr>
          <w:lang w:eastAsia="sk-SK"/>
        </w:rPr>
      </w:pPr>
      <w:bookmarkStart w:id="5" w:name="_Toc373740542"/>
      <w:r w:rsidRPr="004A3026">
        <w:rPr>
          <w:lang w:eastAsia="sk-SK"/>
        </w:rPr>
        <w:t>Priebeh a vyhodnotenie auditu</w:t>
      </w:r>
      <w:bookmarkEnd w:id="5"/>
    </w:p>
    <w:p w:rsidR="005E7611" w:rsidRPr="00146AA7" w:rsidRDefault="005E7611" w:rsidP="00BC7FEB">
      <w:pPr>
        <w:spacing w:before="120" w:after="0" w:line="240" w:lineRule="auto"/>
        <w:ind w:firstLine="709"/>
        <w:jc w:val="both"/>
        <w:rPr>
          <w:rFonts w:ascii="Times New Roman" w:eastAsia="Times New Roman" w:hAnsi="Times New Roman" w:cs="Times New Roman"/>
          <w:lang w:eastAsia="sk-SK"/>
        </w:rPr>
      </w:pPr>
      <w:r w:rsidRPr="00C07289">
        <w:rPr>
          <w:rFonts w:ascii="Times New Roman" w:eastAsia="Times New Roman" w:hAnsi="Times New Roman" w:cs="Times New Roman"/>
          <w:lang w:eastAsia="sk-SK"/>
        </w:rPr>
        <w:t xml:space="preserve">Ministerstvo vnútra a Ministerstvo financií </w:t>
      </w:r>
      <w:r w:rsidR="00F804C2">
        <w:rPr>
          <w:rFonts w:ascii="Times New Roman" w:eastAsia="Times New Roman" w:hAnsi="Times New Roman" w:cs="Times New Roman"/>
          <w:lang w:eastAsia="sk-SK"/>
        </w:rPr>
        <w:t>S</w:t>
      </w:r>
      <w:r w:rsidR="00872277">
        <w:rPr>
          <w:rFonts w:ascii="Times New Roman" w:eastAsia="Times New Roman" w:hAnsi="Times New Roman" w:cs="Times New Roman"/>
          <w:lang w:eastAsia="sk-SK"/>
        </w:rPr>
        <w:t>lovenskej republiky</w:t>
      </w:r>
      <w:r w:rsidR="00861EA4" w:rsidRPr="00C07289">
        <w:rPr>
          <w:rFonts w:ascii="Times New Roman" w:eastAsia="Times New Roman" w:hAnsi="Times New Roman" w:cs="Times New Roman"/>
          <w:lang w:eastAsia="sk-SK"/>
        </w:rPr>
        <w:t xml:space="preserve"> (ďalej len „ministerstvo financií“)</w:t>
      </w:r>
      <w:r w:rsidR="004433B8">
        <w:rPr>
          <w:rFonts w:ascii="Times New Roman" w:eastAsia="Times New Roman" w:hAnsi="Times New Roman" w:cs="Times New Roman"/>
          <w:lang w:eastAsia="sk-SK"/>
        </w:rPr>
        <w:t xml:space="preserve"> </w:t>
      </w:r>
      <w:r w:rsidR="007937F8">
        <w:rPr>
          <w:rFonts w:ascii="Times New Roman" w:eastAsia="Times New Roman" w:hAnsi="Times New Roman" w:cs="Times New Roman"/>
          <w:lang w:eastAsia="sk-SK"/>
        </w:rPr>
        <w:t xml:space="preserve">vypracovali </w:t>
      </w:r>
      <w:r w:rsidR="007937F8" w:rsidRPr="00D97588">
        <w:rPr>
          <w:rFonts w:ascii="Times New Roman" w:hAnsi="Times New Roman" w:cs="Times New Roman"/>
        </w:rPr>
        <w:t>jednotnú metodiku pre spracovanie auditu verejnej správy</w:t>
      </w:r>
      <w:r w:rsidR="007937F8">
        <w:rPr>
          <w:rFonts w:ascii="Times New Roman" w:eastAsia="Times New Roman" w:hAnsi="Times New Roman" w:cs="Times New Roman"/>
          <w:lang w:eastAsia="sk-SK"/>
        </w:rPr>
        <w:t xml:space="preserve"> </w:t>
      </w:r>
      <w:r w:rsidR="00AF56A6">
        <w:rPr>
          <w:rFonts w:ascii="Times New Roman" w:eastAsia="Times New Roman" w:hAnsi="Times New Roman" w:cs="Times New Roman"/>
          <w:lang w:eastAsia="sk-SK"/>
        </w:rPr>
        <w:t xml:space="preserve">– segmentu územnej samosprávy. </w:t>
      </w:r>
      <w:r w:rsidR="0096727B">
        <w:rPr>
          <w:rFonts w:ascii="Times New Roman" w:eastAsia="Times New Roman" w:hAnsi="Times New Roman" w:cs="Times New Roman"/>
          <w:lang w:eastAsia="sk-SK"/>
        </w:rPr>
        <w:t>P</w:t>
      </w:r>
      <w:r w:rsidR="004433B8" w:rsidRPr="00146AA7">
        <w:rPr>
          <w:rFonts w:ascii="Times New Roman" w:eastAsia="Times New Roman" w:hAnsi="Times New Roman" w:cs="Times New Roman"/>
          <w:lang w:eastAsia="sk-SK"/>
        </w:rPr>
        <w:t>o</w:t>
      </w:r>
      <w:r w:rsidR="00AF56A6" w:rsidRPr="00146AA7">
        <w:rPr>
          <w:rFonts w:ascii="Times New Roman" w:eastAsia="Times New Roman" w:hAnsi="Times New Roman" w:cs="Times New Roman"/>
          <w:lang w:eastAsia="sk-SK"/>
        </w:rPr>
        <w:t xml:space="preserve"> </w:t>
      </w:r>
      <w:r w:rsidR="004433B8" w:rsidRPr="00146AA7">
        <w:rPr>
          <w:rFonts w:ascii="Times New Roman" w:eastAsia="Times New Roman" w:hAnsi="Times New Roman" w:cs="Times New Roman"/>
          <w:lang w:eastAsia="sk-SK"/>
        </w:rPr>
        <w:t xml:space="preserve">rozoslaní </w:t>
      </w:r>
      <w:r w:rsidR="00AF56A6" w:rsidRPr="00146AA7">
        <w:rPr>
          <w:rFonts w:ascii="Times New Roman" w:eastAsia="Times New Roman" w:hAnsi="Times New Roman" w:cs="Times New Roman"/>
          <w:lang w:eastAsia="sk-SK"/>
        </w:rPr>
        <w:t xml:space="preserve">metodiky </w:t>
      </w:r>
      <w:r w:rsidRPr="00146AA7">
        <w:rPr>
          <w:rFonts w:ascii="Times New Roman" w:eastAsia="Times New Roman" w:hAnsi="Times New Roman" w:cs="Times New Roman"/>
          <w:lang w:eastAsia="sk-SK"/>
        </w:rPr>
        <w:t>uskutočni</w:t>
      </w:r>
      <w:r w:rsidR="004433B8" w:rsidRPr="00146AA7">
        <w:rPr>
          <w:rFonts w:ascii="Times New Roman" w:eastAsia="Times New Roman" w:hAnsi="Times New Roman" w:cs="Times New Roman"/>
          <w:lang w:eastAsia="sk-SK"/>
        </w:rPr>
        <w:t>l</w:t>
      </w:r>
      <w:r w:rsidR="0096727B">
        <w:rPr>
          <w:rFonts w:ascii="Times New Roman" w:eastAsia="Times New Roman" w:hAnsi="Times New Roman" w:cs="Times New Roman"/>
          <w:lang w:eastAsia="sk-SK"/>
        </w:rPr>
        <w:t>i</w:t>
      </w:r>
      <w:r w:rsidR="004433B8" w:rsidRPr="00146AA7">
        <w:rPr>
          <w:rFonts w:ascii="Times New Roman" w:eastAsia="Times New Roman" w:hAnsi="Times New Roman" w:cs="Times New Roman"/>
          <w:lang w:eastAsia="sk-SK"/>
        </w:rPr>
        <w:t xml:space="preserve"> </w:t>
      </w:r>
      <w:r w:rsidR="001C6984" w:rsidRPr="00146AA7">
        <w:rPr>
          <w:rFonts w:ascii="Times New Roman" w:eastAsia="Times New Roman" w:hAnsi="Times New Roman" w:cs="Times New Roman"/>
          <w:lang w:eastAsia="sk-SK"/>
        </w:rPr>
        <w:t xml:space="preserve">pre zástupcov ministerstiev </w:t>
      </w:r>
      <w:r w:rsidRPr="00146AA7">
        <w:rPr>
          <w:rFonts w:ascii="Times New Roman" w:eastAsia="Times New Roman" w:hAnsi="Times New Roman" w:cs="Times New Roman"/>
          <w:lang w:eastAsia="sk-SK"/>
        </w:rPr>
        <w:t>k auditu verejnej správy informačné koordinačné stretnutie k</w:t>
      </w:r>
      <w:r w:rsidR="001C6984" w:rsidRPr="00146AA7">
        <w:rPr>
          <w:rFonts w:ascii="Times New Roman" w:eastAsia="Times New Roman" w:hAnsi="Times New Roman" w:cs="Times New Roman"/>
          <w:lang w:eastAsia="sk-SK"/>
        </w:rPr>
        <w:t xml:space="preserve"> jeho </w:t>
      </w:r>
      <w:r w:rsidRPr="00146AA7">
        <w:rPr>
          <w:rFonts w:ascii="Times New Roman" w:eastAsia="Times New Roman" w:hAnsi="Times New Roman" w:cs="Times New Roman"/>
          <w:lang w:eastAsia="sk-SK"/>
        </w:rPr>
        <w:t xml:space="preserve">zameraniu, rozsahu a spôsobom realizácie </w:t>
      </w:r>
      <w:r w:rsidR="001C6984" w:rsidRPr="00146AA7">
        <w:rPr>
          <w:rFonts w:ascii="Times New Roman" w:eastAsia="Times New Roman" w:hAnsi="Times New Roman" w:cs="Times New Roman"/>
          <w:lang w:eastAsia="sk-SK"/>
        </w:rPr>
        <w:t xml:space="preserve">jeho </w:t>
      </w:r>
      <w:r w:rsidRPr="00146AA7">
        <w:rPr>
          <w:rFonts w:ascii="Times New Roman" w:eastAsia="Times New Roman" w:hAnsi="Times New Roman" w:cs="Times New Roman"/>
          <w:lang w:eastAsia="sk-SK"/>
        </w:rPr>
        <w:t>vykonania</w:t>
      </w:r>
      <w:r w:rsidR="00AF56A6" w:rsidRPr="00146AA7">
        <w:rPr>
          <w:rFonts w:ascii="Times New Roman" w:eastAsia="Times New Roman" w:hAnsi="Times New Roman" w:cs="Times New Roman"/>
          <w:lang w:eastAsia="sk-SK"/>
        </w:rPr>
        <w:t>.</w:t>
      </w:r>
      <w:r w:rsidR="007937F8" w:rsidRPr="00146AA7">
        <w:rPr>
          <w:rFonts w:ascii="Times New Roman" w:eastAsia="Times New Roman" w:hAnsi="Times New Roman" w:cs="Times New Roman"/>
          <w:lang w:eastAsia="sk-SK"/>
        </w:rPr>
        <w:t> </w:t>
      </w:r>
      <w:r w:rsidR="00AF56A6" w:rsidRPr="00146AA7">
        <w:rPr>
          <w:rFonts w:ascii="Times New Roman" w:eastAsia="Times New Roman" w:hAnsi="Times New Roman" w:cs="Times New Roman"/>
          <w:lang w:eastAsia="sk-SK"/>
        </w:rPr>
        <w:t>P</w:t>
      </w:r>
      <w:r w:rsidR="0096727B">
        <w:rPr>
          <w:rFonts w:ascii="Times New Roman" w:eastAsia="Times New Roman" w:hAnsi="Times New Roman" w:cs="Times New Roman"/>
          <w:lang w:eastAsia="sk-SK"/>
        </w:rPr>
        <w:t>odľa potreby realizovali</w:t>
      </w:r>
      <w:r w:rsidRPr="00146AA7">
        <w:rPr>
          <w:rFonts w:ascii="Times New Roman" w:eastAsia="Times New Roman" w:hAnsi="Times New Roman" w:cs="Times New Roman"/>
          <w:lang w:eastAsia="sk-SK"/>
        </w:rPr>
        <w:t xml:space="preserve"> konzultácie k jednotnej metodike aj v</w:t>
      </w:r>
      <w:r w:rsidR="00196EC8">
        <w:rPr>
          <w:rFonts w:ascii="Times New Roman" w:eastAsia="Times New Roman" w:hAnsi="Times New Roman" w:cs="Times New Roman"/>
          <w:lang w:eastAsia="sk-SK"/>
        </w:rPr>
        <w:t> </w:t>
      </w:r>
      <w:r w:rsidRPr="00146AA7">
        <w:rPr>
          <w:rFonts w:ascii="Times New Roman" w:eastAsia="Times New Roman" w:hAnsi="Times New Roman" w:cs="Times New Roman"/>
          <w:lang w:eastAsia="sk-SK"/>
        </w:rPr>
        <w:t>priebehu</w:t>
      </w:r>
      <w:r w:rsidR="00196EC8">
        <w:rPr>
          <w:rFonts w:ascii="Times New Roman" w:eastAsia="Times New Roman" w:hAnsi="Times New Roman" w:cs="Times New Roman"/>
          <w:lang w:eastAsia="sk-SK"/>
        </w:rPr>
        <w:t xml:space="preserve"> výkonu</w:t>
      </w:r>
      <w:r w:rsidRPr="00146AA7">
        <w:rPr>
          <w:rFonts w:ascii="Times New Roman" w:eastAsia="Times New Roman" w:hAnsi="Times New Roman" w:cs="Times New Roman"/>
          <w:lang w:eastAsia="sk-SK"/>
        </w:rPr>
        <w:t xml:space="preserve"> auditu.</w:t>
      </w:r>
    </w:p>
    <w:p w:rsidR="0073606D" w:rsidRDefault="0073606D" w:rsidP="00BC7FEB">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Podľa </w:t>
      </w:r>
      <w:r>
        <w:rPr>
          <w:rFonts w:ascii="Times New Roman" w:hAnsi="Times New Roman" w:cs="Times New Roman"/>
        </w:rPr>
        <w:t>jednotnej metodiky</w:t>
      </w:r>
      <w:r w:rsidRPr="00D97588">
        <w:rPr>
          <w:rFonts w:ascii="Times New Roman" w:hAnsi="Times New Roman" w:cs="Times New Roman"/>
        </w:rPr>
        <w:t xml:space="preserve"> pre spracovanie auditu verejnej správy</w:t>
      </w:r>
      <w:r>
        <w:rPr>
          <w:rFonts w:ascii="Times New Roman" w:hAnsi="Times New Roman" w:cs="Times New Roman"/>
        </w:rPr>
        <w:t xml:space="preserve"> mali jednotlivé ministerstvá </w:t>
      </w:r>
      <w:r w:rsidRPr="00146AA7">
        <w:rPr>
          <w:rFonts w:ascii="Times New Roman" w:eastAsia="Times New Roman" w:hAnsi="Times New Roman" w:cs="Times New Roman"/>
          <w:lang w:eastAsia="sk-SK"/>
        </w:rPr>
        <w:t xml:space="preserve">podľa špecifík pre jednotlivé úseky pôsobností </w:t>
      </w:r>
      <w:r>
        <w:rPr>
          <w:rFonts w:ascii="Times New Roman" w:hAnsi="Times New Roman" w:cs="Times New Roman"/>
        </w:rPr>
        <w:t>stanoviť h</w:t>
      </w:r>
      <w:r w:rsidRPr="00146AA7">
        <w:rPr>
          <w:rFonts w:ascii="Times New Roman" w:eastAsia="Times New Roman" w:hAnsi="Times New Roman" w:cs="Times New Roman"/>
          <w:lang w:eastAsia="sk-SK"/>
        </w:rPr>
        <w:t>odnotiace kritériá a nadefinova</w:t>
      </w:r>
      <w:r>
        <w:rPr>
          <w:rFonts w:ascii="Times New Roman" w:eastAsia="Times New Roman" w:hAnsi="Times New Roman" w:cs="Times New Roman"/>
          <w:lang w:eastAsia="sk-SK"/>
        </w:rPr>
        <w:t>ť</w:t>
      </w:r>
      <w:r w:rsidRPr="00146AA7">
        <w:rPr>
          <w:rFonts w:ascii="Times New Roman" w:eastAsia="Times New Roman" w:hAnsi="Times New Roman" w:cs="Times New Roman"/>
          <w:lang w:eastAsia="sk-SK"/>
        </w:rPr>
        <w:t xml:space="preserve"> parametre súvisiacich kvantitatívnych a kvalitatívnych ukazovateľov.</w:t>
      </w:r>
    </w:p>
    <w:p w:rsidR="00C16363" w:rsidRPr="00C07289" w:rsidRDefault="00C16363" w:rsidP="00C23C89">
      <w:pPr>
        <w:spacing w:before="120" w:after="0" w:line="240" w:lineRule="auto"/>
        <w:ind w:firstLine="709"/>
        <w:jc w:val="both"/>
        <w:rPr>
          <w:rFonts w:ascii="Times New Roman" w:hAnsi="Times New Roman" w:cs="Times New Roman"/>
        </w:rPr>
      </w:pPr>
      <w:r w:rsidRPr="00C07289">
        <w:rPr>
          <w:rFonts w:ascii="Times New Roman" w:hAnsi="Times New Roman" w:cs="Times New Roman"/>
        </w:rPr>
        <w:lastRenderedPageBreak/>
        <w:t>Ministerstvá samostatne zvol</w:t>
      </w:r>
      <w:r w:rsidR="00087B04">
        <w:rPr>
          <w:rFonts w:ascii="Times New Roman" w:hAnsi="Times New Roman" w:cs="Times New Roman"/>
        </w:rPr>
        <w:t>ili</w:t>
      </w:r>
      <w:r w:rsidRPr="00C07289">
        <w:rPr>
          <w:rFonts w:ascii="Times New Roman" w:hAnsi="Times New Roman" w:cs="Times New Roman"/>
        </w:rPr>
        <w:t xml:space="preserve"> optimálny spôsob zberu dát. Zdrojmi </w:t>
      </w:r>
      <w:r w:rsidR="00087B04">
        <w:rPr>
          <w:rFonts w:ascii="Times New Roman" w:hAnsi="Times New Roman" w:cs="Times New Roman"/>
        </w:rPr>
        <w:t>dát boli najmä</w:t>
      </w:r>
      <w:r w:rsidRPr="00C07289">
        <w:rPr>
          <w:rFonts w:ascii="Times New Roman" w:hAnsi="Times New Roman" w:cs="Times New Roman"/>
        </w:rPr>
        <w:t>:</w:t>
      </w:r>
    </w:p>
    <w:p w:rsidR="00087B04" w:rsidRDefault="00087B04" w:rsidP="00C209AF">
      <w:pPr>
        <w:pStyle w:val="Odsekzoznamu"/>
        <w:numPr>
          <w:ilvl w:val="0"/>
          <w:numId w:val="4"/>
        </w:numPr>
        <w:spacing w:before="60" w:after="0" w:line="240" w:lineRule="auto"/>
        <w:ind w:left="1134" w:hanging="357"/>
        <w:contextualSpacing w:val="0"/>
        <w:jc w:val="both"/>
        <w:rPr>
          <w:rFonts w:ascii="Times New Roman" w:hAnsi="Times New Roman" w:cs="Times New Roman"/>
        </w:rPr>
      </w:pPr>
      <w:r w:rsidRPr="00C07289">
        <w:rPr>
          <w:rFonts w:ascii="Times New Roman" w:eastAsia="Times New Roman" w:hAnsi="Times New Roman" w:cs="Times New Roman"/>
          <w:lang w:eastAsia="sk-SK"/>
        </w:rPr>
        <w:t>výstupy štátnej a rezortnej štatistiky</w:t>
      </w:r>
      <w:r w:rsidRPr="00C07289">
        <w:rPr>
          <w:rFonts w:ascii="Times New Roman" w:hAnsi="Times New Roman" w:cs="Times New Roman"/>
        </w:rPr>
        <w:t xml:space="preserve"> a doterajšie poznatky a skúsenosti ministerstiev</w:t>
      </w:r>
      <w:r>
        <w:rPr>
          <w:rFonts w:ascii="Times New Roman" w:hAnsi="Times New Roman" w:cs="Times New Roman"/>
        </w:rPr>
        <w:t>,</w:t>
      </w:r>
      <w:r w:rsidRPr="00C07289">
        <w:rPr>
          <w:rFonts w:ascii="Times New Roman" w:hAnsi="Times New Roman" w:cs="Times New Roman"/>
        </w:rPr>
        <w:t xml:space="preserve"> </w:t>
      </w:r>
    </w:p>
    <w:p w:rsidR="00C16363" w:rsidRPr="00087B04" w:rsidRDefault="00C16363" w:rsidP="00C209AF">
      <w:pPr>
        <w:pStyle w:val="Odsekzoznamu"/>
        <w:numPr>
          <w:ilvl w:val="0"/>
          <w:numId w:val="4"/>
        </w:numPr>
        <w:spacing w:before="60" w:after="0" w:line="240" w:lineRule="auto"/>
        <w:ind w:left="1134" w:hanging="357"/>
        <w:contextualSpacing w:val="0"/>
        <w:jc w:val="both"/>
        <w:rPr>
          <w:rFonts w:ascii="Times New Roman" w:hAnsi="Times New Roman" w:cs="Times New Roman"/>
        </w:rPr>
      </w:pPr>
      <w:r w:rsidRPr="00C07289">
        <w:rPr>
          <w:rFonts w:ascii="Times New Roman" w:hAnsi="Times New Roman" w:cs="Times New Roman"/>
        </w:rPr>
        <w:t>zistenia urobené v súvislosti s vykonaním analýzy činnosti a efektívnosti verejnej správy na prelome rokov 2010 a 2011,</w:t>
      </w:r>
    </w:p>
    <w:p w:rsidR="00C16363" w:rsidRPr="00C07289" w:rsidRDefault="00C16363" w:rsidP="00C209AF">
      <w:pPr>
        <w:pStyle w:val="Odsekzoznamu"/>
        <w:numPr>
          <w:ilvl w:val="0"/>
          <w:numId w:val="4"/>
        </w:numPr>
        <w:spacing w:before="60" w:after="0" w:line="240" w:lineRule="auto"/>
        <w:ind w:left="1134"/>
        <w:jc w:val="both"/>
        <w:rPr>
          <w:rFonts w:ascii="Times New Roman" w:hAnsi="Times New Roman" w:cs="Times New Roman"/>
        </w:rPr>
      </w:pPr>
      <w:r w:rsidRPr="00C07289">
        <w:rPr>
          <w:rFonts w:ascii="Times New Roman" w:hAnsi="Times New Roman" w:cs="Times New Roman"/>
        </w:rPr>
        <w:t>podklady o problémoch výkonu prenesených pôsobností, ktoré ministerstvá získa</w:t>
      </w:r>
      <w:r w:rsidR="00087B04">
        <w:rPr>
          <w:rFonts w:ascii="Times New Roman" w:hAnsi="Times New Roman" w:cs="Times New Roman"/>
        </w:rPr>
        <w:t>li</w:t>
      </w:r>
      <w:r w:rsidRPr="00C07289">
        <w:rPr>
          <w:rFonts w:ascii="Times New Roman" w:hAnsi="Times New Roman" w:cs="Times New Roman"/>
        </w:rPr>
        <w:t xml:space="preserve"> v rámci úzkej súčinnosti od </w:t>
      </w:r>
      <w:r w:rsidR="00AE5D0F">
        <w:rPr>
          <w:rFonts w:ascii="Times New Roman" w:hAnsi="Times New Roman" w:cs="Times New Roman"/>
        </w:rPr>
        <w:t>ZMOS a</w:t>
      </w:r>
      <w:r w:rsidRPr="00C07289">
        <w:rPr>
          <w:rFonts w:ascii="Times New Roman" w:hAnsi="Times New Roman" w:cs="Times New Roman"/>
        </w:rPr>
        <w:t xml:space="preserve"> SK8.</w:t>
      </w:r>
    </w:p>
    <w:p w:rsidR="00116652" w:rsidRDefault="008B0356" w:rsidP="00004A26">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M</w:t>
      </w:r>
      <w:r w:rsidR="00116652">
        <w:rPr>
          <w:rFonts w:ascii="Times New Roman" w:eastAsia="Times New Roman" w:hAnsi="Times New Roman" w:cs="Times New Roman"/>
          <w:lang w:eastAsia="sk-SK"/>
        </w:rPr>
        <w:t xml:space="preserve">inisterstvo vnútra </w:t>
      </w:r>
      <w:r w:rsidR="00EE4037">
        <w:rPr>
          <w:rFonts w:ascii="Times New Roman" w:eastAsia="Times New Roman" w:hAnsi="Times New Roman" w:cs="Times New Roman"/>
          <w:lang w:eastAsia="sk-SK"/>
        </w:rPr>
        <w:t>a ministerstvo financií s </w:t>
      </w:r>
      <w:r w:rsidR="00116652" w:rsidRPr="00116652">
        <w:rPr>
          <w:rFonts w:ascii="Times New Roman" w:eastAsia="Times New Roman" w:hAnsi="Times New Roman" w:cs="Times New Roman"/>
          <w:lang w:eastAsia="sk-SK"/>
        </w:rPr>
        <w:t>cieľom zistiť, či výkon auditu prebieha optimálne</w:t>
      </w:r>
      <w:r w:rsidR="00116652">
        <w:rPr>
          <w:rFonts w:ascii="Times New Roman" w:eastAsia="Times New Roman" w:hAnsi="Times New Roman" w:cs="Times New Roman"/>
          <w:lang w:eastAsia="sk-SK"/>
        </w:rPr>
        <w:t>,</w:t>
      </w:r>
      <w:r w:rsidR="00116652" w:rsidRPr="00116652">
        <w:rPr>
          <w:rFonts w:ascii="Times New Roman" w:eastAsia="Times New Roman" w:hAnsi="Times New Roman" w:cs="Times New Roman"/>
          <w:lang w:eastAsia="sk-SK"/>
        </w:rPr>
        <w:t xml:space="preserve"> </w:t>
      </w:r>
      <w:r w:rsidR="00116652">
        <w:rPr>
          <w:rFonts w:ascii="Times New Roman" w:eastAsia="Times New Roman" w:hAnsi="Times New Roman" w:cs="Times New Roman"/>
          <w:lang w:eastAsia="sk-SK"/>
        </w:rPr>
        <w:t>prostredníctvom dotazníkov zisťoval</w:t>
      </w:r>
      <w:r w:rsidR="00EE4037">
        <w:rPr>
          <w:rFonts w:ascii="Times New Roman" w:eastAsia="Times New Roman" w:hAnsi="Times New Roman" w:cs="Times New Roman"/>
          <w:lang w:eastAsia="sk-SK"/>
        </w:rPr>
        <w:t>i</w:t>
      </w:r>
      <w:r w:rsidR="00116652">
        <w:rPr>
          <w:rFonts w:ascii="Times New Roman" w:eastAsia="Times New Roman" w:hAnsi="Times New Roman" w:cs="Times New Roman"/>
          <w:lang w:eastAsia="sk-SK"/>
        </w:rPr>
        <w:t xml:space="preserve"> stav výkonu auditu. Následne vykonal</w:t>
      </w:r>
      <w:r w:rsidR="00EE4037">
        <w:rPr>
          <w:rFonts w:ascii="Times New Roman" w:eastAsia="Times New Roman" w:hAnsi="Times New Roman" w:cs="Times New Roman"/>
          <w:lang w:eastAsia="sk-SK"/>
        </w:rPr>
        <w:t>i</w:t>
      </w:r>
      <w:r w:rsidR="00116652">
        <w:rPr>
          <w:rFonts w:ascii="Times New Roman" w:eastAsia="Times New Roman" w:hAnsi="Times New Roman" w:cs="Times New Roman"/>
          <w:lang w:eastAsia="sk-SK"/>
        </w:rPr>
        <w:t xml:space="preserve"> stretnutia so </w:t>
      </w:r>
      <w:r w:rsidR="00F804C2">
        <w:rPr>
          <w:rFonts w:ascii="Times New Roman" w:eastAsia="Times New Roman" w:hAnsi="Times New Roman" w:cs="Times New Roman"/>
          <w:lang w:eastAsia="sk-SK"/>
        </w:rPr>
        <w:t>zástupcami</w:t>
      </w:r>
      <w:r w:rsidR="00116652">
        <w:rPr>
          <w:rFonts w:ascii="Times New Roman" w:eastAsia="Times New Roman" w:hAnsi="Times New Roman" w:cs="Times New Roman"/>
          <w:lang w:eastAsia="sk-SK"/>
        </w:rPr>
        <w:t xml:space="preserve"> ministerstiev. Stretnutí sa zúčastnili </w:t>
      </w:r>
      <w:r w:rsidR="00EE4037">
        <w:rPr>
          <w:rFonts w:ascii="Times New Roman" w:eastAsia="Times New Roman" w:hAnsi="Times New Roman" w:cs="Times New Roman"/>
          <w:lang w:eastAsia="sk-SK"/>
        </w:rPr>
        <w:t xml:space="preserve">aj </w:t>
      </w:r>
      <w:r w:rsidR="00116652">
        <w:rPr>
          <w:rFonts w:ascii="Times New Roman" w:eastAsia="Times New Roman" w:hAnsi="Times New Roman" w:cs="Times New Roman"/>
          <w:lang w:eastAsia="sk-SK"/>
        </w:rPr>
        <w:t>zástupc</w:t>
      </w:r>
      <w:r w:rsidR="00F804C2">
        <w:rPr>
          <w:rFonts w:ascii="Times New Roman" w:eastAsia="Times New Roman" w:hAnsi="Times New Roman" w:cs="Times New Roman"/>
          <w:lang w:eastAsia="sk-SK"/>
        </w:rPr>
        <w:t>a</w:t>
      </w:r>
      <w:r w:rsidR="00116652">
        <w:rPr>
          <w:rFonts w:ascii="Times New Roman" w:eastAsia="Times New Roman" w:hAnsi="Times New Roman" w:cs="Times New Roman"/>
          <w:lang w:eastAsia="sk-SK"/>
        </w:rPr>
        <w:t xml:space="preserve"> </w:t>
      </w:r>
      <w:r w:rsidR="00EE4037">
        <w:rPr>
          <w:rFonts w:ascii="Times New Roman" w:eastAsia="Times New Roman" w:hAnsi="Times New Roman" w:cs="Times New Roman"/>
          <w:lang w:eastAsia="sk-SK"/>
        </w:rPr>
        <w:t>Zboru poradcov predsedu vlády a</w:t>
      </w:r>
      <w:r w:rsidR="00F804C2">
        <w:rPr>
          <w:rFonts w:ascii="Times New Roman" w:eastAsia="Times New Roman" w:hAnsi="Times New Roman" w:cs="Times New Roman"/>
          <w:lang w:eastAsia="sk-SK"/>
        </w:rPr>
        <w:t xml:space="preserve"> zástupca </w:t>
      </w:r>
      <w:r w:rsidR="00116652">
        <w:rPr>
          <w:rFonts w:ascii="Times New Roman" w:eastAsia="Times New Roman" w:hAnsi="Times New Roman" w:cs="Times New Roman"/>
          <w:lang w:eastAsia="sk-SK"/>
        </w:rPr>
        <w:t>ZMOS</w:t>
      </w:r>
      <w:r w:rsidR="00F804C2">
        <w:rPr>
          <w:rFonts w:ascii="Times New Roman" w:eastAsia="Times New Roman" w:hAnsi="Times New Roman" w:cs="Times New Roman"/>
          <w:lang w:eastAsia="sk-SK"/>
        </w:rPr>
        <w:t>. Na stretnutiach boli</w:t>
      </w:r>
      <w:r w:rsidR="00116652">
        <w:rPr>
          <w:rFonts w:ascii="Times New Roman" w:eastAsia="Times New Roman" w:hAnsi="Times New Roman" w:cs="Times New Roman"/>
          <w:lang w:eastAsia="sk-SK"/>
        </w:rPr>
        <w:t xml:space="preserve"> navrhnuté vhodné postupy.</w:t>
      </w:r>
    </w:p>
    <w:p w:rsidR="005E7611" w:rsidRPr="00C07289" w:rsidRDefault="005E7611" w:rsidP="00004A26">
      <w:pPr>
        <w:spacing w:before="120" w:after="0" w:line="240" w:lineRule="auto"/>
        <w:ind w:firstLine="709"/>
        <w:jc w:val="both"/>
        <w:rPr>
          <w:rFonts w:ascii="Times New Roman" w:eastAsia="Times New Roman" w:hAnsi="Times New Roman" w:cs="Times New Roman"/>
          <w:lang w:eastAsia="sk-SK"/>
        </w:rPr>
      </w:pPr>
      <w:r w:rsidRPr="00C07289">
        <w:rPr>
          <w:rFonts w:ascii="Times New Roman" w:eastAsia="Times New Roman" w:hAnsi="Times New Roman" w:cs="Times New Roman"/>
          <w:lang w:eastAsia="sk-SK"/>
        </w:rPr>
        <w:t>Ministerstvá</w:t>
      </w:r>
      <w:r w:rsidR="00861EA4" w:rsidRPr="00C07289">
        <w:rPr>
          <w:rFonts w:ascii="Times New Roman" w:eastAsia="Times New Roman" w:hAnsi="Times New Roman" w:cs="Times New Roman"/>
          <w:lang w:eastAsia="sk-SK"/>
        </w:rPr>
        <w:t xml:space="preserve"> </w:t>
      </w:r>
      <w:r w:rsidRPr="00C07289">
        <w:rPr>
          <w:rFonts w:ascii="Times New Roman" w:eastAsia="Times New Roman" w:hAnsi="Times New Roman" w:cs="Times New Roman"/>
          <w:lang w:eastAsia="sk-SK"/>
        </w:rPr>
        <w:t>vykon</w:t>
      </w:r>
      <w:r w:rsidR="004433B8">
        <w:rPr>
          <w:rFonts w:ascii="Times New Roman" w:eastAsia="Times New Roman" w:hAnsi="Times New Roman" w:cs="Times New Roman"/>
          <w:lang w:eastAsia="sk-SK"/>
        </w:rPr>
        <w:t>ali</w:t>
      </w:r>
      <w:r w:rsidRPr="00C07289">
        <w:rPr>
          <w:rFonts w:ascii="Times New Roman" w:eastAsia="Times New Roman" w:hAnsi="Times New Roman" w:cs="Times New Roman"/>
          <w:lang w:eastAsia="sk-SK"/>
        </w:rPr>
        <w:t xml:space="preserve"> audit verejnej správy a vyhotovi</w:t>
      </w:r>
      <w:r w:rsidR="004433B8">
        <w:rPr>
          <w:rFonts w:ascii="Times New Roman" w:eastAsia="Times New Roman" w:hAnsi="Times New Roman" w:cs="Times New Roman"/>
          <w:lang w:eastAsia="sk-SK"/>
        </w:rPr>
        <w:t>li</w:t>
      </w:r>
      <w:r w:rsidRPr="00C07289">
        <w:rPr>
          <w:rFonts w:ascii="Times New Roman" w:eastAsia="Times New Roman" w:hAnsi="Times New Roman" w:cs="Times New Roman"/>
          <w:lang w:eastAsia="sk-SK"/>
        </w:rPr>
        <w:t xml:space="preserve"> o tom - vrátane zhodnotenia zistení a návrhov opatrení </w:t>
      </w:r>
      <w:r w:rsidR="00004A26">
        <w:rPr>
          <w:rFonts w:ascii="Times New Roman" w:eastAsia="Times New Roman" w:hAnsi="Times New Roman" w:cs="Times New Roman"/>
          <w:lang w:eastAsia="sk-SK"/>
        </w:rPr>
        <w:t>–</w:t>
      </w:r>
      <w:r w:rsidRPr="00C07289">
        <w:rPr>
          <w:rFonts w:ascii="Times New Roman" w:eastAsia="Times New Roman" w:hAnsi="Times New Roman" w:cs="Times New Roman"/>
          <w:lang w:eastAsia="sk-SK"/>
        </w:rPr>
        <w:t xml:space="preserve"> správu</w:t>
      </w:r>
      <w:r w:rsidR="00004A26">
        <w:rPr>
          <w:rFonts w:ascii="Times New Roman" w:eastAsia="Times New Roman" w:hAnsi="Times New Roman" w:cs="Times New Roman"/>
          <w:lang w:eastAsia="sk-SK"/>
        </w:rPr>
        <w:t xml:space="preserve">, ktorú </w:t>
      </w:r>
      <w:r w:rsidRPr="00C07289">
        <w:rPr>
          <w:rFonts w:ascii="Times New Roman" w:eastAsia="Times New Roman" w:hAnsi="Times New Roman" w:cs="Times New Roman"/>
          <w:lang w:eastAsia="sk-SK"/>
        </w:rPr>
        <w:t>predloži</w:t>
      </w:r>
      <w:r w:rsidR="004433B8">
        <w:rPr>
          <w:rFonts w:ascii="Times New Roman" w:eastAsia="Times New Roman" w:hAnsi="Times New Roman" w:cs="Times New Roman"/>
          <w:lang w:eastAsia="sk-SK"/>
        </w:rPr>
        <w:t>li</w:t>
      </w:r>
      <w:r w:rsidRPr="00C07289">
        <w:rPr>
          <w:rFonts w:ascii="Times New Roman" w:eastAsia="Times New Roman" w:hAnsi="Times New Roman" w:cs="Times New Roman"/>
          <w:lang w:eastAsia="sk-SK"/>
        </w:rPr>
        <w:t xml:space="preserve"> pí</w:t>
      </w:r>
      <w:r w:rsidR="00861EA4" w:rsidRPr="00C07289">
        <w:rPr>
          <w:rFonts w:ascii="Times New Roman" w:eastAsia="Times New Roman" w:hAnsi="Times New Roman" w:cs="Times New Roman"/>
          <w:lang w:eastAsia="sk-SK"/>
        </w:rPr>
        <w:t>somne a v elektronickej podobe m</w:t>
      </w:r>
      <w:r w:rsidRPr="00C07289">
        <w:rPr>
          <w:rFonts w:ascii="Times New Roman" w:eastAsia="Times New Roman" w:hAnsi="Times New Roman" w:cs="Times New Roman"/>
          <w:lang w:eastAsia="sk-SK"/>
        </w:rPr>
        <w:t xml:space="preserve">inisterstvu vnútra </w:t>
      </w:r>
      <w:r w:rsidR="00861EA4" w:rsidRPr="00C07289">
        <w:rPr>
          <w:rFonts w:ascii="Times New Roman" w:eastAsia="Times New Roman" w:hAnsi="Times New Roman" w:cs="Times New Roman"/>
          <w:lang w:eastAsia="sk-SK"/>
        </w:rPr>
        <w:t>a m</w:t>
      </w:r>
      <w:r w:rsidRPr="00C07289">
        <w:rPr>
          <w:rFonts w:ascii="Times New Roman" w:eastAsia="Times New Roman" w:hAnsi="Times New Roman" w:cs="Times New Roman"/>
          <w:lang w:eastAsia="sk-SK"/>
        </w:rPr>
        <w:t xml:space="preserve">inisterstvu financií. </w:t>
      </w:r>
      <w:r w:rsidR="00D6054C">
        <w:rPr>
          <w:rFonts w:ascii="Times New Roman" w:eastAsia="Times New Roman" w:hAnsi="Times New Roman" w:cs="Times New Roman"/>
          <w:lang w:eastAsia="sk-SK"/>
        </w:rPr>
        <w:t xml:space="preserve">V prípade potreby ministerstvá boli vyzvané, aby doplnili správu (najmä aby konkretizovali návrhy opatrení). </w:t>
      </w:r>
    </w:p>
    <w:p w:rsidR="00350A18" w:rsidRDefault="005E7611" w:rsidP="00AD164E">
      <w:pPr>
        <w:spacing w:before="120" w:after="0"/>
        <w:ind w:firstLine="709"/>
        <w:jc w:val="both"/>
        <w:rPr>
          <w:rFonts w:ascii="Times New Roman" w:hAnsi="Times New Roman" w:cs="Times New Roman"/>
          <w:b/>
          <w:sz w:val="28"/>
          <w:szCs w:val="28"/>
          <w:lang w:eastAsia="sk-SK"/>
        </w:rPr>
      </w:pPr>
      <w:r w:rsidRPr="00C07289">
        <w:rPr>
          <w:rFonts w:ascii="Times New Roman" w:eastAsia="Times New Roman" w:hAnsi="Times New Roman" w:cs="Times New Roman"/>
          <w:lang w:eastAsia="sk-SK"/>
        </w:rPr>
        <w:t xml:space="preserve">Ministerstvo vnútra </w:t>
      </w:r>
      <w:r w:rsidR="0089154F" w:rsidRPr="00C07289">
        <w:rPr>
          <w:rFonts w:ascii="Times New Roman" w:eastAsia="Times New Roman" w:hAnsi="Times New Roman" w:cs="Times New Roman"/>
          <w:lang w:eastAsia="sk-SK"/>
        </w:rPr>
        <w:t>a m</w:t>
      </w:r>
      <w:r w:rsidRPr="00C07289">
        <w:rPr>
          <w:rFonts w:ascii="Times New Roman" w:eastAsia="Times New Roman" w:hAnsi="Times New Roman" w:cs="Times New Roman"/>
          <w:lang w:eastAsia="sk-SK"/>
        </w:rPr>
        <w:t>inisterstvo financií spoločne vyprac</w:t>
      </w:r>
      <w:r w:rsidR="004433B8">
        <w:rPr>
          <w:rFonts w:ascii="Times New Roman" w:eastAsia="Times New Roman" w:hAnsi="Times New Roman" w:cs="Times New Roman"/>
          <w:lang w:eastAsia="sk-SK"/>
        </w:rPr>
        <w:t>ovali</w:t>
      </w:r>
      <w:r w:rsidRPr="00C07289">
        <w:rPr>
          <w:rFonts w:ascii="Times New Roman" w:eastAsia="Times New Roman" w:hAnsi="Times New Roman" w:cs="Times New Roman"/>
          <w:lang w:eastAsia="sk-SK"/>
        </w:rPr>
        <w:t xml:space="preserve"> súhrnnú správu o audite. </w:t>
      </w:r>
      <w:r w:rsidR="00D61A60" w:rsidRPr="00C07289">
        <w:rPr>
          <w:rFonts w:ascii="Times New Roman" w:eastAsia="Times New Roman" w:hAnsi="Times New Roman" w:cs="Times New Roman"/>
          <w:lang w:eastAsia="sk-SK"/>
        </w:rPr>
        <w:t>Okrem zhrnutia údajov kriticky zhodnoti</w:t>
      </w:r>
      <w:r w:rsidR="00D61A60">
        <w:rPr>
          <w:rFonts w:ascii="Times New Roman" w:eastAsia="Times New Roman" w:hAnsi="Times New Roman" w:cs="Times New Roman"/>
          <w:lang w:eastAsia="sk-SK"/>
        </w:rPr>
        <w:t>li</w:t>
      </w:r>
      <w:r w:rsidR="00D61A60" w:rsidRPr="00C07289">
        <w:rPr>
          <w:rFonts w:ascii="Times New Roman" w:eastAsia="Times New Roman" w:hAnsi="Times New Roman" w:cs="Times New Roman"/>
          <w:lang w:eastAsia="sk-SK"/>
        </w:rPr>
        <w:t xml:space="preserve"> výsledky auditu a návrhy opatrení jednotlivých ministerstiev.</w:t>
      </w:r>
      <w:r w:rsidR="00D61A60">
        <w:rPr>
          <w:rFonts w:ascii="Times New Roman" w:eastAsia="Times New Roman" w:hAnsi="Times New Roman" w:cs="Times New Roman"/>
          <w:lang w:eastAsia="sk-SK"/>
        </w:rPr>
        <w:t xml:space="preserve"> </w:t>
      </w:r>
      <w:r w:rsidR="00004A26" w:rsidRPr="00C07289">
        <w:rPr>
          <w:rFonts w:ascii="Times New Roman" w:eastAsia="Times New Roman" w:hAnsi="Times New Roman" w:cs="Times New Roman"/>
          <w:lang w:eastAsia="sk-SK"/>
        </w:rPr>
        <w:t>Výsledky auditu b</w:t>
      </w:r>
      <w:r w:rsidR="00004A26">
        <w:rPr>
          <w:rFonts w:ascii="Times New Roman" w:eastAsia="Times New Roman" w:hAnsi="Times New Roman" w:cs="Times New Roman"/>
          <w:lang w:eastAsia="sk-SK"/>
        </w:rPr>
        <w:t>oli</w:t>
      </w:r>
      <w:r w:rsidR="00004A26" w:rsidRPr="00C07289">
        <w:rPr>
          <w:rFonts w:ascii="Times New Roman" w:eastAsia="Times New Roman" w:hAnsi="Times New Roman" w:cs="Times New Roman"/>
          <w:lang w:eastAsia="sk-SK"/>
        </w:rPr>
        <w:t xml:space="preserve"> spracované v súčinnosti s nezá</w:t>
      </w:r>
      <w:r w:rsidR="00D61A60">
        <w:rPr>
          <w:rFonts w:ascii="Times New Roman" w:eastAsia="Times New Roman" w:hAnsi="Times New Roman" w:cs="Times New Roman"/>
          <w:lang w:eastAsia="sk-SK"/>
        </w:rPr>
        <w:t>vislou audítorskou spoločnosťou</w:t>
      </w:r>
      <w:r w:rsidR="0089154F" w:rsidRPr="00C07289">
        <w:rPr>
          <w:rFonts w:ascii="Times New Roman" w:eastAsia="Times New Roman" w:hAnsi="Times New Roman" w:cs="Times New Roman"/>
          <w:lang w:eastAsia="sk-SK"/>
        </w:rPr>
        <w:t xml:space="preserve">. </w:t>
      </w:r>
      <w:bookmarkStart w:id="6" w:name="_Toc373740543"/>
    </w:p>
    <w:p w:rsidR="005E7611" w:rsidRPr="004A3026" w:rsidRDefault="004433B8" w:rsidP="00060E4A">
      <w:pPr>
        <w:pStyle w:val="tla1"/>
        <w:rPr>
          <w:lang w:eastAsia="sk-SK"/>
        </w:rPr>
      </w:pPr>
      <w:r w:rsidRPr="004A3026">
        <w:rPr>
          <w:lang w:eastAsia="sk-SK"/>
        </w:rPr>
        <w:t>Súhrnná správa o</w:t>
      </w:r>
      <w:r w:rsidR="00B67593" w:rsidRPr="004A3026">
        <w:rPr>
          <w:lang w:eastAsia="sk-SK"/>
        </w:rPr>
        <w:t> </w:t>
      </w:r>
      <w:r w:rsidRPr="004A3026">
        <w:rPr>
          <w:lang w:eastAsia="sk-SK"/>
        </w:rPr>
        <w:t>audite</w:t>
      </w:r>
      <w:bookmarkEnd w:id="6"/>
    </w:p>
    <w:p w:rsidR="003D37C0" w:rsidRDefault="00B67593" w:rsidP="003D37C0">
      <w:pPr>
        <w:widowControl w:val="0"/>
        <w:spacing w:before="240" w:after="0" w:line="240" w:lineRule="auto"/>
        <w:ind w:firstLine="709"/>
        <w:jc w:val="both"/>
        <w:rPr>
          <w:rFonts w:ascii="Times New Roman" w:hAnsi="Times New Roman" w:cs="Times New Roman"/>
          <w:b/>
          <w:sz w:val="24"/>
          <w:szCs w:val="24"/>
        </w:rPr>
      </w:pPr>
      <w:r w:rsidRPr="00B67593">
        <w:rPr>
          <w:rFonts w:ascii="Times New Roman" w:eastAsia="Times New Roman" w:hAnsi="Times New Roman" w:cs="Times New Roman"/>
          <w:lang w:eastAsia="sk-SK"/>
        </w:rPr>
        <w:t xml:space="preserve">Súhrnná správa </w:t>
      </w:r>
      <w:r>
        <w:rPr>
          <w:rFonts w:ascii="Times New Roman" w:eastAsia="Times New Roman" w:hAnsi="Times New Roman" w:cs="Times New Roman"/>
          <w:lang w:eastAsia="sk-SK"/>
        </w:rPr>
        <w:t xml:space="preserve">o audite je </w:t>
      </w:r>
      <w:r w:rsidR="00FC20DB">
        <w:rPr>
          <w:rFonts w:ascii="Times New Roman" w:eastAsia="Times New Roman" w:hAnsi="Times New Roman" w:cs="Times New Roman"/>
          <w:lang w:eastAsia="sk-SK"/>
        </w:rPr>
        <w:t>zostavená z</w:t>
      </w:r>
      <w:r w:rsidR="003C0E24">
        <w:rPr>
          <w:rFonts w:ascii="Times New Roman" w:eastAsia="Times New Roman" w:hAnsi="Times New Roman" w:cs="Times New Roman"/>
          <w:lang w:eastAsia="sk-SK"/>
        </w:rPr>
        <w:t> </w:t>
      </w:r>
      <w:r w:rsidR="00FC20DB">
        <w:rPr>
          <w:rFonts w:ascii="Times New Roman" w:eastAsia="Times New Roman" w:hAnsi="Times New Roman" w:cs="Times New Roman"/>
          <w:lang w:eastAsia="sk-SK"/>
        </w:rPr>
        <w:t>údajov</w:t>
      </w:r>
      <w:r w:rsidR="003C0E24">
        <w:rPr>
          <w:rFonts w:ascii="Times New Roman" w:eastAsia="Times New Roman" w:hAnsi="Times New Roman" w:cs="Times New Roman"/>
          <w:lang w:eastAsia="sk-SK"/>
        </w:rPr>
        <w:t xml:space="preserve"> pochádzajúcich</w:t>
      </w:r>
      <w:r w:rsidR="00FC20DB">
        <w:rPr>
          <w:rFonts w:ascii="Times New Roman" w:eastAsia="Times New Roman" w:hAnsi="Times New Roman" w:cs="Times New Roman"/>
          <w:lang w:eastAsia="sk-SK"/>
        </w:rPr>
        <w:t xml:space="preserve"> zo</w:t>
      </w:r>
      <w:r>
        <w:rPr>
          <w:rFonts w:ascii="Times New Roman" w:eastAsia="Times New Roman" w:hAnsi="Times New Roman" w:cs="Times New Roman"/>
          <w:lang w:eastAsia="sk-SK"/>
        </w:rPr>
        <w:t xml:space="preserve"> správ </w:t>
      </w:r>
      <w:r w:rsidR="002A63B7">
        <w:rPr>
          <w:rFonts w:ascii="Times New Roman" w:eastAsia="Times New Roman" w:hAnsi="Times New Roman" w:cs="Times New Roman"/>
          <w:lang w:eastAsia="sk-SK"/>
        </w:rPr>
        <w:t xml:space="preserve">ministerstiev </w:t>
      </w:r>
      <w:r>
        <w:rPr>
          <w:rFonts w:ascii="Times New Roman" w:eastAsia="Times New Roman" w:hAnsi="Times New Roman" w:cs="Times New Roman"/>
          <w:lang w:eastAsia="sk-SK"/>
        </w:rPr>
        <w:t>o</w:t>
      </w:r>
      <w:r w:rsidR="00FC20DB">
        <w:rPr>
          <w:rFonts w:ascii="Times New Roman" w:eastAsia="Times New Roman" w:hAnsi="Times New Roman" w:cs="Times New Roman"/>
          <w:lang w:eastAsia="sk-SK"/>
        </w:rPr>
        <w:t> </w:t>
      </w:r>
      <w:r>
        <w:rPr>
          <w:rFonts w:ascii="Times New Roman" w:eastAsia="Times New Roman" w:hAnsi="Times New Roman" w:cs="Times New Roman"/>
          <w:lang w:eastAsia="sk-SK"/>
        </w:rPr>
        <w:t>audite</w:t>
      </w:r>
      <w:r w:rsidR="00FC20DB">
        <w:rPr>
          <w:rFonts w:ascii="Times New Roman" w:eastAsia="Times New Roman" w:hAnsi="Times New Roman" w:cs="Times New Roman"/>
          <w:lang w:eastAsia="sk-SK"/>
        </w:rPr>
        <w:t xml:space="preserve">. </w:t>
      </w:r>
      <w:r w:rsidR="0056546C">
        <w:rPr>
          <w:rFonts w:ascii="Times New Roman" w:eastAsia="Times New Roman" w:hAnsi="Times New Roman" w:cs="Times New Roman"/>
          <w:lang w:eastAsia="sk-SK"/>
        </w:rPr>
        <w:t>J</w:t>
      </w:r>
      <w:r w:rsidR="003C0E24">
        <w:rPr>
          <w:rFonts w:ascii="Times New Roman" w:eastAsia="Times New Roman" w:hAnsi="Times New Roman" w:cs="Times New Roman"/>
          <w:lang w:eastAsia="sk-SK"/>
        </w:rPr>
        <w:t xml:space="preserve">e rozdelená do dvoch častí. </w:t>
      </w:r>
      <w:r w:rsidR="00EA00F3" w:rsidRPr="00EA00F3">
        <w:rPr>
          <w:rFonts w:ascii="Times New Roman" w:eastAsia="Times New Roman" w:hAnsi="Times New Roman" w:cs="Times New Roman"/>
          <w:lang w:eastAsia="sk-SK"/>
        </w:rPr>
        <w:t xml:space="preserve">Prvá časť je zameraná na prenesený výkon štátnej správy, druhá </w:t>
      </w:r>
      <w:r w:rsidR="003C0E24">
        <w:rPr>
          <w:rFonts w:ascii="Times New Roman" w:eastAsia="Times New Roman" w:hAnsi="Times New Roman" w:cs="Times New Roman"/>
          <w:lang w:eastAsia="sk-SK"/>
        </w:rPr>
        <w:t xml:space="preserve">časť </w:t>
      </w:r>
      <w:r w:rsidR="00EA00F3" w:rsidRPr="00EA00F3">
        <w:rPr>
          <w:rFonts w:ascii="Times New Roman" w:eastAsia="Times New Roman" w:hAnsi="Times New Roman" w:cs="Times New Roman"/>
          <w:lang w:eastAsia="sk-SK"/>
        </w:rPr>
        <w:t>na výkon samosprávnych pôsobností.</w:t>
      </w:r>
      <w:r w:rsidR="00EA00F3">
        <w:rPr>
          <w:rFonts w:ascii="Times New Roman" w:eastAsia="Times New Roman" w:hAnsi="Times New Roman" w:cs="Times New Roman"/>
          <w:lang w:eastAsia="sk-SK"/>
        </w:rPr>
        <w:t xml:space="preserve"> </w:t>
      </w:r>
      <w:r w:rsidR="00513D79">
        <w:rPr>
          <w:rFonts w:ascii="Times New Roman" w:eastAsia="Times New Roman" w:hAnsi="Times New Roman" w:cs="Times New Roman"/>
          <w:lang w:eastAsia="sk-SK"/>
        </w:rPr>
        <w:t>V</w:t>
      </w:r>
      <w:r w:rsidR="003C0E24">
        <w:rPr>
          <w:rFonts w:ascii="Times New Roman" w:eastAsia="Times New Roman" w:hAnsi="Times New Roman" w:cs="Times New Roman"/>
          <w:lang w:eastAsia="sk-SK"/>
        </w:rPr>
        <w:t> </w:t>
      </w:r>
      <w:r w:rsidR="00EA00F3">
        <w:rPr>
          <w:rFonts w:ascii="Times New Roman" w:eastAsia="Times New Roman" w:hAnsi="Times New Roman" w:cs="Times New Roman"/>
          <w:lang w:eastAsia="sk-SK"/>
        </w:rPr>
        <w:t>obidvoch</w:t>
      </w:r>
      <w:r w:rsidR="003C0E24">
        <w:rPr>
          <w:rFonts w:ascii="Times New Roman" w:eastAsia="Times New Roman" w:hAnsi="Times New Roman" w:cs="Times New Roman"/>
          <w:lang w:eastAsia="sk-SK"/>
        </w:rPr>
        <w:t xml:space="preserve"> častiach</w:t>
      </w:r>
      <w:r w:rsidR="00EA00F3">
        <w:rPr>
          <w:rFonts w:ascii="Times New Roman" w:eastAsia="Times New Roman" w:hAnsi="Times New Roman" w:cs="Times New Roman"/>
          <w:lang w:eastAsia="sk-SK"/>
        </w:rPr>
        <w:t xml:space="preserve"> </w:t>
      </w:r>
      <w:r w:rsidR="00513D79">
        <w:rPr>
          <w:rFonts w:ascii="Times New Roman" w:eastAsia="Times New Roman" w:hAnsi="Times New Roman" w:cs="Times New Roman"/>
          <w:lang w:eastAsia="sk-SK"/>
        </w:rPr>
        <w:t xml:space="preserve">sa </w:t>
      </w:r>
      <w:r w:rsidR="003C0E24">
        <w:rPr>
          <w:rFonts w:ascii="Times New Roman" w:eastAsia="Times New Roman" w:hAnsi="Times New Roman" w:cs="Times New Roman"/>
          <w:lang w:eastAsia="sk-SK"/>
        </w:rPr>
        <w:t>nachádza</w:t>
      </w:r>
      <w:r w:rsidR="00B54106">
        <w:rPr>
          <w:rFonts w:ascii="Times New Roman" w:eastAsia="Times New Roman" w:hAnsi="Times New Roman" w:cs="Times New Roman"/>
          <w:lang w:eastAsia="sk-SK"/>
        </w:rPr>
        <w:t>jú</w:t>
      </w:r>
      <w:r w:rsidR="003C0E24">
        <w:rPr>
          <w:rFonts w:ascii="Times New Roman" w:eastAsia="Times New Roman" w:hAnsi="Times New Roman" w:cs="Times New Roman"/>
          <w:lang w:eastAsia="sk-SK"/>
        </w:rPr>
        <w:t xml:space="preserve"> </w:t>
      </w:r>
      <w:r w:rsidR="002A19B2">
        <w:rPr>
          <w:rFonts w:ascii="Times New Roman" w:eastAsia="Times New Roman" w:hAnsi="Times New Roman" w:cs="Times New Roman"/>
          <w:lang w:eastAsia="sk-SK"/>
        </w:rPr>
        <w:t xml:space="preserve">zosumarizované </w:t>
      </w:r>
      <w:r w:rsidR="003C0E24">
        <w:rPr>
          <w:rFonts w:ascii="Times New Roman" w:eastAsia="Times New Roman" w:hAnsi="Times New Roman" w:cs="Times New Roman"/>
          <w:lang w:eastAsia="sk-SK"/>
        </w:rPr>
        <w:t>katalóg</w:t>
      </w:r>
      <w:r w:rsidR="00B54106">
        <w:rPr>
          <w:rFonts w:ascii="Times New Roman" w:eastAsia="Times New Roman" w:hAnsi="Times New Roman" w:cs="Times New Roman"/>
          <w:lang w:eastAsia="sk-SK"/>
        </w:rPr>
        <w:t>y</w:t>
      </w:r>
      <w:r w:rsidR="003C0E24">
        <w:rPr>
          <w:rFonts w:ascii="Times New Roman" w:eastAsia="Times New Roman" w:hAnsi="Times New Roman" w:cs="Times New Roman"/>
          <w:lang w:eastAsia="sk-SK"/>
        </w:rPr>
        <w:t xml:space="preserve"> </w:t>
      </w:r>
      <w:r w:rsidR="00E45FBB">
        <w:rPr>
          <w:rFonts w:ascii="Times New Roman" w:eastAsia="Times New Roman" w:hAnsi="Times New Roman" w:cs="Times New Roman"/>
          <w:lang w:eastAsia="sk-SK"/>
        </w:rPr>
        <w:t>pôsobností</w:t>
      </w:r>
      <w:r w:rsidR="003C0E24">
        <w:rPr>
          <w:rFonts w:ascii="Times New Roman" w:eastAsia="Times New Roman" w:hAnsi="Times New Roman" w:cs="Times New Roman"/>
          <w:lang w:eastAsia="sk-SK"/>
        </w:rPr>
        <w:t xml:space="preserve">, </w:t>
      </w:r>
      <w:r w:rsidR="00E45FBB">
        <w:rPr>
          <w:rFonts w:ascii="Times New Roman" w:eastAsia="Times New Roman" w:hAnsi="Times New Roman" w:cs="Times New Roman"/>
          <w:lang w:eastAsia="sk-SK"/>
        </w:rPr>
        <w:t xml:space="preserve">kvantifikácie pôsobností, </w:t>
      </w:r>
      <w:r w:rsidR="00B54106">
        <w:rPr>
          <w:rFonts w:ascii="Times New Roman" w:eastAsia="Times New Roman" w:hAnsi="Times New Roman" w:cs="Times New Roman"/>
          <w:lang w:eastAsia="sk-SK"/>
        </w:rPr>
        <w:t xml:space="preserve">zhodnotenia </w:t>
      </w:r>
      <w:r w:rsidR="00E45FBB">
        <w:rPr>
          <w:rFonts w:ascii="Times New Roman" w:eastAsia="Times New Roman" w:hAnsi="Times New Roman" w:cs="Times New Roman"/>
          <w:lang w:eastAsia="sk-SK"/>
        </w:rPr>
        <w:t>kvality výkonu pôsobností</w:t>
      </w:r>
      <w:r w:rsidR="00513D79">
        <w:rPr>
          <w:rFonts w:ascii="Times New Roman" w:eastAsia="Times New Roman" w:hAnsi="Times New Roman" w:cs="Times New Roman"/>
          <w:lang w:eastAsia="sk-SK"/>
        </w:rPr>
        <w:t xml:space="preserve"> a</w:t>
      </w:r>
      <w:r w:rsidR="00B54106">
        <w:rPr>
          <w:rFonts w:ascii="Times New Roman" w:eastAsia="Times New Roman" w:hAnsi="Times New Roman" w:cs="Times New Roman"/>
          <w:lang w:eastAsia="sk-SK"/>
        </w:rPr>
        <w:t xml:space="preserve"> údaje o </w:t>
      </w:r>
      <w:r w:rsidR="00E45FBB">
        <w:rPr>
          <w:rFonts w:ascii="Times New Roman" w:eastAsia="Times New Roman" w:hAnsi="Times New Roman" w:cs="Times New Roman"/>
          <w:lang w:eastAsia="sk-SK"/>
        </w:rPr>
        <w:t>fina</w:t>
      </w:r>
      <w:r w:rsidR="00B54106">
        <w:rPr>
          <w:rFonts w:ascii="Times New Roman" w:eastAsia="Times New Roman" w:hAnsi="Times New Roman" w:cs="Times New Roman"/>
          <w:lang w:eastAsia="sk-SK"/>
        </w:rPr>
        <w:t>ncovaní</w:t>
      </w:r>
      <w:r w:rsidR="00513D79">
        <w:rPr>
          <w:rFonts w:ascii="Times New Roman" w:eastAsia="Times New Roman" w:hAnsi="Times New Roman" w:cs="Times New Roman"/>
          <w:lang w:eastAsia="sk-SK"/>
        </w:rPr>
        <w:t>.</w:t>
      </w:r>
      <w:r w:rsidR="00E45FBB">
        <w:rPr>
          <w:rFonts w:ascii="Times New Roman" w:eastAsia="Times New Roman" w:hAnsi="Times New Roman" w:cs="Times New Roman"/>
          <w:lang w:eastAsia="sk-SK"/>
        </w:rPr>
        <w:t xml:space="preserve"> </w:t>
      </w:r>
      <w:r w:rsidR="00513D79">
        <w:rPr>
          <w:rFonts w:ascii="Times New Roman" w:eastAsia="Times New Roman" w:hAnsi="Times New Roman" w:cs="Times New Roman"/>
          <w:lang w:eastAsia="sk-SK"/>
        </w:rPr>
        <w:t xml:space="preserve">V stručnej podobe sú </w:t>
      </w:r>
      <w:r w:rsidR="00B54106">
        <w:rPr>
          <w:rFonts w:ascii="Times New Roman" w:eastAsia="Times New Roman" w:hAnsi="Times New Roman" w:cs="Times New Roman"/>
          <w:lang w:eastAsia="sk-SK"/>
        </w:rPr>
        <w:t xml:space="preserve">tiež </w:t>
      </w:r>
      <w:r w:rsidR="00513D79">
        <w:rPr>
          <w:rFonts w:ascii="Times New Roman" w:eastAsia="Times New Roman" w:hAnsi="Times New Roman" w:cs="Times New Roman"/>
          <w:lang w:eastAsia="sk-SK"/>
        </w:rPr>
        <w:t xml:space="preserve">uvedené </w:t>
      </w:r>
      <w:r w:rsidR="00E45FBB" w:rsidRPr="003C0E24">
        <w:rPr>
          <w:rFonts w:ascii="Times New Roman" w:eastAsia="Times New Roman" w:hAnsi="Times New Roman" w:cs="Times New Roman"/>
          <w:lang w:eastAsia="sk-SK"/>
        </w:rPr>
        <w:t xml:space="preserve">návrhy opatrení v prípadoch, keď ministerstvá pociťujú potrebu </w:t>
      </w:r>
      <w:r w:rsidR="00E45FBB">
        <w:rPr>
          <w:rFonts w:ascii="Times New Roman" w:eastAsia="Times New Roman" w:hAnsi="Times New Roman" w:cs="Times New Roman"/>
          <w:lang w:eastAsia="sk-SK"/>
        </w:rPr>
        <w:t xml:space="preserve">vykonať určité </w:t>
      </w:r>
      <w:r w:rsidR="00E45FBB" w:rsidRPr="003C0E24">
        <w:rPr>
          <w:rFonts w:ascii="Times New Roman" w:eastAsia="Times New Roman" w:hAnsi="Times New Roman" w:cs="Times New Roman"/>
          <w:lang w:eastAsia="sk-SK"/>
        </w:rPr>
        <w:t>zmeny</w:t>
      </w:r>
      <w:r w:rsidR="004A3026">
        <w:rPr>
          <w:rFonts w:ascii="Times New Roman" w:eastAsia="Times New Roman" w:hAnsi="Times New Roman" w:cs="Times New Roman"/>
          <w:lang w:eastAsia="sk-SK"/>
        </w:rPr>
        <w:t>.</w:t>
      </w:r>
      <w:bookmarkStart w:id="7" w:name="_Toc373740544"/>
    </w:p>
    <w:p w:rsidR="005E7611" w:rsidRPr="00126E06" w:rsidRDefault="005E7611" w:rsidP="00E62A70">
      <w:pPr>
        <w:pStyle w:val="tla2"/>
      </w:pPr>
      <w:r w:rsidRPr="00126E06">
        <w:t>Stav výkonu prenesených pôsobností a ich financovanie</w:t>
      </w:r>
      <w:bookmarkEnd w:id="7"/>
    </w:p>
    <w:p w:rsidR="005A55D9" w:rsidRPr="00E02846" w:rsidRDefault="00756FDD" w:rsidP="00513D79">
      <w:pPr>
        <w:widowControl w:val="0"/>
        <w:spacing w:before="240" w:after="0" w:line="240" w:lineRule="auto"/>
        <w:ind w:firstLine="709"/>
        <w:jc w:val="both"/>
        <w:rPr>
          <w:rFonts w:ascii="Times New Roman" w:hAnsi="Times New Roman" w:cs="Times New Roman"/>
        </w:rPr>
      </w:pPr>
      <w:r w:rsidRPr="00E02846">
        <w:rPr>
          <w:rFonts w:ascii="Times New Roman" w:hAnsi="Times New Roman" w:cs="Times New Roman"/>
        </w:rPr>
        <w:t>V</w:t>
      </w:r>
      <w:r w:rsidR="005A55D9" w:rsidRPr="00E02846">
        <w:rPr>
          <w:rFonts w:ascii="Times New Roman" w:hAnsi="Times New Roman" w:cs="Times New Roman"/>
        </w:rPr>
        <w:t>ýkon prenesených pôsobností obcí a samosprávnych krajov kontroluje vláda (prostredníctvom ministerstiev a nimi riadených miestnych orgánov štátnej spr</w:t>
      </w:r>
      <w:r w:rsidR="002A63B7" w:rsidRPr="00E02846">
        <w:rPr>
          <w:rFonts w:ascii="Times New Roman" w:hAnsi="Times New Roman" w:cs="Times New Roman"/>
        </w:rPr>
        <w:t>ávy)</w:t>
      </w:r>
      <w:r w:rsidRPr="00E02846">
        <w:rPr>
          <w:rFonts w:ascii="Times New Roman" w:hAnsi="Times New Roman" w:cs="Times New Roman"/>
        </w:rPr>
        <w:t>. Rozsah získaných údajov v tejto časti je preto väčší ako v prípade údajov o výkone samosprávnych pôsobností</w:t>
      </w:r>
      <w:r w:rsidR="00BC4DB9">
        <w:rPr>
          <w:rFonts w:ascii="Times New Roman" w:hAnsi="Times New Roman" w:cs="Times New Roman"/>
        </w:rPr>
        <w:t xml:space="preserve"> obsiahnutých v druhej časti</w:t>
      </w:r>
      <w:r w:rsidRPr="00E02846">
        <w:rPr>
          <w:rFonts w:ascii="Times New Roman" w:hAnsi="Times New Roman" w:cs="Times New Roman"/>
        </w:rPr>
        <w:t>.</w:t>
      </w:r>
    </w:p>
    <w:p w:rsidR="005E7611" w:rsidRPr="00C07289" w:rsidRDefault="005E7611" w:rsidP="00E62A70">
      <w:pPr>
        <w:pStyle w:val="tla3"/>
      </w:pPr>
      <w:bookmarkStart w:id="8" w:name="_Toc373740545"/>
      <w:r w:rsidRPr="00C07289">
        <w:t>Katalóg prenesených pôsobností</w:t>
      </w:r>
      <w:bookmarkEnd w:id="8"/>
    </w:p>
    <w:p w:rsidR="00D40C1E" w:rsidRDefault="009F46D4" w:rsidP="0085276B">
      <w:pPr>
        <w:spacing w:before="120" w:after="0" w:line="240" w:lineRule="auto"/>
        <w:ind w:firstLine="709"/>
        <w:jc w:val="both"/>
        <w:rPr>
          <w:rFonts w:ascii="Times New Roman" w:hAnsi="Times New Roman" w:cs="Times New Roman"/>
        </w:rPr>
      </w:pPr>
      <w:r>
        <w:rPr>
          <w:rFonts w:ascii="Times New Roman" w:hAnsi="Times New Roman" w:cs="Times New Roman"/>
        </w:rPr>
        <w:t>Katalóg</w:t>
      </w:r>
      <w:r w:rsidR="00462A55">
        <w:rPr>
          <w:rFonts w:ascii="Times New Roman" w:hAnsi="Times New Roman" w:cs="Times New Roman"/>
        </w:rPr>
        <w:t>y</w:t>
      </w:r>
      <w:r w:rsidR="00572E03">
        <w:rPr>
          <w:rFonts w:ascii="Times New Roman" w:hAnsi="Times New Roman" w:cs="Times New Roman"/>
        </w:rPr>
        <w:t xml:space="preserve"> v príloh</w:t>
      </w:r>
      <w:r w:rsidR="00462A55">
        <w:rPr>
          <w:rFonts w:ascii="Times New Roman" w:hAnsi="Times New Roman" w:cs="Times New Roman"/>
        </w:rPr>
        <w:t>ách</w:t>
      </w:r>
      <w:r w:rsidR="00572E03">
        <w:rPr>
          <w:rFonts w:ascii="Times New Roman" w:hAnsi="Times New Roman" w:cs="Times New Roman"/>
        </w:rPr>
        <w:t xml:space="preserve"> </w:t>
      </w:r>
      <w:r w:rsidR="008B6410">
        <w:rPr>
          <w:rFonts w:ascii="Times New Roman" w:hAnsi="Times New Roman" w:cs="Times New Roman"/>
        </w:rPr>
        <w:t xml:space="preserve">1a </w:t>
      </w:r>
      <w:r w:rsidR="00462A55">
        <w:rPr>
          <w:rFonts w:ascii="Times New Roman" w:hAnsi="Times New Roman" w:cs="Times New Roman"/>
        </w:rPr>
        <w:t xml:space="preserve">a 2a </w:t>
      </w:r>
      <w:r>
        <w:rPr>
          <w:rFonts w:ascii="Times New Roman" w:hAnsi="Times New Roman" w:cs="Times New Roman"/>
        </w:rPr>
        <w:t>predstavuj</w:t>
      </w:r>
      <w:r w:rsidR="00164C38">
        <w:rPr>
          <w:rFonts w:ascii="Times New Roman" w:hAnsi="Times New Roman" w:cs="Times New Roman"/>
        </w:rPr>
        <w:t>ú</w:t>
      </w:r>
      <w:r>
        <w:rPr>
          <w:rFonts w:ascii="Times New Roman" w:hAnsi="Times New Roman" w:cs="Times New Roman"/>
        </w:rPr>
        <w:t xml:space="preserve"> p</w:t>
      </w:r>
      <w:r w:rsidR="005E7611" w:rsidRPr="00C07289">
        <w:rPr>
          <w:rFonts w:ascii="Times New Roman" w:hAnsi="Times New Roman" w:cs="Times New Roman"/>
        </w:rPr>
        <w:t xml:space="preserve">rehľad, na akých úsekoch štátnej správy obce a samosprávne kraje vykonávajú prenesené pôsobnosti a aké sú na týchto úsekoch jednotlivé úlohy - vrátane ustanovení právnych predpisov, z ktorých úlohy vyplývajú; k úlohám </w:t>
      </w:r>
      <w:r>
        <w:rPr>
          <w:rFonts w:ascii="Times New Roman" w:hAnsi="Times New Roman" w:cs="Times New Roman"/>
        </w:rPr>
        <w:t>je doplnená</w:t>
      </w:r>
      <w:r w:rsidR="005E7611" w:rsidRPr="00C07289">
        <w:rPr>
          <w:rFonts w:ascii="Times New Roman" w:hAnsi="Times New Roman" w:cs="Times New Roman"/>
        </w:rPr>
        <w:t xml:space="preserve"> poznámka, či ide o administratívne kompetencie alebo o verejné služby vecného charakteru</w:t>
      </w:r>
      <w:r w:rsidR="00C16363">
        <w:rPr>
          <w:rStyle w:val="Odkaznapoznmkupodiarou"/>
          <w:rFonts w:ascii="Times New Roman" w:hAnsi="Times New Roman" w:cs="Times New Roman"/>
        </w:rPr>
        <w:footnoteReference w:id="2"/>
      </w:r>
      <w:r w:rsidR="005E7611" w:rsidRPr="00C07289">
        <w:rPr>
          <w:rFonts w:ascii="Times New Roman" w:hAnsi="Times New Roman" w:cs="Times New Roman"/>
        </w:rPr>
        <w:t xml:space="preserve">. </w:t>
      </w:r>
      <w:r>
        <w:rPr>
          <w:rFonts w:ascii="Times New Roman" w:hAnsi="Times New Roman" w:cs="Times New Roman"/>
        </w:rPr>
        <w:t xml:space="preserve">V záujme prehľadnosti </w:t>
      </w:r>
      <w:r w:rsidR="00B00EC9">
        <w:rPr>
          <w:rFonts w:ascii="Times New Roman" w:hAnsi="Times New Roman" w:cs="Times New Roman"/>
        </w:rPr>
        <w:t>sú údaje uvádzané podľa jednotlivých ministerstiev.</w:t>
      </w:r>
      <w:r w:rsidR="006C048B">
        <w:rPr>
          <w:rFonts w:ascii="Times New Roman" w:hAnsi="Times New Roman" w:cs="Times New Roman"/>
        </w:rPr>
        <w:t xml:space="preserve"> </w:t>
      </w:r>
      <w:r w:rsidR="00254A1B">
        <w:rPr>
          <w:rFonts w:ascii="Times New Roman" w:hAnsi="Times New Roman" w:cs="Times New Roman"/>
        </w:rPr>
        <w:t>Ku katalógu je potrebné poznamenať:</w:t>
      </w:r>
    </w:p>
    <w:p w:rsidR="0020662E" w:rsidRDefault="0020662E" w:rsidP="0020662E">
      <w:pPr>
        <w:widowControl w:val="0"/>
        <w:spacing w:before="120" w:after="0" w:line="240" w:lineRule="auto"/>
        <w:ind w:firstLine="709"/>
        <w:jc w:val="both"/>
        <w:rPr>
          <w:rFonts w:ascii="Times New Roman" w:hAnsi="Times New Roman" w:cs="Times New Roman"/>
        </w:rPr>
      </w:pPr>
      <w:r>
        <w:rPr>
          <w:rFonts w:ascii="Times New Roman" w:hAnsi="Times New Roman" w:cs="Times New Roman"/>
        </w:rPr>
        <w:t xml:space="preserve">Určitá osobitosť týkajúca sa </w:t>
      </w:r>
      <w:r w:rsidRPr="00077C4B">
        <w:rPr>
          <w:rFonts w:ascii="Times New Roman" w:hAnsi="Times New Roman" w:cs="Times New Roman"/>
        </w:rPr>
        <w:t>výkonu prenesených pôsobností</w:t>
      </w:r>
      <w:r>
        <w:rPr>
          <w:rFonts w:ascii="Times New Roman" w:hAnsi="Times New Roman" w:cs="Times New Roman"/>
        </w:rPr>
        <w:t xml:space="preserve"> je na úseku hospodárskej mobilizácie, ktorá patrí do pôsobnosti Ministerstva hospodárstva S</w:t>
      </w:r>
      <w:r w:rsidR="0051170D">
        <w:rPr>
          <w:rFonts w:ascii="Times New Roman" w:hAnsi="Times New Roman" w:cs="Times New Roman"/>
        </w:rPr>
        <w:t>lovenskej republiky (ďalej len „ministerstvo hospodárstva“)</w:t>
      </w:r>
      <w:r>
        <w:rPr>
          <w:rFonts w:ascii="Times New Roman" w:hAnsi="Times New Roman" w:cs="Times New Roman"/>
        </w:rPr>
        <w:t>. S</w:t>
      </w:r>
      <w:r w:rsidRPr="00817F53">
        <w:rPr>
          <w:rFonts w:ascii="Times New Roman" w:hAnsi="Times New Roman" w:cs="Times New Roman"/>
        </w:rPr>
        <w:t>ubjekt</w:t>
      </w:r>
      <w:r>
        <w:rPr>
          <w:rFonts w:ascii="Times New Roman" w:hAnsi="Times New Roman" w:cs="Times New Roman"/>
        </w:rPr>
        <w:t>y</w:t>
      </w:r>
      <w:r w:rsidRPr="00817F53">
        <w:rPr>
          <w:rFonts w:ascii="Times New Roman" w:hAnsi="Times New Roman" w:cs="Times New Roman"/>
        </w:rPr>
        <w:t xml:space="preserve"> hospodárskej mobilizácie </w:t>
      </w:r>
      <w:r>
        <w:rPr>
          <w:rFonts w:ascii="Times New Roman" w:hAnsi="Times New Roman" w:cs="Times New Roman"/>
        </w:rPr>
        <w:t>majú v</w:t>
      </w:r>
      <w:r w:rsidRPr="00817F53">
        <w:rPr>
          <w:rFonts w:ascii="Times New Roman" w:hAnsi="Times New Roman" w:cs="Times New Roman"/>
        </w:rPr>
        <w:t xml:space="preserve"> stave bezpečnosti</w:t>
      </w:r>
      <w:r>
        <w:rPr>
          <w:rFonts w:ascii="Times New Roman" w:hAnsi="Times New Roman" w:cs="Times New Roman"/>
        </w:rPr>
        <w:t xml:space="preserve"> len</w:t>
      </w:r>
      <w:r w:rsidRPr="00817F53">
        <w:rPr>
          <w:rFonts w:ascii="Times New Roman" w:hAnsi="Times New Roman" w:cs="Times New Roman"/>
        </w:rPr>
        <w:t xml:space="preserve"> </w:t>
      </w:r>
      <w:r>
        <w:rPr>
          <w:rFonts w:ascii="Times New Roman" w:hAnsi="Times New Roman" w:cs="Times New Roman"/>
        </w:rPr>
        <w:t>minimálny rozsah</w:t>
      </w:r>
      <w:r w:rsidRPr="00817F53">
        <w:rPr>
          <w:rFonts w:ascii="Times New Roman" w:hAnsi="Times New Roman" w:cs="Times New Roman"/>
        </w:rPr>
        <w:t xml:space="preserve"> povinností, </w:t>
      </w:r>
      <w:r>
        <w:rPr>
          <w:rFonts w:ascii="Times New Roman" w:hAnsi="Times New Roman" w:cs="Times New Roman"/>
        </w:rPr>
        <w:t>inak je to</w:t>
      </w:r>
      <w:r w:rsidR="00564374">
        <w:rPr>
          <w:rFonts w:ascii="Times New Roman" w:hAnsi="Times New Roman" w:cs="Times New Roman"/>
        </w:rPr>
        <w:t>mu</w:t>
      </w:r>
      <w:r>
        <w:rPr>
          <w:rFonts w:ascii="Times New Roman" w:hAnsi="Times New Roman" w:cs="Times New Roman"/>
        </w:rPr>
        <w:t xml:space="preserve"> v období krízovej situácie.</w:t>
      </w:r>
      <w:r w:rsidR="008D31BB">
        <w:rPr>
          <w:rFonts w:ascii="Times New Roman" w:hAnsi="Times New Roman" w:cs="Times New Roman"/>
        </w:rPr>
        <w:t xml:space="preserve"> Osobitosť úseku sa prejavuje v obmedzenej možnosti kvantifikovať úlohy, zhodnotiť kvalitu a poskytnúť údaje o financovaní.</w:t>
      </w:r>
    </w:p>
    <w:p w:rsidR="009F46D4" w:rsidRDefault="006C048B" w:rsidP="00564374">
      <w:pPr>
        <w:widowControl w:val="0"/>
        <w:spacing w:before="120" w:after="0" w:line="240" w:lineRule="auto"/>
        <w:ind w:firstLine="709"/>
        <w:jc w:val="both"/>
        <w:rPr>
          <w:rFonts w:ascii="Times New Roman" w:hAnsi="Times New Roman" w:cs="Times New Roman"/>
        </w:rPr>
      </w:pPr>
      <w:r>
        <w:rPr>
          <w:rFonts w:ascii="Times New Roman" w:hAnsi="Times New Roman" w:cs="Times New Roman"/>
        </w:rPr>
        <w:t>Ministerstvo vnútra zahrnulo medzi úseky štátnej správy prenesené na obce aj úsek volieb a referenda, ktorý síce nie je typickým úsekom preneseného výkonu štátnej správy podľa zákona</w:t>
      </w:r>
      <w:r w:rsidR="00564374">
        <w:rPr>
          <w:rFonts w:ascii="Times New Roman" w:hAnsi="Times New Roman" w:cs="Times New Roman"/>
        </w:rPr>
        <w:t xml:space="preserve"> (zákon </w:t>
      </w:r>
      <w:r w:rsidR="0051170D">
        <w:rPr>
          <w:rFonts w:ascii="Times New Roman" w:hAnsi="Times New Roman" w:cs="Times New Roman"/>
        </w:rPr>
        <w:t>explicitne</w:t>
      </w:r>
      <w:r w:rsidR="00564374">
        <w:rPr>
          <w:rFonts w:ascii="Times New Roman" w:hAnsi="Times New Roman" w:cs="Times New Roman"/>
        </w:rPr>
        <w:t xml:space="preserve"> neuvádza</w:t>
      </w:r>
      <w:r w:rsidR="0051170D">
        <w:rPr>
          <w:rFonts w:ascii="Times New Roman" w:hAnsi="Times New Roman" w:cs="Times New Roman"/>
        </w:rPr>
        <w:t>, že ide o prenesený výkon štátnej správy</w:t>
      </w:r>
      <w:r w:rsidR="00564374">
        <w:rPr>
          <w:rFonts w:ascii="Times New Roman" w:hAnsi="Times New Roman" w:cs="Times New Roman"/>
        </w:rPr>
        <w:t>)</w:t>
      </w:r>
      <w:r>
        <w:rPr>
          <w:rFonts w:ascii="Times New Roman" w:hAnsi="Times New Roman" w:cs="Times New Roman"/>
        </w:rPr>
        <w:t xml:space="preserve">, ale </w:t>
      </w:r>
      <w:r w:rsidR="00B361CE">
        <w:rPr>
          <w:rFonts w:ascii="Times New Roman" w:hAnsi="Times New Roman" w:cs="Times New Roman"/>
        </w:rPr>
        <w:t>obce plnia úlohy</w:t>
      </w:r>
      <w:r w:rsidR="00564374">
        <w:rPr>
          <w:rFonts w:ascii="Times New Roman" w:hAnsi="Times New Roman" w:cs="Times New Roman"/>
        </w:rPr>
        <w:t xml:space="preserve"> (štátu)</w:t>
      </w:r>
      <w:r w:rsidR="00B361CE">
        <w:rPr>
          <w:rFonts w:ascii="Times New Roman" w:hAnsi="Times New Roman" w:cs="Times New Roman"/>
        </w:rPr>
        <w:t xml:space="preserve"> spojené s </w:t>
      </w:r>
      <w:r w:rsidR="00BF6C65">
        <w:rPr>
          <w:rFonts w:ascii="Times New Roman" w:hAnsi="Times New Roman" w:cs="Times New Roman"/>
        </w:rPr>
        <w:t>organizáciou volieb a referenda</w:t>
      </w:r>
      <w:r w:rsidR="00B361CE">
        <w:rPr>
          <w:rFonts w:ascii="Times New Roman" w:hAnsi="Times New Roman" w:cs="Times New Roman"/>
        </w:rPr>
        <w:t xml:space="preserve"> a výdavky spojené s voľbami sa uhrádzajú zo štátneho rozpočtu, </w:t>
      </w:r>
      <w:r w:rsidR="00B361CE">
        <w:rPr>
          <w:rFonts w:ascii="Times New Roman" w:hAnsi="Times New Roman" w:cs="Times New Roman"/>
        </w:rPr>
        <w:lastRenderedPageBreak/>
        <w:t>z rozpočtovej kapitoly ministerstva vnútra ako účelové finančné prostriedky so stanov</w:t>
      </w:r>
      <w:r w:rsidR="0016445E">
        <w:rPr>
          <w:rFonts w:ascii="Times New Roman" w:hAnsi="Times New Roman" w:cs="Times New Roman"/>
        </w:rPr>
        <w:t>eným záväzným limitom.</w:t>
      </w:r>
    </w:p>
    <w:p w:rsidR="008D31BB" w:rsidRDefault="00647692" w:rsidP="008D31BB">
      <w:pPr>
        <w:widowControl w:val="0"/>
        <w:spacing w:before="120" w:after="0" w:line="240" w:lineRule="auto"/>
        <w:ind w:firstLine="709"/>
        <w:jc w:val="both"/>
        <w:rPr>
          <w:rFonts w:ascii="Times New Roman" w:hAnsi="Times New Roman" w:cs="Times New Roman"/>
        </w:rPr>
      </w:pPr>
      <w:r>
        <w:rPr>
          <w:rFonts w:ascii="Times New Roman" w:hAnsi="Times New Roman" w:cs="Times New Roman"/>
        </w:rPr>
        <w:t>P</w:t>
      </w:r>
      <w:r w:rsidR="008D31BB">
        <w:rPr>
          <w:rFonts w:ascii="Times New Roman" w:hAnsi="Times New Roman" w:cs="Times New Roman"/>
        </w:rPr>
        <w:t>ôsobnosti sú rozdelené do častí týkajúcich sa prenesených pôsobností a samosprávnych pôsobností tak, ako ich zaradili príslušné ministerstvá</w:t>
      </w:r>
      <w:r>
        <w:rPr>
          <w:rFonts w:ascii="Times New Roman" w:hAnsi="Times New Roman" w:cs="Times New Roman"/>
        </w:rPr>
        <w:t>.</w:t>
      </w:r>
    </w:p>
    <w:p w:rsidR="00B00EC9" w:rsidRDefault="00B00EC9" w:rsidP="0085276B">
      <w:pPr>
        <w:spacing w:before="120" w:after="120" w:line="240" w:lineRule="auto"/>
        <w:ind w:firstLine="709"/>
        <w:jc w:val="both"/>
        <w:rPr>
          <w:rFonts w:ascii="Times New Roman" w:hAnsi="Times New Roman" w:cs="Times New Roman"/>
        </w:rPr>
      </w:pPr>
      <w:r>
        <w:rPr>
          <w:rFonts w:ascii="Times New Roman" w:hAnsi="Times New Roman" w:cs="Times New Roman"/>
        </w:rPr>
        <w:t>Z katalóg</w:t>
      </w:r>
      <w:r w:rsidR="00C16363">
        <w:rPr>
          <w:rFonts w:ascii="Times New Roman" w:hAnsi="Times New Roman" w:cs="Times New Roman"/>
        </w:rPr>
        <w:t>ov</w:t>
      </w:r>
      <w:r>
        <w:rPr>
          <w:rFonts w:ascii="Times New Roman" w:hAnsi="Times New Roman" w:cs="Times New Roman"/>
        </w:rPr>
        <w:t xml:space="preserve"> vyplýva, že obce </w:t>
      </w:r>
      <w:r w:rsidR="00EB12E7">
        <w:rPr>
          <w:rFonts w:ascii="Times New Roman" w:hAnsi="Times New Roman" w:cs="Times New Roman"/>
        </w:rPr>
        <w:t>vykonávajú prenesené pôsobnosti na 1</w:t>
      </w:r>
      <w:r w:rsidR="00A335A6">
        <w:rPr>
          <w:rFonts w:ascii="Times New Roman" w:hAnsi="Times New Roman" w:cs="Times New Roman"/>
        </w:rPr>
        <w:t>4</w:t>
      </w:r>
      <w:r w:rsidR="00EB12E7">
        <w:rPr>
          <w:rFonts w:ascii="Times New Roman" w:hAnsi="Times New Roman" w:cs="Times New Roman"/>
        </w:rPr>
        <w:t xml:space="preserve"> úsekoch a plnia </w:t>
      </w:r>
      <w:r w:rsidR="00564374">
        <w:rPr>
          <w:rFonts w:ascii="Times New Roman" w:hAnsi="Times New Roman" w:cs="Times New Roman"/>
        </w:rPr>
        <w:t>19</w:t>
      </w:r>
      <w:r w:rsidR="00F70B63">
        <w:rPr>
          <w:rFonts w:ascii="Times New Roman" w:hAnsi="Times New Roman" w:cs="Times New Roman"/>
        </w:rPr>
        <w:t>8</w:t>
      </w:r>
      <w:r w:rsidR="00EB12E7">
        <w:rPr>
          <w:rFonts w:ascii="Times New Roman" w:hAnsi="Times New Roman" w:cs="Times New Roman"/>
        </w:rPr>
        <w:t xml:space="preserve"> úloh. S</w:t>
      </w:r>
      <w:r>
        <w:rPr>
          <w:rFonts w:ascii="Times New Roman" w:hAnsi="Times New Roman" w:cs="Times New Roman"/>
        </w:rPr>
        <w:t>amosprávne kraje</w:t>
      </w:r>
      <w:r w:rsidR="00EB12E7">
        <w:rPr>
          <w:rFonts w:ascii="Times New Roman" w:hAnsi="Times New Roman" w:cs="Times New Roman"/>
        </w:rPr>
        <w:t xml:space="preserve"> vykonávajú prenesené pôsobnosti na 5 úsekoch a plnia </w:t>
      </w:r>
      <w:r w:rsidR="00A42FE4">
        <w:rPr>
          <w:rFonts w:ascii="Times New Roman" w:hAnsi="Times New Roman" w:cs="Times New Roman"/>
        </w:rPr>
        <w:t>9</w:t>
      </w:r>
      <w:r w:rsidR="00100AA5">
        <w:rPr>
          <w:rFonts w:ascii="Times New Roman" w:hAnsi="Times New Roman" w:cs="Times New Roman"/>
        </w:rPr>
        <w:t>6</w:t>
      </w:r>
      <w:r w:rsidR="003E080D">
        <w:rPr>
          <w:rFonts w:ascii="Times New Roman" w:hAnsi="Times New Roman" w:cs="Times New Roman"/>
        </w:rPr>
        <w:t xml:space="preserve"> úloh.</w:t>
      </w:r>
    </w:p>
    <w:p w:rsidR="003E080D" w:rsidRPr="003E080D" w:rsidRDefault="003E080D" w:rsidP="007A6B4C">
      <w:pPr>
        <w:keepNext/>
        <w:spacing w:before="120" w:after="60" w:line="240" w:lineRule="auto"/>
        <w:jc w:val="center"/>
        <w:rPr>
          <w:rFonts w:ascii="Times New Roman" w:hAnsi="Times New Roman" w:cs="Times New Roman"/>
          <w:sz w:val="16"/>
          <w:szCs w:val="16"/>
        </w:rPr>
      </w:pPr>
      <w:r w:rsidRPr="003E080D">
        <w:rPr>
          <w:rFonts w:ascii="Times New Roman" w:hAnsi="Times New Roman" w:cs="Times New Roman"/>
          <w:b/>
          <w:sz w:val="16"/>
          <w:szCs w:val="16"/>
        </w:rPr>
        <w:t>Tabuľka 1</w:t>
      </w:r>
      <w:r w:rsidR="00FB72B4">
        <w:rPr>
          <w:rFonts w:ascii="Times New Roman" w:hAnsi="Times New Roman" w:cs="Times New Roman"/>
          <w:b/>
          <w:sz w:val="16"/>
          <w:szCs w:val="16"/>
        </w:rPr>
        <w:t>:</w:t>
      </w:r>
      <w:r w:rsidRPr="003E080D">
        <w:rPr>
          <w:rFonts w:ascii="Times New Roman" w:hAnsi="Times New Roman" w:cs="Times New Roman"/>
          <w:sz w:val="16"/>
          <w:szCs w:val="16"/>
        </w:rPr>
        <w:t xml:space="preserve"> </w:t>
      </w:r>
      <w:r w:rsidR="007A6B4C" w:rsidRPr="007A6B4C">
        <w:rPr>
          <w:rFonts w:ascii="Times New Roman" w:hAnsi="Times New Roman" w:cs="Times New Roman"/>
          <w:sz w:val="16"/>
          <w:szCs w:val="16"/>
        </w:rPr>
        <w:t>Zoznam úsekov štátnej správy prenesených na obce a samosprávne kraje, podľa ministerstiev a počty úloh</w:t>
      </w:r>
    </w:p>
    <w:tbl>
      <w:tblPr>
        <w:tblStyle w:val="Mriekatabuky"/>
        <w:tblW w:w="0" w:type="auto"/>
        <w:tblLook w:val="04A0" w:firstRow="1" w:lastRow="0" w:firstColumn="1" w:lastColumn="0" w:noHBand="0" w:noVBand="1"/>
      </w:tblPr>
      <w:tblGrid>
        <w:gridCol w:w="2093"/>
        <w:gridCol w:w="2126"/>
        <w:gridCol w:w="2552"/>
        <w:gridCol w:w="1275"/>
        <w:gridCol w:w="1620"/>
      </w:tblGrid>
      <w:tr w:rsidR="00C76E7A" w:rsidRPr="009766D2" w:rsidTr="00F70B63">
        <w:trPr>
          <w:trHeight w:val="480"/>
        </w:trPr>
        <w:tc>
          <w:tcPr>
            <w:tcW w:w="2093" w:type="dxa"/>
            <w:vMerge w:val="restart"/>
            <w:tcBorders>
              <w:top w:val="single" w:sz="12" w:space="0" w:color="auto"/>
              <w:left w:val="single" w:sz="12" w:space="0" w:color="auto"/>
            </w:tcBorders>
          </w:tcPr>
          <w:p w:rsidR="00C76E7A" w:rsidRPr="00EA6438" w:rsidRDefault="00EA6438" w:rsidP="00C23C89">
            <w:pPr>
              <w:spacing w:before="120" w:after="60" w:line="240" w:lineRule="auto"/>
              <w:rPr>
                <w:rFonts w:ascii="Times New Roman" w:hAnsi="Times New Roman" w:cs="Times New Roman"/>
                <w:sz w:val="16"/>
                <w:szCs w:val="16"/>
              </w:rPr>
            </w:pPr>
            <w:r>
              <w:rPr>
                <w:rFonts w:ascii="Times New Roman" w:hAnsi="Times New Roman" w:cs="Times New Roman"/>
                <w:sz w:val="16"/>
                <w:szCs w:val="16"/>
              </w:rPr>
              <w:t>m</w:t>
            </w:r>
            <w:r w:rsidR="00C76E7A" w:rsidRPr="00EA6438">
              <w:rPr>
                <w:rFonts w:ascii="Times New Roman" w:hAnsi="Times New Roman" w:cs="Times New Roman"/>
                <w:sz w:val="16"/>
                <w:szCs w:val="16"/>
              </w:rPr>
              <w:t>inisterstvá</w:t>
            </w:r>
          </w:p>
        </w:tc>
        <w:tc>
          <w:tcPr>
            <w:tcW w:w="4678" w:type="dxa"/>
            <w:gridSpan w:val="2"/>
            <w:tcBorders>
              <w:top w:val="single" w:sz="12" w:space="0" w:color="auto"/>
              <w:bottom w:val="single" w:sz="4" w:space="0" w:color="auto"/>
            </w:tcBorders>
          </w:tcPr>
          <w:p w:rsidR="00C76E7A" w:rsidRPr="00EA6438" w:rsidRDefault="00EA6438" w:rsidP="00C23C89">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w:t>
            </w:r>
            <w:r w:rsidR="00C76E7A" w:rsidRPr="00EA6438">
              <w:rPr>
                <w:rFonts w:ascii="Times New Roman" w:hAnsi="Times New Roman" w:cs="Times New Roman"/>
                <w:sz w:val="16"/>
                <w:szCs w:val="16"/>
              </w:rPr>
              <w:t>seky štátnej správy prenesené na:</w:t>
            </w:r>
          </w:p>
        </w:tc>
        <w:tc>
          <w:tcPr>
            <w:tcW w:w="2895" w:type="dxa"/>
            <w:gridSpan w:val="2"/>
            <w:tcBorders>
              <w:top w:val="single" w:sz="12" w:space="0" w:color="auto"/>
              <w:right w:val="single" w:sz="12" w:space="0" w:color="auto"/>
            </w:tcBorders>
          </w:tcPr>
          <w:p w:rsidR="00C76E7A" w:rsidRPr="00EA6438" w:rsidRDefault="00EA6438" w:rsidP="00C23C89">
            <w:pPr>
              <w:spacing w:before="120" w:after="60" w:line="240" w:lineRule="auto"/>
              <w:rPr>
                <w:rFonts w:ascii="Times New Roman" w:hAnsi="Times New Roman" w:cs="Times New Roman"/>
                <w:sz w:val="16"/>
                <w:szCs w:val="16"/>
              </w:rPr>
            </w:pPr>
            <w:r>
              <w:rPr>
                <w:rFonts w:ascii="Times New Roman" w:hAnsi="Times New Roman" w:cs="Times New Roman"/>
                <w:sz w:val="16"/>
                <w:szCs w:val="16"/>
              </w:rPr>
              <w:t>p</w:t>
            </w:r>
            <w:r w:rsidR="00C76E7A" w:rsidRPr="00EA6438">
              <w:rPr>
                <w:rFonts w:ascii="Times New Roman" w:hAnsi="Times New Roman" w:cs="Times New Roman"/>
                <w:sz w:val="16"/>
                <w:szCs w:val="16"/>
              </w:rPr>
              <w:t>očet úloh na úseku</w:t>
            </w:r>
          </w:p>
        </w:tc>
      </w:tr>
      <w:tr w:rsidR="00412CB0" w:rsidRPr="009766D2" w:rsidTr="00F70B63">
        <w:trPr>
          <w:trHeight w:val="240"/>
        </w:trPr>
        <w:tc>
          <w:tcPr>
            <w:tcW w:w="2093" w:type="dxa"/>
            <w:vMerge/>
            <w:tcBorders>
              <w:left w:val="single" w:sz="12" w:space="0" w:color="auto"/>
              <w:bottom w:val="single" w:sz="12" w:space="0" w:color="auto"/>
            </w:tcBorders>
          </w:tcPr>
          <w:p w:rsidR="00412CB0" w:rsidRPr="00EA6438" w:rsidRDefault="00412CB0" w:rsidP="00C23C89">
            <w:pPr>
              <w:spacing w:before="120" w:after="60" w:line="240" w:lineRule="auto"/>
              <w:rPr>
                <w:rFonts w:ascii="Times New Roman" w:hAnsi="Times New Roman" w:cs="Times New Roman"/>
                <w:sz w:val="16"/>
                <w:szCs w:val="16"/>
              </w:rPr>
            </w:pPr>
          </w:p>
        </w:tc>
        <w:tc>
          <w:tcPr>
            <w:tcW w:w="2126" w:type="dxa"/>
            <w:tcBorders>
              <w:top w:val="single" w:sz="4" w:space="0" w:color="auto"/>
              <w:bottom w:val="single" w:sz="12" w:space="0" w:color="auto"/>
            </w:tcBorders>
          </w:tcPr>
          <w:p w:rsidR="00412CB0" w:rsidRPr="00EA6438" w:rsidRDefault="00412CB0" w:rsidP="00C23C89">
            <w:pPr>
              <w:spacing w:before="120" w:after="60" w:line="240" w:lineRule="auto"/>
              <w:rPr>
                <w:rFonts w:ascii="Times New Roman" w:hAnsi="Times New Roman" w:cs="Times New Roman"/>
                <w:sz w:val="16"/>
                <w:szCs w:val="16"/>
              </w:rPr>
            </w:pPr>
            <w:r w:rsidRPr="00EA6438">
              <w:rPr>
                <w:rFonts w:ascii="Times New Roman" w:hAnsi="Times New Roman" w:cs="Times New Roman"/>
                <w:sz w:val="16"/>
                <w:szCs w:val="16"/>
              </w:rPr>
              <w:t>obce</w:t>
            </w:r>
          </w:p>
        </w:tc>
        <w:tc>
          <w:tcPr>
            <w:tcW w:w="2552" w:type="dxa"/>
            <w:tcBorders>
              <w:top w:val="single" w:sz="4" w:space="0" w:color="auto"/>
              <w:bottom w:val="single" w:sz="12" w:space="0" w:color="auto"/>
            </w:tcBorders>
          </w:tcPr>
          <w:p w:rsidR="00412CB0" w:rsidRPr="00EA6438" w:rsidRDefault="00412CB0" w:rsidP="00C23C89">
            <w:pPr>
              <w:spacing w:before="120" w:after="60" w:line="240" w:lineRule="auto"/>
              <w:rPr>
                <w:rFonts w:ascii="Times New Roman" w:hAnsi="Times New Roman" w:cs="Times New Roman"/>
                <w:sz w:val="16"/>
                <w:szCs w:val="16"/>
              </w:rPr>
            </w:pPr>
            <w:r w:rsidRPr="00EA6438">
              <w:rPr>
                <w:rFonts w:ascii="Times New Roman" w:hAnsi="Times New Roman" w:cs="Times New Roman"/>
                <w:sz w:val="16"/>
                <w:szCs w:val="16"/>
              </w:rPr>
              <w:t>samosprávne kraje</w:t>
            </w:r>
          </w:p>
        </w:tc>
        <w:tc>
          <w:tcPr>
            <w:tcW w:w="1275" w:type="dxa"/>
            <w:tcBorders>
              <w:bottom w:val="single" w:sz="12" w:space="0" w:color="auto"/>
              <w:right w:val="single" w:sz="4" w:space="0" w:color="auto"/>
            </w:tcBorders>
          </w:tcPr>
          <w:p w:rsidR="00412CB0" w:rsidRPr="00EA6438" w:rsidRDefault="00412CB0" w:rsidP="00C23C89">
            <w:pPr>
              <w:spacing w:before="120" w:after="60" w:line="240" w:lineRule="auto"/>
              <w:rPr>
                <w:rFonts w:ascii="Times New Roman" w:hAnsi="Times New Roman" w:cs="Times New Roman"/>
                <w:sz w:val="16"/>
                <w:szCs w:val="16"/>
              </w:rPr>
            </w:pPr>
            <w:r w:rsidRPr="00EA6438">
              <w:rPr>
                <w:rFonts w:ascii="Times New Roman" w:hAnsi="Times New Roman" w:cs="Times New Roman"/>
                <w:sz w:val="16"/>
                <w:szCs w:val="16"/>
              </w:rPr>
              <w:t>obce</w:t>
            </w:r>
          </w:p>
        </w:tc>
        <w:tc>
          <w:tcPr>
            <w:tcW w:w="1620" w:type="dxa"/>
            <w:tcBorders>
              <w:left w:val="single" w:sz="4" w:space="0" w:color="auto"/>
              <w:bottom w:val="single" w:sz="12" w:space="0" w:color="auto"/>
              <w:right w:val="single" w:sz="12" w:space="0" w:color="auto"/>
            </w:tcBorders>
          </w:tcPr>
          <w:p w:rsidR="00412CB0" w:rsidRPr="00EA6438" w:rsidRDefault="00412CB0" w:rsidP="00C23C89">
            <w:pPr>
              <w:spacing w:before="120" w:after="60" w:line="240" w:lineRule="auto"/>
              <w:rPr>
                <w:rFonts w:ascii="Times New Roman" w:hAnsi="Times New Roman" w:cs="Times New Roman"/>
                <w:sz w:val="16"/>
                <w:szCs w:val="16"/>
              </w:rPr>
            </w:pPr>
            <w:r w:rsidRPr="00EA6438">
              <w:rPr>
                <w:rFonts w:ascii="Times New Roman" w:hAnsi="Times New Roman" w:cs="Times New Roman"/>
                <w:sz w:val="16"/>
                <w:szCs w:val="16"/>
              </w:rPr>
              <w:t>samosprávne kraje</w:t>
            </w:r>
          </w:p>
        </w:tc>
      </w:tr>
      <w:tr w:rsidR="00412CB0" w:rsidRPr="009766D2" w:rsidTr="00F70B63">
        <w:tc>
          <w:tcPr>
            <w:tcW w:w="2093" w:type="dxa"/>
            <w:vMerge w:val="restart"/>
            <w:tcBorders>
              <w:top w:val="single" w:sz="12" w:space="0" w:color="auto"/>
              <w:left w:val="single" w:sz="12" w:space="0" w:color="auto"/>
            </w:tcBorders>
            <w:vAlign w:val="center"/>
          </w:tcPr>
          <w:p w:rsidR="00412CB0" w:rsidRPr="009766D2" w:rsidRDefault="00412CB0" w:rsidP="00491CAA">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dopravy, výstavby a regionálneho rozvoja S</w:t>
            </w:r>
            <w:r w:rsidR="00491CAA">
              <w:rPr>
                <w:rFonts w:ascii="Times New Roman" w:hAnsi="Times New Roman" w:cs="Times New Roman"/>
                <w:sz w:val="16"/>
                <w:szCs w:val="16"/>
              </w:rPr>
              <w:t>lovenskej republiky</w:t>
            </w:r>
          </w:p>
        </w:tc>
        <w:tc>
          <w:tcPr>
            <w:tcW w:w="2126" w:type="dxa"/>
            <w:tcBorders>
              <w:top w:val="single" w:sz="12" w:space="0" w:color="auto"/>
            </w:tcBorders>
            <w:vAlign w:val="center"/>
          </w:tcPr>
          <w:p w:rsidR="00412CB0" w:rsidRPr="009766D2" w:rsidRDefault="00412CB0"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w:t>
            </w:r>
          </w:p>
        </w:tc>
        <w:tc>
          <w:tcPr>
            <w:tcW w:w="2552" w:type="dxa"/>
            <w:tcBorders>
              <w:top w:val="single" w:sz="12" w:space="0" w:color="auto"/>
            </w:tcBorders>
            <w:vAlign w:val="center"/>
          </w:tcPr>
          <w:p w:rsidR="00412CB0" w:rsidRPr="009766D2" w:rsidRDefault="00412CB0" w:rsidP="00A70C2B">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úsek dráh</w:t>
            </w:r>
          </w:p>
        </w:tc>
        <w:tc>
          <w:tcPr>
            <w:tcW w:w="1275" w:type="dxa"/>
            <w:tcBorders>
              <w:top w:val="single" w:sz="12" w:space="0" w:color="auto"/>
              <w:right w:val="single" w:sz="4" w:space="0" w:color="auto"/>
            </w:tcBorders>
            <w:vAlign w:val="center"/>
          </w:tcPr>
          <w:p w:rsidR="00412CB0" w:rsidRPr="009766D2" w:rsidRDefault="009766D2" w:rsidP="002375FE">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c>
          <w:tcPr>
            <w:tcW w:w="1620" w:type="dxa"/>
            <w:tcBorders>
              <w:top w:val="single" w:sz="12" w:space="0" w:color="auto"/>
              <w:left w:val="single" w:sz="4" w:space="0" w:color="auto"/>
              <w:right w:val="single" w:sz="12" w:space="0" w:color="auto"/>
            </w:tcBorders>
            <w:vAlign w:val="center"/>
          </w:tcPr>
          <w:p w:rsidR="00412CB0" w:rsidRPr="009766D2" w:rsidRDefault="00A70C2B" w:rsidP="002375F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8 A/ 3 V</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vAlign w:val="center"/>
          </w:tcPr>
          <w:p w:rsidR="00C562B6" w:rsidRPr="009766D2" w:rsidRDefault="00C562B6" w:rsidP="00DC237E">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w:t>
            </w:r>
            <w:r w:rsidR="00DC237E">
              <w:rPr>
                <w:rFonts w:ascii="Times New Roman" w:hAnsi="Times New Roman" w:cs="Times New Roman"/>
                <w:sz w:val="16"/>
                <w:szCs w:val="16"/>
              </w:rPr>
              <w:t>miestnych a účelových komunikácií</w:t>
            </w:r>
          </w:p>
        </w:tc>
        <w:tc>
          <w:tcPr>
            <w:tcW w:w="2552" w:type="dxa"/>
            <w:vAlign w:val="center"/>
          </w:tcPr>
          <w:p w:rsidR="00C562B6" w:rsidRPr="009766D2" w:rsidRDefault="00C562B6" w:rsidP="007A6E33">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C562B6" w:rsidRDefault="00FB02AF" w:rsidP="00FB02AF">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9</w:t>
            </w:r>
            <w:r w:rsidR="00C562B6">
              <w:rPr>
                <w:rFonts w:ascii="Times New Roman" w:hAnsi="Times New Roman" w:cs="Times New Roman"/>
                <w:sz w:val="16"/>
                <w:szCs w:val="16"/>
              </w:rPr>
              <w:t xml:space="preserve"> A</w:t>
            </w:r>
          </w:p>
        </w:tc>
        <w:tc>
          <w:tcPr>
            <w:tcW w:w="1620" w:type="dxa"/>
            <w:tcBorders>
              <w:left w:val="single" w:sz="4" w:space="0" w:color="auto"/>
              <w:right w:val="single" w:sz="12"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úsek špeciálneho stavebného úradu pre miestne a účelové komunikácie</w:t>
            </w:r>
          </w:p>
        </w:tc>
        <w:tc>
          <w:tcPr>
            <w:tcW w:w="2552" w:type="dxa"/>
            <w:vAlign w:val="center"/>
          </w:tcPr>
          <w:p w:rsidR="00C562B6" w:rsidRPr="009766D2" w:rsidRDefault="00C562B6" w:rsidP="00A70C2B">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6 A</w:t>
            </w:r>
          </w:p>
        </w:tc>
        <w:tc>
          <w:tcPr>
            <w:tcW w:w="1620" w:type="dxa"/>
            <w:tcBorders>
              <w:left w:val="single" w:sz="4" w:space="0" w:color="auto"/>
              <w:right w:val="single" w:sz="12"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úsek stavebného poriadku</w:t>
            </w:r>
          </w:p>
        </w:tc>
        <w:tc>
          <w:tcPr>
            <w:tcW w:w="2552" w:type="dxa"/>
            <w:vAlign w:val="center"/>
          </w:tcPr>
          <w:p w:rsidR="00C562B6" w:rsidRPr="009766D2" w:rsidRDefault="00C562B6" w:rsidP="00A70C2B">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31 A</w:t>
            </w:r>
          </w:p>
        </w:tc>
        <w:tc>
          <w:tcPr>
            <w:tcW w:w="1620" w:type="dxa"/>
            <w:tcBorders>
              <w:left w:val="single" w:sz="4" w:space="0" w:color="auto"/>
              <w:right w:val="single" w:sz="12"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úsek bývania</w:t>
            </w:r>
          </w:p>
        </w:tc>
        <w:tc>
          <w:tcPr>
            <w:tcW w:w="2552" w:type="dxa"/>
            <w:vAlign w:val="center"/>
          </w:tcPr>
          <w:p w:rsidR="00C562B6" w:rsidRPr="009766D2" w:rsidRDefault="00C562B6" w:rsidP="00A70C2B">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 V</w:t>
            </w:r>
          </w:p>
        </w:tc>
        <w:tc>
          <w:tcPr>
            <w:tcW w:w="1620" w:type="dxa"/>
            <w:tcBorders>
              <w:left w:val="single" w:sz="4" w:space="0" w:color="auto"/>
              <w:right w:val="single" w:sz="12"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7A6B4C">
        <w:trPr>
          <w:cantSplit/>
        </w:trPr>
        <w:tc>
          <w:tcPr>
            <w:tcW w:w="2093" w:type="dxa"/>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hospodárstva S</w:t>
            </w:r>
            <w:r>
              <w:rPr>
                <w:rFonts w:ascii="Times New Roman" w:hAnsi="Times New Roman" w:cs="Times New Roman"/>
                <w:sz w:val="16"/>
                <w:szCs w:val="16"/>
              </w:rPr>
              <w:t>lovenskej republiky</w:t>
            </w:r>
          </w:p>
        </w:tc>
        <w:tc>
          <w:tcPr>
            <w:tcW w:w="2126" w:type="dxa"/>
            <w:vAlign w:val="center"/>
          </w:tcPr>
          <w:p w:rsidR="00C562B6" w:rsidRPr="00146AA7" w:rsidRDefault="00C562B6" w:rsidP="001C6984">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hospodárskej mobilizácie</w:t>
            </w:r>
          </w:p>
        </w:tc>
        <w:tc>
          <w:tcPr>
            <w:tcW w:w="2552" w:type="dxa"/>
            <w:vAlign w:val="center"/>
          </w:tcPr>
          <w:p w:rsidR="00C562B6" w:rsidRPr="00146AA7" w:rsidRDefault="00C562B6" w:rsidP="001C6984">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hospodárskej mobilizácie</w:t>
            </w:r>
          </w:p>
        </w:tc>
        <w:tc>
          <w:tcPr>
            <w:tcW w:w="1275" w:type="dxa"/>
            <w:tcBorders>
              <w:right w:val="single" w:sz="4"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 A</w:t>
            </w:r>
          </w:p>
        </w:tc>
        <w:tc>
          <w:tcPr>
            <w:tcW w:w="1620" w:type="dxa"/>
            <w:tcBorders>
              <w:left w:val="single" w:sz="4" w:space="0" w:color="auto"/>
              <w:right w:val="single" w:sz="12" w:space="0" w:color="auto"/>
            </w:tcBorders>
            <w:vAlign w:val="center"/>
          </w:tcPr>
          <w:p w:rsidR="00C562B6" w:rsidRPr="009766D2" w:rsidRDefault="00C562B6" w:rsidP="002375F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3A</w:t>
            </w:r>
          </w:p>
        </w:tc>
      </w:tr>
      <w:tr w:rsidR="00C562B6" w:rsidRPr="009766D2" w:rsidTr="00F70B63">
        <w:tc>
          <w:tcPr>
            <w:tcW w:w="2093" w:type="dxa"/>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školstva, vedy, výskumu a športu S</w:t>
            </w:r>
            <w:r>
              <w:rPr>
                <w:rFonts w:ascii="Times New Roman" w:hAnsi="Times New Roman" w:cs="Times New Roman"/>
                <w:sz w:val="16"/>
                <w:szCs w:val="16"/>
              </w:rPr>
              <w:t>lovenskej republiky</w:t>
            </w:r>
          </w:p>
        </w:tc>
        <w:tc>
          <w:tcPr>
            <w:tcW w:w="2126" w:type="dxa"/>
            <w:vAlign w:val="center"/>
          </w:tcPr>
          <w:p w:rsidR="00C562B6" w:rsidRPr="00146AA7" w:rsidRDefault="00C562B6" w:rsidP="002375FE">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 xml:space="preserve">úsek školstva </w:t>
            </w:r>
            <w:r>
              <w:rPr>
                <w:rFonts w:ascii="Times New Roman" w:hAnsi="Times New Roman" w:cs="Times New Roman"/>
                <w:sz w:val="16"/>
                <w:szCs w:val="16"/>
              </w:rPr>
              <w:t>(</w:t>
            </w:r>
            <w:r w:rsidRPr="00146AA7">
              <w:rPr>
                <w:rFonts w:ascii="Times New Roman" w:hAnsi="Times New Roman" w:cs="Times New Roman"/>
                <w:sz w:val="16"/>
                <w:szCs w:val="16"/>
              </w:rPr>
              <w:t>zriaďovateľská pôsobnosť</w:t>
            </w:r>
            <w:r>
              <w:rPr>
                <w:rFonts w:ascii="Times New Roman" w:hAnsi="Times New Roman" w:cs="Times New Roman"/>
                <w:sz w:val="16"/>
                <w:szCs w:val="16"/>
              </w:rPr>
              <w:t xml:space="preserve"> vo vzťahu k základným školám</w:t>
            </w:r>
            <w:r w:rsidRPr="00146AA7">
              <w:rPr>
                <w:rFonts w:ascii="Times New Roman" w:hAnsi="Times New Roman" w:cs="Times New Roman"/>
                <w:sz w:val="16"/>
                <w:szCs w:val="16"/>
              </w:rPr>
              <w:t>)</w:t>
            </w:r>
          </w:p>
        </w:tc>
        <w:tc>
          <w:tcPr>
            <w:tcW w:w="2552" w:type="dxa"/>
            <w:vAlign w:val="center"/>
          </w:tcPr>
          <w:p w:rsidR="00C562B6" w:rsidRPr="00146AA7" w:rsidRDefault="00C562B6" w:rsidP="002375FE">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školstva (zriaďovateľská pôsobnosť</w:t>
            </w:r>
            <w:r>
              <w:rPr>
                <w:rFonts w:ascii="Times New Roman" w:hAnsi="Times New Roman" w:cs="Times New Roman"/>
                <w:sz w:val="16"/>
                <w:szCs w:val="16"/>
              </w:rPr>
              <w:t xml:space="preserve"> vo vzťahu k stredným školám a strediskám praktického vyučovania</w:t>
            </w:r>
            <w:r w:rsidRPr="00146AA7">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EB12E7">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7 A/ 8 V</w:t>
            </w:r>
          </w:p>
        </w:tc>
        <w:tc>
          <w:tcPr>
            <w:tcW w:w="1620" w:type="dxa"/>
            <w:tcBorders>
              <w:left w:val="single" w:sz="4" w:space="0" w:color="auto"/>
              <w:right w:val="single" w:sz="12" w:space="0" w:color="auto"/>
            </w:tcBorders>
            <w:vAlign w:val="center"/>
          </w:tcPr>
          <w:p w:rsidR="00C562B6" w:rsidRPr="009766D2" w:rsidRDefault="00224A63" w:rsidP="00224A6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w:t>
            </w:r>
            <w:r w:rsidR="00C562B6">
              <w:rPr>
                <w:rFonts w:ascii="Times New Roman" w:hAnsi="Times New Roman" w:cs="Times New Roman"/>
                <w:sz w:val="16"/>
                <w:szCs w:val="16"/>
              </w:rPr>
              <w:t xml:space="preserve"> A/ </w:t>
            </w:r>
            <w:r>
              <w:rPr>
                <w:rFonts w:ascii="Times New Roman" w:hAnsi="Times New Roman" w:cs="Times New Roman"/>
                <w:sz w:val="16"/>
                <w:szCs w:val="16"/>
              </w:rPr>
              <w:t>7</w:t>
            </w:r>
            <w:r w:rsidR="00C562B6">
              <w:rPr>
                <w:rFonts w:ascii="Times New Roman" w:hAnsi="Times New Roman" w:cs="Times New Roman"/>
                <w:sz w:val="16"/>
                <w:szCs w:val="16"/>
              </w:rPr>
              <w:t xml:space="preserve"> V</w:t>
            </w:r>
          </w:p>
        </w:tc>
      </w:tr>
      <w:tr w:rsidR="00C562B6" w:rsidRPr="009766D2" w:rsidTr="00F70B63">
        <w:tc>
          <w:tcPr>
            <w:tcW w:w="2093" w:type="dxa"/>
            <w:vMerge w:val="restart"/>
            <w:tcBorders>
              <w:left w:val="single" w:sz="12" w:space="0" w:color="auto"/>
            </w:tcBorders>
            <w:vAlign w:val="center"/>
          </w:tcPr>
          <w:p w:rsidR="00C562B6" w:rsidRPr="009766D2" w:rsidRDefault="00C562B6" w:rsidP="002375FE">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vnútra S</w:t>
            </w:r>
            <w:r>
              <w:rPr>
                <w:rFonts w:ascii="Times New Roman" w:hAnsi="Times New Roman" w:cs="Times New Roman"/>
                <w:sz w:val="16"/>
                <w:szCs w:val="16"/>
              </w:rPr>
              <w:t>lovenskej republiky</w:t>
            </w:r>
          </w:p>
        </w:tc>
        <w:tc>
          <w:tcPr>
            <w:tcW w:w="2126" w:type="dxa"/>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úsek matrík</w:t>
            </w:r>
          </w:p>
        </w:tc>
        <w:tc>
          <w:tcPr>
            <w:tcW w:w="2552" w:type="dxa"/>
            <w:vAlign w:val="center"/>
          </w:tcPr>
          <w:p w:rsidR="00C562B6" w:rsidRPr="009766D2" w:rsidRDefault="00C562B6" w:rsidP="00C76E7A">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A8056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6 A</w:t>
            </w:r>
          </w:p>
        </w:tc>
        <w:tc>
          <w:tcPr>
            <w:tcW w:w="1620" w:type="dxa"/>
            <w:tcBorders>
              <w:left w:val="single" w:sz="4" w:space="0" w:color="auto"/>
              <w:right w:val="single" w:sz="12"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úsek hlásenia pobytu</w:t>
            </w:r>
            <w:r>
              <w:rPr>
                <w:rFonts w:ascii="Times New Roman" w:hAnsi="Times New Roman" w:cs="Times New Roman"/>
                <w:sz w:val="16"/>
                <w:szCs w:val="16"/>
              </w:rPr>
              <w:t xml:space="preserve"> a registra obyvateľov</w:t>
            </w:r>
          </w:p>
        </w:tc>
        <w:tc>
          <w:tcPr>
            <w:tcW w:w="2552" w:type="dxa"/>
            <w:vAlign w:val="center"/>
          </w:tcPr>
          <w:p w:rsidR="00C562B6" w:rsidRPr="009766D2" w:rsidRDefault="00C562B6" w:rsidP="00C76E7A">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sidRPr="00C0186E">
              <w:rPr>
                <w:rFonts w:ascii="Times New Roman" w:hAnsi="Times New Roman" w:cs="Times New Roman"/>
                <w:sz w:val="16"/>
                <w:szCs w:val="16"/>
              </w:rPr>
              <w:t>10 A</w:t>
            </w:r>
          </w:p>
        </w:tc>
        <w:tc>
          <w:tcPr>
            <w:tcW w:w="1620" w:type="dxa"/>
            <w:tcBorders>
              <w:left w:val="single" w:sz="4" w:space="0" w:color="auto"/>
              <w:right w:val="single" w:sz="12"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vAlign w:val="center"/>
          </w:tcPr>
          <w:p w:rsidR="00C562B6" w:rsidRPr="00146AA7" w:rsidRDefault="00C562B6" w:rsidP="00092E59">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ochrany pred požiarmi</w:t>
            </w:r>
          </w:p>
        </w:tc>
        <w:tc>
          <w:tcPr>
            <w:tcW w:w="2552" w:type="dxa"/>
            <w:vAlign w:val="center"/>
          </w:tcPr>
          <w:p w:rsidR="00C562B6" w:rsidRPr="00146AA7" w:rsidRDefault="00C562B6" w:rsidP="00C76E7A">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A</w:t>
            </w:r>
          </w:p>
        </w:tc>
        <w:tc>
          <w:tcPr>
            <w:tcW w:w="1620" w:type="dxa"/>
            <w:tcBorders>
              <w:left w:val="single" w:sz="4" w:space="0" w:color="auto"/>
              <w:right w:val="single" w:sz="12"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vAlign w:val="center"/>
          </w:tcPr>
          <w:p w:rsidR="00C562B6" w:rsidRPr="00146AA7" w:rsidRDefault="00C562B6" w:rsidP="00B361CE">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volieb a referenda</w:t>
            </w:r>
          </w:p>
        </w:tc>
        <w:tc>
          <w:tcPr>
            <w:tcW w:w="2552" w:type="dxa"/>
            <w:vAlign w:val="center"/>
          </w:tcPr>
          <w:p w:rsidR="00C562B6" w:rsidRPr="00146AA7" w:rsidRDefault="00C562B6" w:rsidP="00C76E7A">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C562B6" w:rsidRPr="009766D2" w:rsidRDefault="00C562B6" w:rsidP="001D057D">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33 A / 17 V</w:t>
            </w:r>
          </w:p>
        </w:tc>
        <w:tc>
          <w:tcPr>
            <w:tcW w:w="1620" w:type="dxa"/>
            <w:tcBorders>
              <w:left w:val="single" w:sz="4" w:space="0" w:color="auto"/>
              <w:right w:val="single" w:sz="12" w:space="0" w:color="auto"/>
            </w:tcBorders>
            <w:vAlign w:val="center"/>
          </w:tcPr>
          <w:p w:rsidR="00C562B6" w:rsidRDefault="00C562B6" w:rsidP="00092E59">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C562B6" w:rsidRPr="009766D2" w:rsidTr="00F70B63">
        <w:trPr>
          <w:trHeight w:val="340"/>
        </w:trPr>
        <w:tc>
          <w:tcPr>
            <w:tcW w:w="2093" w:type="dxa"/>
            <w:vMerge w:val="restart"/>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zdravotníctva S</w:t>
            </w:r>
            <w:r>
              <w:rPr>
                <w:rFonts w:ascii="Times New Roman" w:hAnsi="Times New Roman" w:cs="Times New Roman"/>
                <w:sz w:val="16"/>
                <w:szCs w:val="16"/>
              </w:rPr>
              <w:t>lovenskej republiky</w:t>
            </w:r>
          </w:p>
        </w:tc>
        <w:tc>
          <w:tcPr>
            <w:tcW w:w="2126" w:type="dxa"/>
            <w:vAlign w:val="center"/>
          </w:tcPr>
          <w:p w:rsidR="00C562B6" w:rsidRPr="00146AA7" w:rsidRDefault="00C562B6" w:rsidP="00092E59">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w:t>
            </w:r>
          </w:p>
        </w:tc>
        <w:tc>
          <w:tcPr>
            <w:tcW w:w="2552" w:type="dxa"/>
            <w:vAlign w:val="center"/>
          </w:tcPr>
          <w:p w:rsidR="00C562B6" w:rsidRPr="00146AA7" w:rsidRDefault="00C562B6" w:rsidP="00D15AFB">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zdravotníctva</w:t>
            </w:r>
            <w:r>
              <w:rPr>
                <w:rFonts w:ascii="Times New Roman" w:hAnsi="Times New Roman" w:cs="Times New Roman"/>
                <w:sz w:val="16"/>
                <w:szCs w:val="16"/>
              </w:rPr>
              <w:t xml:space="preserve"> (+ PVŠS pri posudzovaní a kontrole hluku vo vonkajšom prostredí)</w:t>
            </w:r>
          </w:p>
        </w:tc>
        <w:tc>
          <w:tcPr>
            <w:tcW w:w="1275" w:type="dxa"/>
            <w:tcBorders>
              <w:right w:val="single" w:sz="4"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c>
          <w:tcPr>
            <w:tcW w:w="1620" w:type="dxa"/>
            <w:tcBorders>
              <w:left w:val="single" w:sz="4" w:space="0" w:color="auto"/>
              <w:right w:val="single" w:sz="12" w:space="0" w:color="auto"/>
            </w:tcBorders>
            <w:vAlign w:val="center"/>
          </w:tcPr>
          <w:p w:rsidR="00C562B6" w:rsidRPr="009766D2" w:rsidRDefault="00C562B6" w:rsidP="0017620A">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w:t>
            </w:r>
            <w:r w:rsidR="0017620A">
              <w:rPr>
                <w:rFonts w:ascii="Times New Roman" w:hAnsi="Times New Roman" w:cs="Times New Roman"/>
                <w:sz w:val="16"/>
                <w:szCs w:val="16"/>
              </w:rPr>
              <w:t>5</w:t>
            </w:r>
            <w:r>
              <w:rPr>
                <w:rFonts w:ascii="Times New Roman" w:hAnsi="Times New Roman" w:cs="Times New Roman"/>
                <w:sz w:val="16"/>
                <w:szCs w:val="16"/>
              </w:rPr>
              <w:t>A</w:t>
            </w:r>
          </w:p>
        </w:tc>
      </w:tr>
      <w:tr w:rsidR="00C562B6" w:rsidRPr="009766D2" w:rsidTr="00F70B63">
        <w:tc>
          <w:tcPr>
            <w:tcW w:w="2093" w:type="dxa"/>
            <w:vMerge/>
            <w:tcBorders>
              <w:left w:val="single" w:sz="12" w:space="0" w:color="auto"/>
              <w:bottom w:val="single" w:sz="4"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tcBorders>
              <w:bottom w:val="single" w:sz="4" w:space="0" w:color="auto"/>
            </w:tcBorders>
            <w:vAlign w:val="center"/>
          </w:tcPr>
          <w:p w:rsidR="00C562B6" w:rsidRPr="00146AA7" w:rsidRDefault="00C562B6" w:rsidP="00092E59">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w:t>
            </w:r>
          </w:p>
        </w:tc>
        <w:tc>
          <w:tcPr>
            <w:tcW w:w="2552" w:type="dxa"/>
            <w:tcBorders>
              <w:bottom w:val="single" w:sz="4" w:space="0" w:color="auto"/>
            </w:tcBorders>
            <w:vAlign w:val="center"/>
          </w:tcPr>
          <w:p w:rsidR="00C562B6" w:rsidRPr="00146AA7" w:rsidRDefault="00C562B6" w:rsidP="00016FA6">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humánnej farmácie</w:t>
            </w:r>
            <w:r>
              <w:rPr>
                <w:rFonts w:ascii="Times New Roman" w:hAnsi="Times New Roman" w:cs="Times New Roman"/>
                <w:sz w:val="16"/>
                <w:szCs w:val="16"/>
              </w:rPr>
              <w:t xml:space="preserve"> (+ PVŠS na úsek</w:t>
            </w:r>
            <w:r w:rsidR="002F214D">
              <w:rPr>
                <w:rFonts w:ascii="Times New Roman" w:hAnsi="Times New Roman" w:cs="Times New Roman"/>
                <w:sz w:val="16"/>
                <w:szCs w:val="16"/>
              </w:rPr>
              <w:t>u psychotropných a omamných lát</w:t>
            </w:r>
            <w:r w:rsidR="00016FA6">
              <w:rPr>
                <w:rFonts w:ascii="Times New Roman" w:hAnsi="Times New Roman" w:cs="Times New Roman"/>
                <w:sz w:val="16"/>
                <w:szCs w:val="16"/>
              </w:rPr>
              <w:t>ok</w:t>
            </w:r>
            <w:r>
              <w:rPr>
                <w:rFonts w:ascii="Times New Roman" w:hAnsi="Times New Roman" w:cs="Times New Roman"/>
                <w:sz w:val="16"/>
                <w:szCs w:val="16"/>
              </w:rPr>
              <w:t xml:space="preserve">) </w:t>
            </w:r>
          </w:p>
        </w:tc>
        <w:tc>
          <w:tcPr>
            <w:tcW w:w="1275" w:type="dxa"/>
            <w:tcBorders>
              <w:bottom w:val="single" w:sz="4" w:space="0" w:color="auto"/>
              <w:right w:val="single" w:sz="4"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c>
          <w:tcPr>
            <w:tcW w:w="1620" w:type="dxa"/>
            <w:tcBorders>
              <w:left w:val="single" w:sz="4" w:space="0" w:color="auto"/>
              <w:bottom w:val="single" w:sz="4" w:space="0" w:color="auto"/>
              <w:right w:val="single" w:sz="12" w:space="0" w:color="auto"/>
            </w:tcBorders>
            <w:vAlign w:val="center"/>
          </w:tcPr>
          <w:p w:rsidR="00C562B6" w:rsidRPr="009766D2" w:rsidRDefault="00C562B6" w:rsidP="002A122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37 A</w:t>
            </w:r>
          </w:p>
        </w:tc>
      </w:tr>
      <w:tr w:rsidR="00C562B6" w:rsidRPr="009766D2" w:rsidTr="00F70B63">
        <w:tc>
          <w:tcPr>
            <w:tcW w:w="2093" w:type="dxa"/>
            <w:vMerge w:val="restart"/>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životného prostredia S</w:t>
            </w:r>
            <w:r>
              <w:rPr>
                <w:rFonts w:ascii="Times New Roman" w:hAnsi="Times New Roman" w:cs="Times New Roman"/>
                <w:sz w:val="16"/>
                <w:szCs w:val="16"/>
              </w:rPr>
              <w:t>lovenskej republiky</w:t>
            </w:r>
          </w:p>
        </w:tc>
        <w:tc>
          <w:tcPr>
            <w:tcW w:w="2126" w:type="dxa"/>
            <w:tcBorders>
              <w:bottom w:val="single" w:sz="4" w:space="0" w:color="auto"/>
            </w:tcBorders>
            <w:vAlign w:val="center"/>
          </w:tcPr>
          <w:p w:rsidR="00C562B6" w:rsidRPr="00146AA7" w:rsidRDefault="00C562B6" w:rsidP="00817F53">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ochrany ovzdušia</w:t>
            </w:r>
          </w:p>
        </w:tc>
        <w:tc>
          <w:tcPr>
            <w:tcW w:w="2552" w:type="dxa"/>
            <w:tcBorders>
              <w:bottom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10 A</w:t>
            </w:r>
          </w:p>
        </w:tc>
        <w:tc>
          <w:tcPr>
            <w:tcW w:w="1620" w:type="dxa"/>
            <w:tcBorders>
              <w:left w:val="single" w:sz="4" w:space="0" w:color="auto"/>
              <w:bottom w:val="single" w:sz="4" w:space="0" w:color="auto"/>
              <w:right w:val="single" w:sz="12"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tcBorders>
              <w:bottom w:val="single" w:sz="4" w:space="0" w:color="auto"/>
            </w:tcBorders>
            <w:vAlign w:val="center"/>
          </w:tcPr>
          <w:p w:rsidR="00C562B6" w:rsidRPr="00146AA7" w:rsidRDefault="002A1155" w:rsidP="00817F53">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ochrany pred </w:t>
            </w:r>
            <w:r w:rsidR="00C562B6" w:rsidRPr="00146AA7">
              <w:rPr>
                <w:rFonts w:ascii="Times New Roman" w:hAnsi="Times New Roman" w:cs="Times New Roman"/>
                <w:sz w:val="16"/>
                <w:szCs w:val="16"/>
              </w:rPr>
              <w:t>povodňami</w:t>
            </w:r>
          </w:p>
        </w:tc>
        <w:tc>
          <w:tcPr>
            <w:tcW w:w="2552" w:type="dxa"/>
            <w:tcBorders>
              <w:bottom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28 A</w:t>
            </w:r>
          </w:p>
        </w:tc>
        <w:tc>
          <w:tcPr>
            <w:tcW w:w="1620" w:type="dxa"/>
            <w:tcBorders>
              <w:left w:val="single" w:sz="4" w:space="0" w:color="auto"/>
              <w:bottom w:val="single" w:sz="4" w:space="0" w:color="auto"/>
              <w:right w:val="single" w:sz="12"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tcBorders>
              <w:bottom w:val="single" w:sz="4" w:space="0" w:color="auto"/>
            </w:tcBorders>
            <w:vAlign w:val="center"/>
          </w:tcPr>
          <w:p w:rsidR="00C562B6" w:rsidRPr="00146AA7" w:rsidRDefault="00C562B6" w:rsidP="00817F53">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ochrany krajiny a prírody</w:t>
            </w:r>
          </w:p>
        </w:tc>
        <w:tc>
          <w:tcPr>
            <w:tcW w:w="2552" w:type="dxa"/>
            <w:tcBorders>
              <w:bottom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13 A</w:t>
            </w:r>
          </w:p>
        </w:tc>
        <w:tc>
          <w:tcPr>
            <w:tcW w:w="1620" w:type="dxa"/>
            <w:tcBorders>
              <w:left w:val="single" w:sz="4" w:space="0" w:color="auto"/>
              <w:bottom w:val="single" w:sz="4" w:space="0" w:color="auto"/>
              <w:right w:val="single" w:sz="12"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vMerge/>
            <w:tcBorders>
              <w:left w:val="single" w:sz="12" w:space="0" w:color="auto"/>
            </w:tcBorders>
            <w:vAlign w:val="center"/>
          </w:tcPr>
          <w:p w:rsidR="00C562B6" w:rsidRPr="009766D2" w:rsidRDefault="00C562B6" w:rsidP="00092E59">
            <w:pPr>
              <w:spacing w:before="120" w:after="60" w:line="240" w:lineRule="auto"/>
              <w:rPr>
                <w:rFonts w:ascii="Times New Roman" w:hAnsi="Times New Roman" w:cs="Times New Roman"/>
                <w:sz w:val="16"/>
                <w:szCs w:val="16"/>
              </w:rPr>
            </w:pPr>
          </w:p>
        </w:tc>
        <w:tc>
          <w:tcPr>
            <w:tcW w:w="2126" w:type="dxa"/>
            <w:tcBorders>
              <w:bottom w:val="single" w:sz="4" w:space="0" w:color="auto"/>
            </w:tcBorders>
            <w:vAlign w:val="center"/>
          </w:tcPr>
          <w:p w:rsidR="00C562B6" w:rsidRPr="00146AA7" w:rsidRDefault="00C562B6" w:rsidP="00817F53">
            <w:pPr>
              <w:spacing w:before="120" w:after="60" w:line="240" w:lineRule="auto"/>
              <w:rPr>
                <w:rFonts w:ascii="Times New Roman" w:hAnsi="Times New Roman" w:cs="Times New Roman"/>
                <w:sz w:val="16"/>
                <w:szCs w:val="16"/>
              </w:rPr>
            </w:pPr>
            <w:r w:rsidRPr="00146AA7">
              <w:rPr>
                <w:rFonts w:ascii="Times New Roman" w:hAnsi="Times New Roman" w:cs="Times New Roman"/>
                <w:sz w:val="16"/>
                <w:szCs w:val="16"/>
              </w:rPr>
              <w:t>úsek št. vodnej správy</w:t>
            </w:r>
          </w:p>
        </w:tc>
        <w:tc>
          <w:tcPr>
            <w:tcW w:w="2552" w:type="dxa"/>
            <w:tcBorders>
              <w:bottom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8 A</w:t>
            </w:r>
          </w:p>
        </w:tc>
        <w:tc>
          <w:tcPr>
            <w:tcW w:w="1620" w:type="dxa"/>
            <w:tcBorders>
              <w:left w:val="single" w:sz="4" w:space="0" w:color="auto"/>
              <w:bottom w:val="single" w:sz="4" w:space="0" w:color="auto"/>
              <w:right w:val="single" w:sz="12" w:space="0" w:color="auto"/>
            </w:tcBorders>
            <w:vAlign w:val="center"/>
          </w:tcPr>
          <w:p w:rsidR="00C562B6" w:rsidRPr="009766D2" w:rsidRDefault="00C562B6" w:rsidP="00817F53">
            <w:pPr>
              <w:spacing w:before="120" w:after="60" w:line="240" w:lineRule="auto"/>
              <w:jc w:val="right"/>
              <w:rPr>
                <w:rFonts w:ascii="Times New Roman" w:hAnsi="Times New Roman" w:cs="Times New Roman"/>
                <w:sz w:val="16"/>
                <w:szCs w:val="16"/>
              </w:rPr>
            </w:pPr>
            <w:r w:rsidRPr="009766D2">
              <w:rPr>
                <w:rFonts w:ascii="Times New Roman" w:hAnsi="Times New Roman" w:cs="Times New Roman"/>
                <w:sz w:val="16"/>
                <w:szCs w:val="16"/>
              </w:rPr>
              <w:t>-</w:t>
            </w:r>
          </w:p>
        </w:tc>
      </w:tr>
      <w:tr w:rsidR="00C562B6" w:rsidRPr="009766D2" w:rsidTr="00F70B63">
        <w:tc>
          <w:tcPr>
            <w:tcW w:w="2093" w:type="dxa"/>
            <w:tcBorders>
              <w:top w:val="single" w:sz="12" w:space="0" w:color="auto"/>
              <w:left w:val="single" w:sz="12" w:space="0" w:color="auto"/>
              <w:bottom w:val="single" w:sz="12" w:space="0" w:color="auto"/>
            </w:tcBorders>
          </w:tcPr>
          <w:p w:rsidR="00C562B6" w:rsidRPr="009766D2" w:rsidRDefault="00EA6438" w:rsidP="00C23C89">
            <w:pPr>
              <w:spacing w:before="120" w:after="60" w:line="240" w:lineRule="auto"/>
              <w:rPr>
                <w:rFonts w:ascii="Times New Roman" w:hAnsi="Times New Roman" w:cs="Times New Roman"/>
                <w:b/>
                <w:sz w:val="16"/>
                <w:szCs w:val="16"/>
              </w:rPr>
            </w:pPr>
            <w:r>
              <w:rPr>
                <w:rFonts w:ascii="Times New Roman" w:hAnsi="Times New Roman" w:cs="Times New Roman"/>
                <w:b/>
                <w:sz w:val="16"/>
                <w:szCs w:val="16"/>
              </w:rPr>
              <w:t>s</w:t>
            </w:r>
            <w:r w:rsidR="00C562B6" w:rsidRPr="009766D2">
              <w:rPr>
                <w:rFonts w:ascii="Times New Roman" w:hAnsi="Times New Roman" w:cs="Times New Roman"/>
                <w:b/>
                <w:sz w:val="16"/>
                <w:szCs w:val="16"/>
              </w:rPr>
              <w:t>polu:</w:t>
            </w:r>
          </w:p>
        </w:tc>
        <w:tc>
          <w:tcPr>
            <w:tcW w:w="2126" w:type="dxa"/>
            <w:tcBorders>
              <w:top w:val="single" w:sz="12" w:space="0" w:color="auto"/>
              <w:bottom w:val="single" w:sz="12" w:space="0" w:color="auto"/>
            </w:tcBorders>
            <w:vAlign w:val="center"/>
          </w:tcPr>
          <w:p w:rsidR="00C562B6" w:rsidRPr="009766D2" w:rsidRDefault="00E731E2" w:rsidP="00092E59">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14</w:t>
            </w:r>
          </w:p>
        </w:tc>
        <w:tc>
          <w:tcPr>
            <w:tcW w:w="2552" w:type="dxa"/>
            <w:tcBorders>
              <w:top w:val="single" w:sz="12" w:space="0" w:color="auto"/>
              <w:bottom w:val="single" w:sz="12" w:space="0" w:color="auto"/>
            </w:tcBorders>
            <w:vAlign w:val="center"/>
          </w:tcPr>
          <w:p w:rsidR="00C562B6" w:rsidRPr="009766D2" w:rsidRDefault="00C562B6" w:rsidP="00092E59">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w:t>
            </w:r>
          </w:p>
        </w:tc>
        <w:tc>
          <w:tcPr>
            <w:tcW w:w="1275" w:type="dxa"/>
            <w:tcBorders>
              <w:top w:val="single" w:sz="12" w:space="0" w:color="auto"/>
              <w:bottom w:val="single" w:sz="12" w:space="0" w:color="auto"/>
              <w:right w:val="single" w:sz="4" w:space="0" w:color="auto"/>
            </w:tcBorders>
            <w:vAlign w:val="center"/>
          </w:tcPr>
          <w:p w:rsidR="00C562B6" w:rsidRPr="009766D2" w:rsidRDefault="00C562B6" w:rsidP="00F70B6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16</w:t>
            </w:r>
            <w:r w:rsidR="00F70B63">
              <w:rPr>
                <w:rFonts w:ascii="Times New Roman" w:hAnsi="Times New Roman" w:cs="Times New Roman"/>
                <w:sz w:val="16"/>
                <w:szCs w:val="16"/>
              </w:rPr>
              <w:t>8</w:t>
            </w:r>
            <w:r w:rsidR="003E583B">
              <w:rPr>
                <w:rFonts w:ascii="Times New Roman" w:hAnsi="Times New Roman" w:cs="Times New Roman"/>
                <w:sz w:val="16"/>
                <w:szCs w:val="16"/>
              </w:rPr>
              <w:t xml:space="preserve"> A / 30</w:t>
            </w:r>
            <w:r>
              <w:rPr>
                <w:rFonts w:ascii="Times New Roman" w:hAnsi="Times New Roman" w:cs="Times New Roman"/>
                <w:sz w:val="16"/>
                <w:szCs w:val="16"/>
              </w:rPr>
              <w:t xml:space="preserve"> V</w:t>
            </w:r>
          </w:p>
        </w:tc>
        <w:tc>
          <w:tcPr>
            <w:tcW w:w="1620" w:type="dxa"/>
            <w:tcBorders>
              <w:top w:val="single" w:sz="12" w:space="0" w:color="auto"/>
              <w:left w:val="single" w:sz="4" w:space="0" w:color="auto"/>
              <w:bottom w:val="single" w:sz="12" w:space="0" w:color="auto"/>
              <w:right w:val="single" w:sz="12" w:space="0" w:color="auto"/>
            </w:tcBorders>
            <w:vAlign w:val="center"/>
          </w:tcPr>
          <w:p w:rsidR="00C562B6" w:rsidRPr="009766D2" w:rsidRDefault="00C562B6" w:rsidP="00224A6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8</w:t>
            </w:r>
            <w:r w:rsidR="004141C2">
              <w:rPr>
                <w:rFonts w:ascii="Times New Roman" w:hAnsi="Times New Roman" w:cs="Times New Roman"/>
                <w:sz w:val="16"/>
                <w:szCs w:val="16"/>
              </w:rPr>
              <w:t>6</w:t>
            </w:r>
            <w:r>
              <w:rPr>
                <w:rFonts w:ascii="Times New Roman" w:hAnsi="Times New Roman" w:cs="Times New Roman"/>
                <w:sz w:val="16"/>
                <w:szCs w:val="16"/>
              </w:rPr>
              <w:t xml:space="preserve"> A/1</w:t>
            </w:r>
            <w:r w:rsidR="00224A63">
              <w:rPr>
                <w:rFonts w:ascii="Times New Roman" w:hAnsi="Times New Roman" w:cs="Times New Roman"/>
                <w:sz w:val="16"/>
                <w:szCs w:val="16"/>
              </w:rPr>
              <w:t>0</w:t>
            </w:r>
            <w:r>
              <w:rPr>
                <w:rFonts w:ascii="Times New Roman" w:hAnsi="Times New Roman" w:cs="Times New Roman"/>
                <w:sz w:val="16"/>
                <w:szCs w:val="16"/>
              </w:rPr>
              <w:t xml:space="preserve"> V</w:t>
            </w:r>
          </w:p>
        </w:tc>
      </w:tr>
    </w:tbl>
    <w:p w:rsidR="00B00EC9" w:rsidRDefault="00B00EC9" w:rsidP="008A2DF7">
      <w:pPr>
        <w:spacing w:before="120" w:after="0" w:line="240" w:lineRule="auto"/>
        <w:ind w:firstLine="709"/>
        <w:jc w:val="both"/>
        <w:rPr>
          <w:rFonts w:ascii="Times New Roman" w:hAnsi="Times New Roman" w:cs="Times New Roman"/>
        </w:rPr>
      </w:pPr>
      <w:r>
        <w:rPr>
          <w:rFonts w:ascii="Times New Roman" w:hAnsi="Times New Roman" w:cs="Times New Roman"/>
        </w:rPr>
        <w:t>Najviac úloh</w:t>
      </w:r>
      <w:r w:rsidR="001B7283">
        <w:rPr>
          <w:rFonts w:ascii="Times New Roman" w:hAnsi="Times New Roman" w:cs="Times New Roman"/>
        </w:rPr>
        <w:t xml:space="preserve"> z hľadiska kvantity </w:t>
      </w:r>
      <w:r>
        <w:rPr>
          <w:rFonts w:ascii="Times New Roman" w:hAnsi="Times New Roman" w:cs="Times New Roman"/>
        </w:rPr>
        <w:t xml:space="preserve">majú obce na úseku </w:t>
      </w:r>
      <w:r w:rsidR="00EB12E7">
        <w:rPr>
          <w:rFonts w:ascii="Times New Roman" w:hAnsi="Times New Roman" w:cs="Times New Roman"/>
        </w:rPr>
        <w:t>volieb a</w:t>
      </w:r>
      <w:r w:rsidR="008A2DF7">
        <w:rPr>
          <w:rFonts w:ascii="Times New Roman" w:hAnsi="Times New Roman" w:cs="Times New Roman"/>
        </w:rPr>
        <w:t> </w:t>
      </w:r>
      <w:r w:rsidR="00EB12E7">
        <w:rPr>
          <w:rFonts w:ascii="Times New Roman" w:hAnsi="Times New Roman" w:cs="Times New Roman"/>
        </w:rPr>
        <w:t>referenda</w:t>
      </w:r>
      <w:r w:rsidR="008A2DF7">
        <w:rPr>
          <w:rFonts w:ascii="Times New Roman" w:hAnsi="Times New Roman" w:cs="Times New Roman"/>
        </w:rPr>
        <w:t>, s</w:t>
      </w:r>
      <w:r w:rsidR="00EB12E7">
        <w:rPr>
          <w:rFonts w:ascii="Times New Roman" w:hAnsi="Times New Roman" w:cs="Times New Roman"/>
        </w:rPr>
        <w:t>amosprávne kraje na úseku humánnej farmácie. Najmenej úloh</w:t>
      </w:r>
      <w:r w:rsidR="001B7283">
        <w:rPr>
          <w:rFonts w:ascii="Times New Roman" w:hAnsi="Times New Roman" w:cs="Times New Roman"/>
        </w:rPr>
        <w:t xml:space="preserve"> z hľadiska kvantity</w:t>
      </w:r>
      <w:r w:rsidR="00EB12E7">
        <w:rPr>
          <w:rFonts w:ascii="Times New Roman" w:hAnsi="Times New Roman" w:cs="Times New Roman"/>
        </w:rPr>
        <w:t xml:space="preserve"> majú obce a samosprávne kraje na úseku hospodárskej mobilizácie.</w:t>
      </w:r>
      <w:r w:rsidR="001B7283">
        <w:rPr>
          <w:rFonts w:ascii="Times New Roman" w:hAnsi="Times New Roman" w:cs="Times New Roman"/>
        </w:rPr>
        <w:t xml:space="preserve"> Kvantitatívny výpočet jednotlivých úloh však nie je odrazom časovej, </w:t>
      </w:r>
      <w:r w:rsidR="002B61E2">
        <w:rPr>
          <w:rFonts w:ascii="Times New Roman" w:hAnsi="Times New Roman" w:cs="Times New Roman"/>
        </w:rPr>
        <w:t>odbornej a vecnej</w:t>
      </w:r>
      <w:r w:rsidR="001B7283">
        <w:rPr>
          <w:rFonts w:ascii="Times New Roman" w:hAnsi="Times New Roman" w:cs="Times New Roman"/>
        </w:rPr>
        <w:t xml:space="preserve"> náročnosti ich výkonu, preto vzájomné porovnávanie jednotlivých ministerstiev len na základe kvantitatívnych ukazovateľov </w:t>
      </w:r>
      <w:r w:rsidR="002B61E2">
        <w:rPr>
          <w:rFonts w:ascii="Times New Roman" w:hAnsi="Times New Roman" w:cs="Times New Roman"/>
        </w:rPr>
        <w:t>nie je vhodné a takéto porovnávanie nemá výpovednú hodnotu</w:t>
      </w:r>
      <w:r w:rsidR="001B7283">
        <w:rPr>
          <w:rFonts w:ascii="Times New Roman" w:hAnsi="Times New Roman" w:cs="Times New Roman"/>
        </w:rPr>
        <w:t>.</w:t>
      </w:r>
    </w:p>
    <w:p w:rsidR="00EB12E7" w:rsidRPr="001B7283" w:rsidRDefault="00EB12E7" w:rsidP="0085276B">
      <w:pPr>
        <w:spacing w:before="120" w:after="0" w:line="240" w:lineRule="auto"/>
        <w:ind w:firstLine="709"/>
        <w:jc w:val="both"/>
        <w:rPr>
          <w:rFonts w:ascii="Times New Roman" w:hAnsi="Times New Roman" w:cs="Times New Roman"/>
          <w:color w:val="FF0000"/>
        </w:rPr>
      </w:pPr>
      <w:r>
        <w:rPr>
          <w:rFonts w:ascii="Times New Roman" w:hAnsi="Times New Roman" w:cs="Times New Roman"/>
        </w:rPr>
        <w:t>Celkovo prevládajú administratívne kompetencie nad ve</w:t>
      </w:r>
      <w:r w:rsidR="009B43B8">
        <w:rPr>
          <w:rFonts w:ascii="Times New Roman" w:hAnsi="Times New Roman" w:cs="Times New Roman"/>
        </w:rPr>
        <w:t>rej</w:t>
      </w:r>
      <w:r>
        <w:rPr>
          <w:rFonts w:ascii="Times New Roman" w:hAnsi="Times New Roman" w:cs="Times New Roman"/>
        </w:rPr>
        <w:t>nými službami vecného charakteru</w:t>
      </w:r>
      <w:r w:rsidR="009B43B8">
        <w:rPr>
          <w:rFonts w:ascii="Times New Roman" w:hAnsi="Times New Roman" w:cs="Times New Roman"/>
        </w:rPr>
        <w:t xml:space="preserve"> (ďalej „vecné služby“)</w:t>
      </w:r>
      <w:r>
        <w:rPr>
          <w:rFonts w:ascii="Times New Roman" w:hAnsi="Times New Roman" w:cs="Times New Roman"/>
        </w:rPr>
        <w:t xml:space="preserve">. Výlučne vecné služby sú len na úseku bývania. Vecné služby popri </w:t>
      </w:r>
      <w:r>
        <w:rPr>
          <w:rFonts w:ascii="Times New Roman" w:hAnsi="Times New Roman" w:cs="Times New Roman"/>
        </w:rPr>
        <w:lastRenderedPageBreak/>
        <w:t>administratívnych kompetenciách sú na úsekoch dráh, miestnych a účelových komunikácií,</w:t>
      </w:r>
      <w:r w:rsidR="00A42FE4">
        <w:rPr>
          <w:rFonts w:ascii="Times New Roman" w:hAnsi="Times New Roman" w:cs="Times New Roman"/>
        </w:rPr>
        <w:t xml:space="preserve"> školstva, volieb a referenda. </w:t>
      </w:r>
      <w:r w:rsidR="00A42FE4" w:rsidRPr="007F59E7">
        <w:rPr>
          <w:rFonts w:ascii="Times New Roman" w:hAnsi="Times New Roman" w:cs="Times New Roman"/>
        </w:rPr>
        <w:t>Na ostatných úsekoch ide výlučne o administratívne kompetencie.</w:t>
      </w:r>
    </w:p>
    <w:p w:rsidR="00346F37" w:rsidRPr="00346F37" w:rsidRDefault="00346F37" w:rsidP="00E62A70">
      <w:pPr>
        <w:pStyle w:val="tla3"/>
      </w:pPr>
      <w:bookmarkStart w:id="9" w:name="_Toc373740546"/>
      <w:r w:rsidRPr="00346F37">
        <w:t>Kvantifikácia výkonu prenesených pôsobností</w:t>
      </w:r>
      <w:bookmarkEnd w:id="9"/>
    </w:p>
    <w:p w:rsidR="00DE1BD8" w:rsidRDefault="00AF56A6" w:rsidP="0085276B">
      <w:pPr>
        <w:spacing w:before="120" w:after="0" w:line="240" w:lineRule="auto"/>
        <w:ind w:firstLine="709"/>
        <w:jc w:val="both"/>
        <w:rPr>
          <w:rFonts w:ascii="Times New Roman" w:hAnsi="Times New Roman" w:cs="Times New Roman"/>
        </w:rPr>
      </w:pPr>
      <w:r>
        <w:rPr>
          <w:rFonts w:ascii="Times New Roman" w:hAnsi="Times New Roman" w:cs="Times New Roman"/>
        </w:rPr>
        <w:t>K</w:t>
      </w:r>
      <w:r w:rsidR="005E7611" w:rsidRPr="00C07289">
        <w:rPr>
          <w:rFonts w:ascii="Times New Roman" w:hAnsi="Times New Roman" w:cs="Times New Roman"/>
        </w:rPr>
        <w:t xml:space="preserve"> jednotlivým úsekom štátnej správy, resp. k úlohám v rámci úsekov (ak </w:t>
      </w:r>
      <w:r>
        <w:rPr>
          <w:rFonts w:ascii="Times New Roman" w:hAnsi="Times New Roman" w:cs="Times New Roman"/>
        </w:rPr>
        <w:t>boli</w:t>
      </w:r>
      <w:r w:rsidR="005E7611" w:rsidRPr="00C07289">
        <w:rPr>
          <w:rFonts w:ascii="Times New Roman" w:hAnsi="Times New Roman" w:cs="Times New Roman"/>
        </w:rPr>
        <w:t xml:space="preserve"> kvantifikovateľné)</w:t>
      </w:r>
      <w:r w:rsidR="00372578">
        <w:rPr>
          <w:rFonts w:ascii="Times New Roman" w:hAnsi="Times New Roman" w:cs="Times New Roman"/>
        </w:rPr>
        <w:t>,</w:t>
      </w:r>
      <w:r w:rsidR="005E7611" w:rsidRPr="00C07289">
        <w:rPr>
          <w:rFonts w:ascii="Times New Roman" w:hAnsi="Times New Roman" w:cs="Times New Roman"/>
        </w:rPr>
        <w:t xml:space="preserve"> </w:t>
      </w:r>
      <w:r>
        <w:rPr>
          <w:rFonts w:ascii="Times New Roman" w:hAnsi="Times New Roman" w:cs="Times New Roman"/>
        </w:rPr>
        <w:t>ministerstvá zozbierali kvantitatívne údaje. Tie sú uvedené v</w:t>
      </w:r>
      <w:r w:rsidR="00016FA6">
        <w:rPr>
          <w:rFonts w:ascii="Times New Roman" w:hAnsi="Times New Roman" w:cs="Times New Roman"/>
        </w:rPr>
        <w:t> príloh</w:t>
      </w:r>
      <w:r w:rsidR="008B6410">
        <w:rPr>
          <w:rFonts w:ascii="Times New Roman" w:hAnsi="Times New Roman" w:cs="Times New Roman"/>
        </w:rPr>
        <w:t>ách</w:t>
      </w:r>
      <w:r w:rsidR="00016FA6">
        <w:rPr>
          <w:rFonts w:ascii="Times New Roman" w:hAnsi="Times New Roman" w:cs="Times New Roman"/>
        </w:rPr>
        <w:t xml:space="preserve"> </w:t>
      </w:r>
      <w:r w:rsidR="008B6410">
        <w:rPr>
          <w:rFonts w:ascii="Times New Roman" w:hAnsi="Times New Roman" w:cs="Times New Roman"/>
        </w:rPr>
        <w:t>1b</w:t>
      </w:r>
      <w:r w:rsidR="00016FA6">
        <w:rPr>
          <w:rFonts w:ascii="Times New Roman" w:hAnsi="Times New Roman" w:cs="Times New Roman"/>
        </w:rPr>
        <w:t xml:space="preserve"> </w:t>
      </w:r>
      <w:r w:rsidR="008610CB">
        <w:rPr>
          <w:rFonts w:ascii="Times New Roman" w:hAnsi="Times New Roman" w:cs="Times New Roman"/>
        </w:rPr>
        <w:t>a 2b</w:t>
      </w:r>
      <w:r>
        <w:rPr>
          <w:rFonts w:ascii="Times New Roman" w:hAnsi="Times New Roman" w:cs="Times New Roman"/>
        </w:rPr>
        <w:t>.</w:t>
      </w:r>
      <w:r w:rsidR="008610CB">
        <w:rPr>
          <w:rFonts w:ascii="Times New Roman" w:hAnsi="Times New Roman" w:cs="Times New Roman"/>
        </w:rPr>
        <w:t xml:space="preserve"> (</w:t>
      </w:r>
      <w:r w:rsidR="00016FA6">
        <w:rPr>
          <w:rFonts w:ascii="Times New Roman" w:hAnsi="Times New Roman" w:cs="Times New Roman"/>
        </w:rPr>
        <w:t>O </w:t>
      </w:r>
      <w:r w:rsidR="00372578">
        <w:rPr>
          <w:rFonts w:ascii="Times New Roman" w:hAnsi="Times New Roman" w:cs="Times New Roman"/>
        </w:rPr>
        <w:t>tom</w:t>
      </w:r>
      <w:r w:rsidR="00372578" w:rsidRPr="00C07289">
        <w:rPr>
          <w:rFonts w:ascii="Times New Roman" w:hAnsi="Times New Roman" w:cs="Times New Roman"/>
        </w:rPr>
        <w:t xml:space="preserve">, či sa údaje budú zbierať na úrovní úsekov štátnej správy alebo </w:t>
      </w:r>
      <w:r w:rsidR="00372578">
        <w:rPr>
          <w:rFonts w:ascii="Times New Roman" w:hAnsi="Times New Roman" w:cs="Times New Roman"/>
        </w:rPr>
        <w:t xml:space="preserve">aj na úrovni </w:t>
      </w:r>
      <w:r w:rsidR="00372578" w:rsidRPr="00C07289">
        <w:rPr>
          <w:rFonts w:ascii="Times New Roman" w:hAnsi="Times New Roman" w:cs="Times New Roman"/>
        </w:rPr>
        <w:t xml:space="preserve">úloh v rámci úsekov, </w:t>
      </w:r>
      <w:r w:rsidR="00372578">
        <w:rPr>
          <w:rFonts w:ascii="Times New Roman" w:hAnsi="Times New Roman" w:cs="Times New Roman"/>
        </w:rPr>
        <w:t xml:space="preserve">rozhodovali ministerstvá samostatne </w:t>
      </w:r>
      <w:r w:rsidR="00372578" w:rsidRPr="00C07289">
        <w:rPr>
          <w:rFonts w:ascii="Times New Roman" w:hAnsi="Times New Roman" w:cs="Times New Roman"/>
        </w:rPr>
        <w:t>s cieľom zabezpečiť dostatočnú výpovednú hodnotu a porovnateľnosť.</w:t>
      </w:r>
      <w:r w:rsidR="008610CB">
        <w:rPr>
          <w:rFonts w:ascii="Times New Roman" w:hAnsi="Times New Roman" w:cs="Times New Roman"/>
        </w:rPr>
        <w:t>)</w:t>
      </w:r>
      <w:r w:rsidR="0016445E">
        <w:rPr>
          <w:rFonts w:ascii="Times New Roman" w:hAnsi="Times New Roman" w:cs="Times New Roman"/>
        </w:rPr>
        <w:t xml:space="preserve"> </w:t>
      </w:r>
      <w:r w:rsidR="00DE1BD8">
        <w:rPr>
          <w:rFonts w:ascii="Times New Roman" w:hAnsi="Times New Roman" w:cs="Times New Roman"/>
        </w:rPr>
        <w:t>Kvantitatívne údaje boli jedným z podkladov pre zhodnotenie kvality výkonu pôsobností.</w:t>
      </w:r>
    </w:p>
    <w:p w:rsidR="00BF2064" w:rsidRPr="00EA199E" w:rsidRDefault="00BF2064" w:rsidP="00BC4DB9">
      <w:pPr>
        <w:spacing w:before="120" w:after="60" w:line="240" w:lineRule="auto"/>
        <w:ind w:firstLine="851"/>
        <w:jc w:val="both"/>
        <w:rPr>
          <w:rFonts w:ascii="Times New Roman" w:hAnsi="Times New Roman" w:cs="Times New Roman"/>
          <w:i/>
          <w:u w:val="single"/>
        </w:rPr>
      </w:pPr>
      <w:r w:rsidRPr="00EA199E">
        <w:rPr>
          <w:rFonts w:ascii="Times New Roman" w:hAnsi="Times New Roman" w:cs="Times New Roman"/>
          <w:i/>
          <w:u w:val="single"/>
        </w:rPr>
        <w:t>Sumárne údaje o stave výkonu pôsobností prenesených na obce</w:t>
      </w:r>
    </w:p>
    <w:p w:rsidR="00BC4DB9" w:rsidRPr="00C07289" w:rsidRDefault="00BC4DB9" w:rsidP="00BC4DB9">
      <w:pPr>
        <w:spacing w:before="120" w:after="60" w:line="240" w:lineRule="auto"/>
        <w:ind w:firstLine="851"/>
        <w:jc w:val="both"/>
        <w:rPr>
          <w:rFonts w:ascii="Times New Roman" w:hAnsi="Times New Roman" w:cs="Times New Roman"/>
        </w:rPr>
      </w:pPr>
      <w:r w:rsidRPr="00C07289">
        <w:rPr>
          <w:rFonts w:ascii="Times New Roman" w:hAnsi="Times New Roman" w:cs="Times New Roman"/>
        </w:rPr>
        <w:t xml:space="preserve">V záujme zistenia rozdielov pri plnení úloh na jednotlivých úsekoch štátnej správy obcami rozdielnych veľkostných kategórií, údaje sa </w:t>
      </w:r>
      <w:r w:rsidR="007E1BE4">
        <w:rPr>
          <w:rFonts w:ascii="Times New Roman" w:hAnsi="Times New Roman" w:cs="Times New Roman"/>
        </w:rPr>
        <w:t xml:space="preserve">mali </w:t>
      </w:r>
      <w:r>
        <w:rPr>
          <w:rFonts w:ascii="Times New Roman" w:hAnsi="Times New Roman" w:cs="Times New Roman"/>
        </w:rPr>
        <w:t>uvádza</w:t>
      </w:r>
      <w:r w:rsidR="007E1BE4">
        <w:rPr>
          <w:rFonts w:ascii="Times New Roman" w:hAnsi="Times New Roman" w:cs="Times New Roman"/>
        </w:rPr>
        <w:t>ť</w:t>
      </w:r>
      <w:r w:rsidRPr="00C07289">
        <w:rPr>
          <w:rFonts w:ascii="Times New Roman" w:hAnsi="Times New Roman" w:cs="Times New Roman"/>
        </w:rPr>
        <w:t xml:space="preserve"> diferencovane pre kategórie obcí:</w:t>
      </w:r>
    </w:p>
    <w:p w:rsidR="00BC4DB9" w:rsidRPr="00C07289" w:rsidRDefault="007368EB" w:rsidP="00C209AF">
      <w:pPr>
        <w:pStyle w:val="Odsekzoznamu"/>
        <w:numPr>
          <w:ilvl w:val="0"/>
          <w:numId w:val="3"/>
        </w:numPr>
        <w:spacing w:before="60" w:after="0" w:line="240" w:lineRule="auto"/>
        <w:ind w:left="1135" w:hanging="284"/>
        <w:jc w:val="both"/>
        <w:rPr>
          <w:rFonts w:ascii="Times New Roman" w:hAnsi="Times New Roman" w:cs="Times New Roman"/>
        </w:rPr>
      </w:pPr>
      <w:r>
        <w:rPr>
          <w:rFonts w:ascii="Times New Roman" w:hAnsi="Times New Roman" w:cs="Times New Roman"/>
        </w:rPr>
        <w:t xml:space="preserve">A </w:t>
      </w:r>
      <w:r w:rsidR="00BC4DB9" w:rsidRPr="00C07289">
        <w:rPr>
          <w:rFonts w:ascii="Times New Roman" w:hAnsi="Times New Roman" w:cs="Times New Roman"/>
        </w:rPr>
        <w:t xml:space="preserve">do 500 obyvateľov </w:t>
      </w:r>
      <w:r w:rsidR="00BC4DB9" w:rsidRPr="00C07289">
        <w:rPr>
          <w:rFonts w:ascii="Times New Roman" w:hAnsi="Times New Roman" w:cs="Times New Roman"/>
          <w:i/>
        </w:rPr>
        <w:t>(</w:t>
      </w:r>
      <w:r w:rsidR="00462A55">
        <w:rPr>
          <w:rFonts w:ascii="Times New Roman" w:hAnsi="Times New Roman" w:cs="Times New Roman"/>
          <w:i/>
        </w:rPr>
        <w:t xml:space="preserve">príloha 1b </w:t>
      </w:r>
      <w:r w:rsidR="00BC4DB9" w:rsidRPr="00C07289">
        <w:rPr>
          <w:rFonts w:ascii="Times New Roman" w:hAnsi="Times New Roman" w:cs="Times New Roman"/>
          <w:i/>
        </w:rPr>
        <w:t>tabuľka 1b-1)</w:t>
      </w:r>
      <w:r w:rsidR="00BC4DB9" w:rsidRPr="00C07289">
        <w:rPr>
          <w:rFonts w:ascii="Times New Roman" w:hAnsi="Times New Roman" w:cs="Times New Roman"/>
        </w:rPr>
        <w:t>,</w:t>
      </w:r>
    </w:p>
    <w:p w:rsidR="00BC4DB9" w:rsidRPr="00C07289" w:rsidRDefault="007368EB" w:rsidP="00C209AF">
      <w:pPr>
        <w:pStyle w:val="Odsekzoznamu"/>
        <w:numPr>
          <w:ilvl w:val="0"/>
          <w:numId w:val="3"/>
        </w:numPr>
        <w:spacing w:before="60" w:after="0" w:line="240" w:lineRule="auto"/>
        <w:ind w:left="1134" w:hanging="283"/>
        <w:jc w:val="both"/>
        <w:rPr>
          <w:rFonts w:ascii="Times New Roman" w:hAnsi="Times New Roman" w:cs="Times New Roman"/>
        </w:rPr>
      </w:pPr>
      <w:r>
        <w:rPr>
          <w:rFonts w:ascii="Times New Roman" w:hAnsi="Times New Roman" w:cs="Times New Roman"/>
        </w:rPr>
        <w:t xml:space="preserve">B </w:t>
      </w:r>
      <w:r w:rsidR="00BC4DB9" w:rsidRPr="00C07289">
        <w:rPr>
          <w:rFonts w:ascii="Times New Roman" w:hAnsi="Times New Roman" w:cs="Times New Roman"/>
        </w:rPr>
        <w:t xml:space="preserve">od 501 do 1000 obyvateľov </w:t>
      </w:r>
      <w:r w:rsidR="00BC4DB9" w:rsidRPr="00C07289">
        <w:rPr>
          <w:rFonts w:ascii="Times New Roman" w:hAnsi="Times New Roman" w:cs="Times New Roman"/>
          <w:i/>
        </w:rPr>
        <w:t>(</w:t>
      </w:r>
      <w:r w:rsidR="00462A55">
        <w:rPr>
          <w:rFonts w:ascii="Times New Roman" w:hAnsi="Times New Roman" w:cs="Times New Roman"/>
          <w:i/>
        </w:rPr>
        <w:t xml:space="preserve">príloha 1b </w:t>
      </w:r>
      <w:r w:rsidR="00BC4DB9" w:rsidRPr="00C07289">
        <w:rPr>
          <w:rFonts w:ascii="Times New Roman" w:hAnsi="Times New Roman" w:cs="Times New Roman"/>
          <w:i/>
        </w:rPr>
        <w:t>tabuľka 1b-2)</w:t>
      </w:r>
      <w:r w:rsidR="00BC4DB9" w:rsidRPr="00C07289">
        <w:rPr>
          <w:rFonts w:ascii="Times New Roman" w:hAnsi="Times New Roman" w:cs="Times New Roman"/>
        </w:rPr>
        <w:t>,</w:t>
      </w:r>
    </w:p>
    <w:p w:rsidR="00BC4DB9" w:rsidRPr="00C07289" w:rsidRDefault="007368EB" w:rsidP="00C209AF">
      <w:pPr>
        <w:pStyle w:val="Odsekzoznamu"/>
        <w:numPr>
          <w:ilvl w:val="0"/>
          <w:numId w:val="3"/>
        </w:numPr>
        <w:spacing w:before="60" w:after="0" w:line="240" w:lineRule="auto"/>
        <w:ind w:left="1134" w:hanging="283"/>
        <w:jc w:val="both"/>
        <w:rPr>
          <w:rFonts w:ascii="Times New Roman" w:hAnsi="Times New Roman" w:cs="Times New Roman"/>
        </w:rPr>
      </w:pPr>
      <w:r>
        <w:rPr>
          <w:rFonts w:ascii="Times New Roman" w:hAnsi="Times New Roman" w:cs="Times New Roman"/>
        </w:rPr>
        <w:t xml:space="preserve">C </w:t>
      </w:r>
      <w:r w:rsidR="00BC4DB9" w:rsidRPr="00C07289">
        <w:rPr>
          <w:rFonts w:ascii="Times New Roman" w:hAnsi="Times New Roman" w:cs="Times New Roman"/>
        </w:rPr>
        <w:t xml:space="preserve">od 1001 do 5000 obyvateľov </w:t>
      </w:r>
      <w:r w:rsidR="00BC4DB9" w:rsidRPr="00C07289">
        <w:rPr>
          <w:rFonts w:ascii="Times New Roman" w:hAnsi="Times New Roman" w:cs="Times New Roman"/>
          <w:i/>
        </w:rPr>
        <w:t>(</w:t>
      </w:r>
      <w:r w:rsidR="00462A55">
        <w:rPr>
          <w:rFonts w:ascii="Times New Roman" w:hAnsi="Times New Roman" w:cs="Times New Roman"/>
          <w:i/>
        </w:rPr>
        <w:t xml:space="preserve">príloha 1b </w:t>
      </w:r>
      <w:r w:rsidR="00BC4DB9" w:rsidRPr="00C07289">
        <w:rPr>
          <w:rFonts w:ascii="Times New Roman" w:hAnsi="Times New Roman" w:cs="Times New Roman"/>
          <w:i/>
        </w:rPr>
        <w:t xml:space="preserve">tabuľka 1b-3) </w:t>
      </w:r>
      <w:r w:rsidR="00BC4DB9" w:rsidRPr="00C07289">
        <w:rPr>
          <w:rFonts w:ascii="Times New Roman" w:hAnsi="Times New Roman" w:cs="Times New Roman"/>
        </w:rPr>
        <w:t xml:space="preserve">a </w:t>
      </w:r>
    </w:p>
    <w:p w:rsidR="00BC4DB9" w:rsidRDefault="007368EB" w:rsidP="00C209AF">
      <w:pPr>
        <w:pStyle w:val="Odsekzoznamu"/>
        <w:numPr>
          <w:ilvl w:val="0"/>
          <w:numId w:val="3"/>
        </w:numPr>
        <w:spacing w:before="60" w:after="0" w:line="240" w:lineRule="auto"/>
        <w:ind w:left="1134" w:hanging="283"/>
        <w:jc w:val="both"/>
        <w:rPr>
          <w:rFonts w:ascii="Times New Roman" w:hAnsi="Times New Roman" w:cs="Times New Roman"/>
        </w:rPr>
      </w:pPr>
      <w:r>
        <w:rPr>
          <w:rFonts w:ascii="Times New Roman" w:hAnsi="Times New Roman" w:cs="Times New Roman"/>
        </w:rPr>
        <w:t xml:space="preserve">D </w:t>
      </w:r>
      <w:r w:rsidR="00BC4DB9" w:rsidRPr="00C07289">
        <w:rPr>
          <w:rFonts w:ascii="Times New Roman" w:hAnsi="Times New Roman" w:cs="Times New Roman"/>
        </w:rPr>
        <w:t xml:space="preserve">nad 5000 obyvateľov </w:t>
      </w:r>
      <w:r w:rsidR="00BC4DB9" w:rsidRPr="00C07289">
        <w:rPr>
          <w:rFonts w:ascii="Times New Roman" w:hAnsi="Times New Roman" w:cs="Times New Roman"/>
          <w:i/>
        </w:rPr>
        <w:t>(</w:t>
      </w:r>
      <w:r w:rsidR="00462A55">
        <w:rPr>
          <w:rFonts w:ascii="Times New Roman" w:hAnsi="Times New Roman" w:cs="Times New Roman"/>
          <w:i/>
        </w:rPr>
        <w:t xml:space="preserve">príloha 1b </w:t>
      </w:r>
      <w:r w:rsidR="00BC4DB9" w:rsidRPr="00C07289">
        <w:rPr>
          <w:rFonts w:ascii="Times New Roman" w:hAnsi="Times New Roman" w:cs="Times New Roman"/>
          <w:i/>
        </w:rPr>
        <w:t>tabuľka 1b-4)</w:t>
      </w:r>
      <w:r w:rsidR="007E1BE4">
        <w:rPr>
          <w:rFonts w:ascii="Times New Roman" w:hAnsi="Times New Roman" w:cs="Times New Roman"/>
        </w:rPr>
        <w:t>.</w:t>
      </w:r>
    </w:p>
    <w:p w:rsidR="00976D26" w:rsidRDefault="007E1BE4" w:rsidP="00D57EAD">
      <w:pPr>
        <w:spacing w:before="120" w:after="0" w:line="240" w:lineRule="auto"/>
        <w:ind w:firstLine="709"/>
        <w:jc w:val="both"/>
        <w:rPr>
          <w:rFonts w:ascii="Times New Roman" w:eastAsia="Times New Roman" w:hAnsi="Times New Roman" w:cs="Times New Roman"/>
          <w:lang w:eastAsia="sk-SK"/>
        </w:rPr>
      </w:pPr>
      <w:r>
        <w:rPr>
          <w:rFonts w:ascii="Times New Roman" w:hAnsi="Times New Roman" w:cs="Times New Roman"/>
        </w:rPr>
        <w:t xml:space="preserve">Diferencovane </w:t>
      </w:r>
      <w:r w:rsidR="00F31C23">
        <w:rPr>
          <w:rFonts w:ascii="Times New Roman" w:hAnsi="Times New Roman" w:cs="Times New Roman"/>
        </w:rPr>
        <w:t>ne</w:t>
      </w:r>
      <w:r>
        <w:rPr>
          <w:rFonts w:ascii="Times New Roman" w:hAnsi="Times New Roman" w:cs="Times New Roman"/>
        </w:rPr>
        <w:t>uv</w:t>
      </w:r>
      <w:r w:rsidR="00976D26">
        <w:rPr>
          <w:rFonts w:ascii="Times New Roman" w:hAnsi="Times New Roman" w:cs="Times New Roman"/>
        </w:rPr>
        <w:t>iedlo</w:t>
      </w:r>
      <w:r w:rsidR="00F31C23">
        <w:rPr>
          <w:rFonts w:ascii="Times New Roman" w:hAnsi="Times New Roman" w:cs="Times New Roman"/>
        </w:rPr>
        <w:t xml:space="preserve"> údaje </w:t>
      </w:r>
      <w:r w:rsidR="00EF7FE9">
        <w:rPr>
          <w:rFonts w:ascii="Times New Roman" w:hAnsi="Times New Roman" w:cs="Times New Roman"/>
        </w:rPr>
        <w:t>m</w:t>
      </w:r>
      <w:r w:rsidR="00F31C23">
        <w:rPr>
          <w:rFonts w:ascii="Times New Roman" w:hAnsi="Times New Roman" w:cs="Times New Roman"/>
        </w:rPr>
        <w:t>inisterstvo hospodárstva.</w:t>
      </w:r>
      <w:r w:rsidR="00976D26">
        <w:rPr>
          <w:rFonts w:ascii="Times New Roman" w:hAnsi="Times New Roman" w:cs="Times New Roman"/>
        </w:rPr>
        <w:t xml:space="preserve"> K</w:t>
      </w:r>
      <w:r w:rsidR="00976D26">
        <w:rPr>
          <w:rFonts w:ascii="Times New Roman" w:eastAsia="Times New Roman" w:hAnsi="Times New Roman" w:cs="Times New Roman"/>
          <w:lang w:eastAsia="sk-SK"/>
        </w:rPr>
        <w:t>vantifikácia nebola tiež dodaná Ministerstvom dopravy, výstavby a regionálneho rozvoja S</w:t>
      </w:r>
      <w:r w:rsidR="002A19B2">
        <w:rPr>
          <w:rFonts w:ascii="Times New Roman" w:eastAsia="Times New Roman" w:hAnsi="Times New Roman" w:cs="Times New Roman"/>
          <w:lang w:eastAsia="sk-SK"/>
        </w:rPr>
        <w:t>lovenskej republiky</w:t>
      </w:r>
      <w:r w:rsidR="00976D26">
        <w:rPr>
          <w:rFonts w:ascii="Times New Roman" w:eastAsia="Times New Roman" w:hAnsi="Times New Roman" w:cs="Times New Roman"/>
          <w:lang w:eastAsia="sk-SK"/>
        </w:rPr>
        <w:t xml:space="preserve"> (ďalej len „ministerstvo dopravy“) na úseku bývania (keďže úlohy na uvedenom úseku plnia len obce v sídlach okresov) a ministerstvo</w:t>
      </w:r>
      <w:r w:rsidR="00A43B56">
        <w:rPr>
          <w:rFonts w:ascii="Times New Roman" w:eastAsia="Times New Roman" w:hAnsi="Times New Roman" w:cs="Times New Roman"/>
          <w:lang w:eastAsia="sk-SK"/>
        </w:rPr>
        <w:t>m</w:t>
      </w:r>
      <w:r w:rsidR="00976D26">
        <w:rPr>
          <w:rFonts w:ascii="Times New Roman" w:eastAsia="Times New Roman" w:hAnsi="Times New Roman" w:cs="Times New Roman"/>
          <w:lang w:eastAsia="sk-SK"/>
        </w:rPr>
        <w:t xml:space="preserve"> vnútra na úseku volieb a referenda (diferencované uvádzanie údajov nemá zmysel vzhľadom na osobitosť úloh).</w:t>
      </w:r>
    </w:p>
    <w:p w:rsidR="008610CB" w:rsidRDefault="008610CB" w:rsidP="00D57EAD">
      <w:pPr>
        <w:spacing w:before="120" w:after="0" w:line="240" w:lineRule="auto"/>
        <w:ind w:firstLine="709"/>
        <w:jc w:val="both"/>
        <w:rPr>
          <w:rFonts w:ascii="Times New Roman" w:hAnsi="Times New Roman" w:cs="Times New Roman"/>
        </w:rPr>
      </w:pPr>
      <w:r w:rsidRPr="007F59E7">
        <w:rPr>
          <w:rFonts w:ascii="Times New Roman" w:hAnsi="Times New Roman" w:cs="Times New Roman"/>
        </w:rPr>
        <w:t xml:space="preserve">Z údajov vyplýva, že </w:t>
      </w:r>
      <w:r w:rsidR="00E161AC">
        <w:rPr>
          <w:rFonts w:ascii="Times New Roman" w:hAnsi="Times New Roman" w:cs="Times New Roman"/>
        </w:rPr>
        <w:t xml:space="preserve">cena, produktivita či </w:t>
      </w:r>
      <w:r w:rsidR="009E6075">
        <w:rPr>
          <w:rFonts w:ascii="Times New Roman" w:hAnsi="Times New Roman" w:cs="Times New Roman"/>
        </w:rPr>
        <w:t>frekventovanosť výkonu prenesených pôsobností sa líši medzi jednotlivými veľkostnými kategóriami obcí</w:t>
      </w:r>
      <w:r w:rsidR="0078506A" w:rsidRPr="007F59E7">
        <w:rPr>
          <w:rFonts w:ascii="Times New Roman" w:hAnsi="Times New Roman" w:cs="Times New Roman"/>
        </w:rPr>
        <w:t>.</w:t>
      </w:r>
      <w:r w:rsidR="00590884" w:rsidRPr="007F59E7">
        <w:rPr>
          <w:rFonts w:ascii="Times New Roman" w:hAnsi="Times New Roman" w:cs="Times New Roman"/>
        </w:rPr>
        <w:t xml:space="preserve"> </w:t>
      </w:r>
      <w:r w:rsidR="00E161AC">
        <w:rPr>
          <w:rFonts w:ascii="Times New Roman" w:hAnsi="Times New Roman" w:cs="Times New Roman"/>
        </w:rPr>
        <w:t>Korelácia výdavkov na priemernú jednotku výstupu podľa veľkostných kategórií obcí je v časti týkajúcej sa financovania 1.4.</w:t>
      </w:r>
    </w:p>
    <w:p w:rsidR="00976D26" w:rsidRDefault="00540DA9" w:rsidP="00D57EAD">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Vzájomný vzťah </w:t>
      </w:r>
      <w:r w:rsidR="00976D26">
        <w:rPr>
          <w:rFonts w:ascii="Times New Roman" w:eastAsia="Times New Roman" w:hAnsi="Times New Roman" w:cs="Times New Roman"/>
          <w:lang w:eastAsia="sk-SK"/>
        </w:rPr>
        <w:t>produktivity práce od veľkosti obce meranú v</w:t>
      </w:r>
      <w:r w:rsidR="00B35A9B">
        <w:rPr>
          <w:rFonts w:ascii="Times New Roman" w:eastAsia="Times New Roman" w:hAnsi="Times New Roman" w:cs="Times New Roman"/>
          <w:lang w:eastAsia="sk-SK"/>
        </w:rPr>
        <w:t xml:space="preserve"> priemernom </w:t>
      </w:r>
      <w:r w:rsidR="00976D26">
        <w:rPr>
          <w:rFonts w:ascii="Times New Roman" w:eastAsia="Times New Roman" w:hAnsi="Times New Roman" w:cs="Times New Roman"/>
          <w:lang w:eastAsia="sk-SK"/>
        </w:rPr>
        <w:t xml:space="preserve">počte výstupov na </w:t>
      </w:r>
      <w:r w:rsidR="00D94FD4">
        <w:rPr>
          <w:rFonts w:ascii="Times New Roman" w:eastAsia="Times New Roman" w:hAnsi="Times New Roman" w:cs="Times New Roman"/>
          <w:lang w:eastAsia="sk-SK"/>
        </w:rPr>
        <w:t xml:space="preserve">jedného </w:t>
      </w:r>
      <w:r w:rsidR="00976D26">
        <w:rPr>
          <w:rFonts w:ascii="Times New Roman" w:eastAsia="Times New Roman" w:hAnsi="Times New Roman" w:cs="Times New Roman"/>
          <w:lang w:eastAsia="sk-SK"/>
        </w:rPr>
        <w:t>zamestnanca znázorňuje nasledujúca tabuľka:</w:t>
      </w:r>
    </w:p>
    <w:p w:rsidR="00100BB5" w:rsidRDefault="003E080D" w:rsidP="00100BB5">
      <w:pPr>
        <w:spacing w:before="120" w:after="0" w:line="240" w:lineRule="auto"/>
        <w:jc w:val="center"/>
        <w:rPr>
          <w:rFonts w:ascii="Times New Roman" w:eastAsia="Times New Roman" w:hAnsi="Times New Roman" w:cs="Times New Roman"/>
          <w:sz w:val="16"/>
          <w:szCs w:val="16"/>
          <w:lang w:eastAsia="sk-SK"/>
        </w:rPr>
      </w:pPr>
      <w:r w:rsidRPr="003E080D">
        <w:rPr>
          <w:rFonts w:ascii="Times New Roman" w:eastAsia="Times New Roman" w:hAnsi="Times New Roman" w:cs="Times New Roman"/>
          <w:b/>
          <w:sz w:val="16"/>
          <w:szCs w:val="16"/>
          <w:lang w:eastAsia="sk-SK"/>
        </w:rPr>
        <w:t>Tabuľka 2</w:t>
      </w:r>
      <w:r w:rsidR="00FB72B4">
        <w:rPr>
          <w:rFonts w:ascii="Times New Roman" w:eastAsia="Times New Roman" w:hAnsi="Times New Roman" w:cs="Times New Roman"/>
          <w:b/>
          <w:sz w:val="16"/>
          <w:szCs w:val="16"/>
          <w:lang w:eastAsia="sk-SK"/>
        </w:rPr>
        <w:t>:</w:t>
      </w:r>
      <w:r w:rsidRPr="003E080D">
        <w:rPr>
          <w:rFonts w:ascii="Times New Roman" w:eastAsia="Times New Roman" w:hAnsi="Times New Roman" w:cs="Times New Roman"/>
          <w:sz w:val="16"/>
          <w:szCs w:val="16"/>
          <w:lang w:eastAsia="sk-SK"/>
        </w:rPr>
        <w:t xml:space="preserve"> Priemerné počty výstupov</w:t>
      </w:r>
      <w:r w:rsidR="007A6B4C">
        <w:rPr>
          <w:rFonts w:ascii="Times New Roman" w:eastAsia="Times New Roman" w:hAnsi="Times New Roman" w:cs="Times New Roman"/>
          <w:sz w:val="16"/>
          <w:szCs w:val="16"/>
          <w:lang w:eastAsia="sk-SK"/>
        </w:rPr>
        <w:t xml:space="preserve"> </w:t>
      </w:r>
      <w:r w:rsidRPr="003E080D">
        <w:rPr>
          <w:rFonts w:ascii="Times New Roman" w:eastAsia="Times New Roman" w:hAnsi="Times New Roman" w:cs="Times New Roman"/>
          <w:sz w:val="16"/>
          <w:szCs w:val="16"/>
          <w:lang w:eastAsia="sk-SK"/>
        </w:rPr>
        <w:t>na jedného zamestnanca</w:t>
      </w:r>
      <w:r>
        <w:rPr>
          <w:rFonts w:ascii="Times New Roman" w:eastAsia="Times New Roman" w:hAnsi="Times New Roman" w:cs="Times New Roman"/>
          <w:sz w:val="16"/>
          <w:szCs w:val="16"/>
          <w:lang w:eastAsia="sk-SK"/>
        </w:rPr>
        <w:t xml:space="preserve"> </w:t>
      </w:r>
    </w:p>
    <w:p w:rsidR="003E080D" w:rsidRPr="003E080D" w:rsidRDefault="003E080D" w:rsidP="00100BB5">
      <w:pPr>
        <w:spacing w:after="60" w:line="240" w:lineRule="auto"/>
        <w:jc w:val="center"/>
        <w:rPr>
          <w:rFonts w:ascii="Times New Roman" w:eastAsia="Times New Roman" w:hAnsi="Times New Roman" w:cs="Times New Roman"/>
          <w:sz w:val="16"/>
          <w:szCs w:val="16"/>
          <w:lang w:eastAsia="sk-SK"/>
        </w:rPr>
      </w:pPr>
      <w:r>
        <w:rPr>
          <w:rFonts w:ascii="Times New Roman" w:eastAsia="Times New Roman" w:hAnsi="Times New Roman" w:cs="Times New Roman"/>
          <w:sz w:val="16"/>
          <w:szCs w:val="16"/>
          <w:lang w:eastAsia="sk-SK"/>
        </w:rPr>
        <w:t>podľa veľkostných kategórií</w:t>
      </w:r>
      <w:r w:rsidR="00100BB5" w:rsidRPr="00100BB5">
        <w:rPr>
          <w:rFonts w:ascii="Times New Roman" w:eastAsia="Times New Roman" w:hAnsi="Times New Roman" w:cs="Times New Roman"/>
          <w:sz w:val="16"/>
          <w:szCs w:val="16"/>
          <w:lang w:eastAsia="sk-SK"/>
        </w:rPr>
        <w:t xml:space="preserve"> </w:t>
      </w:r>
      <w:r w:rsidR="00100BB5">
        <w:rPr>
          <w:rFonts w:ascii="Times New Roman" w:eastAsia="Times New Roman" w:hAnsi="Times New Roman" w:cs="Times New Roman"/>
          <w:sz w:val="16"/>
          <w:szCs w:val="16"/>
          <w:lang w:eastAsia="sk-SK"/>
        </w:rPr>
        <w:t>obcí na úsekoch pôsobností prenesených na obce</w:t>
      </w:r>
    </w:p>
    <w:tbl>
      <w:tblPr>
        <w:tblW w:w="83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85"/>
        <w:gridCol w:w="2624"/>
        <w:gridCol w:w="815"/>
        <w:gridCol w:w="963"/>
        <w:gridCol w:w="963"/>
        <w:gridCol w:w="963"/>
        <w:gridCol w:w="963"/>
      </w:tblGrid>
      <w:tr w:rsidR="00CB5C4D" w:rsidRPr="00B35A9B" w:rsidTr="007A6B4C">
        <w:trPr>
          <w:trHeight w:val="420"/>
          <w:jc w:val="center"/>
        </w:trPr>
        <w:tc>
          <w:tcPr>
            <w:tcW w:w="1110" w:type="dxa"/>
            <w:shd w:val="clear" w:color="auto" w:fill="auto"/>
            <w:vAlign w:val="bottom"/>
            <w:hideMark/>
          </w:tcPr>
          <w:p w:rsidR="00CB5C4D" w:rsidRPr="00EA6438" w:rsidRDefault="00CB5C4D" w:rsidP="0056546C">
            <w:pPr>
              <w:spacing w:after="0" w:line="240" w:lineRule="auto"/>
              <w:jc w:val="center"/>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ministerstvá</w:t>
            </w:r>
          </w:p>
        </w:tc>
        <w:tc>
          <w:tcPr>
            <w:tcW w:w="3136" w:type="dxa"/>
            <w:shd w:val="clear" w:color="auto" w:fill="auto"/>
            <w:vAlign w:val="bottom"/>
            <w:hideMark/>
          </w:tcPr>
          <w:p w:rsidR="00CB5C4D" w:rsidRPr="00EA6438" w:rsidRDefault="00CB5C4D" w:rsidP="0056546C">
            <w:pPr>
              <w:spacing w:after="0" w:line="240" w:lineRule="auto"/>
              <w:jc w:val="center"/>
              <w:rPr>
                <w:rFonts w:ascii="Times New Roman" w:eastAsia="Times New Roman" w:hAnsi="Times New Roman" w:cs="Times New Roman"/>
                <w:bCs/>
                <w:color w:val="000000"/>
                <w:sz w:val="18"/>
                <w:szCs w:val="18"/>
                <w:lang w:eastAsia="sk-SK"/>
              </w:rPr>
            </w:pPr>
            <w:r w:rsidRPr="00EA6438">
              <w:rPr>
                <w:rFonts w:ascii="Times New Roman" w:eastAsia="Times New Roman" w:hAnsi="Times New Roman" w:cs="Times New Roman"/>
                <w:bCs/>
                <w:color w:val="000000"/>
                <w:sz w:val="18"/>
                <w:szCs w:val="18"/>
                <w:lang w:eastAsia="sk-SK"/>
              </w:rPr>
              <w:t>úsek</w:t>
            </w:r>
            <w:r>
              <w:rPr>
                <w:rFonts w:ascii="Times New Roman" w:eastAsia="Times New Roman" w:hAnsi="Times New Roman" w:cs="Times New Roman"/>
                <w:bCs/>
                <w:color w:val="000000"/>
                <w:sz w:val="18"/>
                <w:szCs w:val="18"/>
                <w:lang w:eastAsia="sk-SK"/>
              </w:rPr>
              <w:t>y</w:t>
            </w:r>
          </w:p>
        </w:tc>
        <w:tc>
          <w:tcPr>
            <w:tcW w:w="859" w:type="dxa"/>
            <w:shd w:val="clear" w:color="auto" w:fill="auto"/>
            <w:vAlign w:val="center"/>
            <w:hideMark/>
          </w:tcPr>
          <w:p w:rsidR="00CB5C4D" w:rsidRPr="00EA6438" w:rsidRDefault="00CB5C4D" w:rsidP="007A6B4C">
            <w:pPr>
              <w:spacing w:after="0" w:line="240" w:lineRule="auto"/>
              <w:jc w:val="center"/>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 xml:space="preserve">priemer za </w:t>
            </w:r>
            <w:r w:rsidRPr="00EA6438">
              <w:rPr>
                <w:rFonts w:ascii="Times New Roman" w:eastAsia="Times New Roman" w:hAnsi="Times New Roman" w:cs="Times New Roman"/>
                <w:bCs/>
                <w:color w:val="000000"/>
                <w:sz w:val="18"/>
                <w:szCs w:val="18"/>
                <w:lang w:eastAsia="sk-SK"/>
              </w:rPr>
              <w:t>všetky obce</w:t>
            </w:r>
          </w:p>
        </w:tc>
        <w:tc>
          <w:tcPr>
            <w:tcW w:w="809" w:type="dxa"/>
            <w:shd w:val="clear" w:color="auto" w:fill="auto"/>
            <w:vAlign w:val="center"/>
            <w:hideMark/>
          </w:tcPr>
          <w:p w:rsidR="00CB5C4D" w:rsidRPr="009037A3" w:rsidRDefault="00CB5C4D" w:rsidP="007A6B4C">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do 500 obyvateľov</w:t>
            </w:r>
          </w:p>
        </w:tc>
        <w:tc>
          <w:tcPr>
            <w:tcW w:w="821" w:type="dxa"/>
            <w:shd w:val="clear" w:color="auto" w:fill="auto"/>
            <w:vAlign w:val="center"/>
            <w:hideMark/>
          </w:tcPr>
          <w:p w:rsidR="00CB5C4D" w:rsidRPr="009037A3" w:rsidRDefault="00CB5C4D" w:rsidP="007A6B4C">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od 501 - 1000 obyvateľov</w:t>
            </w:r>
          </w:p>
        </w:tc>
        <w:tc>
          <w:tcPr>
            <w:tcW w:w="820" w:type="dxa"/>
            <w:shd w:val="clear" w:color="auto" w:fill="auto"/>
            <w:vAlign w:val="center"/>
            <w:hideMark/>
          </w:tcPr>
          <w:p w:rsidR="00CB5C4D" w:rsidRPr="009037A3" w:rsidRDefault="00CB5C4D" w:rsidP="007A6B4C">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od 1001 - 5000 obyvateľov</w:t>
            </w:r>
          </w:p>
        </w:tc>
        <w:tc>
          <w:tcPr>
            <w:tcW w:w="821" w:type="dxa"/>
            <w:shd w:val="clear" w:color="auto" w:fill="auto"/>
            <w:vAlign w:val="center"/>
            <w:hideMark/>
          </w:tcPr>
          <w:p w:rsidR="00CB5C4D" w:rsidRPr="009037A3" w:rsidRDefault="00CB5C4D" w:rsidP="007A6B4C">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nad 5000 obyvateľov</w:t>
            </w:r>
          </w:p>
        </w:tc>
      </w:tr>
      <w:tr w:rsidR="00540DA9" w:rsidRPr="00B35A9B" w:rsidTr="002A19B2">
        <w:trPr>
          <w:trHeight w:val="216"/>
          <w:jc w:val="center"/>
        </w:trPr>
        <w:tc>
          <w:tcPr>
            <w:tcW w:w="1110" w:type="dxa"/>
            <w:vMerge w:val="restart"/>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MDVRR SR</w:t>
            </w: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 xml:space="preserve">úsek </w:t>
            </w:r>
            <w:r>
              <w:rPr>
                <w:rFonts w:ascii="Times New Roman" w:eastAsia="Times New Roman" w:hAnsi="Times New Roman" w:cs="Times New Roman"/>
                <w:color w:val="000000"/>
                <w:sz w:val="18"/>
                <w:szCs w:val="18"/>
                <w:lang w:eastAsia="sk-SK"/>
              </w:rPr>
              <w:t>miestnych a účelových komunikácií</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183</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149</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39</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63</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276</w:t>
            </w:r>
          </w:p>
        </w:tc>
      </w:tr>
      <w:tr w:rsidR="00540DA9" w:rsidRPr="00B35A9B" w:rsidTr="002A19B2">
        <w:trPr>
          <w:trHeight w:val="216"/>
          <w:jc w:val="center"/>
        </w:trPr>
        <w:tc>
          <w:tcPr>
            <w:tcW w:w="1110" w:type="dxa"/>
            <w:vMerge/>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stavebného poriadku</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178</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116</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123</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101</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331</w:t>
            </w:r>
          </w:p>
        </w:tc>
      </w:tr>
      <w:tr w:rsidR="00540DA9" w:rsidRPr="00B35A9B" w:rsidTr="002A19B2">
        <w:trPr>
          <w:trHeight w:val="420"/>
          <w:jc w:val="center"/>
        </w:trPr>
        <w:tc>
          <w:tcPr>
            <w:tcW w:w="1110" w:type="dxa"/>
            <w:vMerge/>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špeciálneho stavebného úradu pre miestne a účelové komunikácie</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19</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21</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16</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5</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30</w:t>
            </w:r>
          </w:p>
        </w:tc>
      </w:tr>
      <w:tr w:rsidR="00540DA9" w:rsidRPr="00B35A9B" w:rsidTr="002A19B2">
        <w:trPr>
          <w:trHeight w:val="216"/>
          <w:jc w:val="center"/>
        </w:trPr>
        <w:tc>
          <w:tcPr>
            <w:tcW w:w="1110" w:type="dxa"/>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MŠVVŠ SR</w:t>
            </w: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školstva (zriaďovateľská pôsobnosť vo vzťahu k základným školám)</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158</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528</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164</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141</w:t>
            </w:r>
          </w:p>
        </w:tc>
      </w:tr>
      <w:tr w:rsidR="00540DA9" w:rsidRPr="00B35A9B" w:rsidTr="002A19B2">
        <w:trPr>
          <w:trHeight w:val="216"/>
          <w:jc w:val="center"/>
        </w:trPr>
        <w:tc>
          <w:tcPr>
            <w:tcW w:w="1110" w:type="dxa"/>
            <w:vMerge w:val="restart"/>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MV SR</w:t>
            </w:r>
          </w:p>
        </w:tc>
        <w:tc>
          <w:tcPr>
            <w:tcW w:w="3136" w:type="dxa"/>
            <w:shd w:val="clear" w:color="auto" w:fill="auto"/>
          </w:tcPr>
          <w:p w:rsidR="00540DA9" w:rsidRPr="00B35A9B" w:rsidRDefault="00540DA9" w:rsidP="002A19B2">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hlásenia pobytu a</w:t>
            </w:r>
            <w:r w:rsidR="002A19B2">
              <w:rPr>
                <w:rFonts w:ascii="Times New Roman" w:eastAsia="Times New Roman" w:hAnsi="Times New Roman" w:cs="Times New Roman"/>
                <w:color w:val="000000"/>
                <w:sz w:val="18"/>
                <w:szCs w:val="18"/>
                <w:lang w:eastAsia="sk-SK"/>
              </w:rPr>
              <w:t> </w:t>
            </w:r>
            <w:r w:rsidRPr="00B35A9B">
              <w:rPr>
                <w:rFonts w:ascii="Times New Roman" w:eastAsia="Times New Roman" w:hAnsi="Times New Roman" w:cs="Times New Roman"/>
                <w:color w:val="000000"/>
                <w:sz w:val="18"/>
                <w:szCs w:val="18"/>
                <w:lang w:eastAsia="sk-SK"/>
              </w:rPr>
              <w:t>reg</w:t>
            </w:r>
            <w:r w:rsidR="002A19B2">
              <w:rPr>
                <w:rFonts w:ascii="Times New Roman" w:eastAsia="Times New Roman" w:hAnsi="Times New Roman" w:cs="Times New Roman"/>
                <w:color w:val="000000"/>
                <w:sz w:val="18"/>
                <w:szCs w:val="18"/>
                <w:lang w:eastAsia="sk-SK"/>
              </w:rPr>
              <w:t xml:space="preserve">. </w:t>
            </w:r>
            <w:r w:rsidRPr="00B35A9B">
              <w:rPr>
                <w:rFonts w:ascii="Times New Roman" w:eastAsia="Times New Roman" w:hAnsi="Times New Roman" w:cs="Times New Roman"/>
                <w:color w:val="000000"/>
                <w:sz w:val="18"/>
                <w:szCs w:val="18"/>
                <w:lang w:eastAsia="sk-SK"/>
              </w:rPr>
              <w:t>obyvateľov</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887</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155</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372</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649</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3 879</w:t>
            </w:r>
          </w:p>
        </w:tc>
      </w:tr>
      <w:tr w:rsidR="00540DA9" w:rsidRPr="00B35A9B" w:rsidTr="002A19B2">
        <w:trPr>
          <w:trHeight w:val="216"/>
          <w:jc w:val="center"/>
        </w:trPr>
        <w:tc>
          <w:tcPr>
            <w:tcW w:w="1110" w:type="dxa"/>
            <w:vMerge/>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matrík</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1 156</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135</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137</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301</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1 508</w:t>
            </w:r>
          </w:p>
        </w:tc>
      </w:tr>
      <w:tr w:rsidR="00540DA9" w:rsidRPr="00B35A9B" w:rsidTr="002A19B2">
        <w:trPr>
          <w:trHeight w:val="216"/>
          <w:jc w:val="center"/>
        </w:trPr>
        <w:tc>
          <w:tcPr>
            <w:tcW w:w="1110" w:type="dxa"/>
            <w:vMerge/>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úsek ochrany pred požiarmi</w:t>
            </w:r>
          </w:p>
        </w:tc>
        <w:tc>
          <w:tcPr>
            <w:tcW w:w="859" w:type="dxa"/>
            <w:shd w:val="clear" w:color="auto" w:fill="auto"/>
          </w:tcPr>
          <w:p w:rsidR="00540DA9" w:rsidRPr="00B35A9B" w:rsidRDefault="00CD6909" w:rsidP="00CD6909">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270</w:t>
            </w:r>
          </w:p>
        </w:tc>
        <w:tc>
          <w:tcPr>
            <w:tcW w:w="809" w:type="dxa"/>
            <w:shd w:val="clear" w:color="auto" w:fill="auto"/>
          </w:tcPr>
          <w:p w:rsidR="00540DA9" w:rsidRPr="00B35A9B" w:rsidRDefault="00CD690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405</w:t>
            </w:r>
          </w:p>
        </w:tc>
        <w:tc>
          <w:tcPr>
            <w:tcW w:w="821" w:type="dxa"/>
            <w:shd w:val="clear" w:color="auto" w:fill="auto"/>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278</w:t>
            </w:r>
          </w:p>
        </w:tc>
        <w:tc>
          <w:tcPr>
            <w:tcW w:w="820" w:type="dxa"/>
            <w:shd w:val="clear" w:color="auto" w:fill="auto"/>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281</w:t>
            </w:r>
          </w:p>
        </w:tc>
        <w:tc>
          <w:tcPr>
            <w:tcW w:w="821" w:type="dxa"/>
            <w:shd w:val="clear" w:color="auto" w:fill="auto"/>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207</w:t>
            </w:r>
          </w:p>
        </w:tc>
      </w:tr>
      <w:tr w:rsidR="00540DA9" w:rsidRPr="00B35A9B" w:rsidTr="002A19B2">
        <w:trPr>
          <w:trHeight w:val="216"/>
          <w:jc w:val="center"/>
        </w:trPr>
        <w:tc>
          <w:tcPr>
            <w:tcW w:w="1110" w:type="dxa"/>
            <w:vMerge w:val="restart"/>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MŽP</w:t>
            </w:r>
            <w:r w:rsidR="009A5FA0">
              <w:rPr>
                <w:rFonts w:ascii="Times New Roman" w:eastAsia="Times New Roman" w:hAnsi="Times New Roman" w:cs="Times New Roman"/>
                <w:color w:val="000000"/>
                <w:sz w:val="18"/>
                <w:szCs w:val="18"/>
                <w:lang w:eastAsia="sk-SK"/>
              </w:rPr>
              <w:t xml:space="preserve"> SR</w:t>
            </w: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ochrany ovzdušia</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75</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30</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71</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86</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86</w:t>
            </w:r>
          </w:p>
        </w:tc>
      </w:tr>
      <w:tr w:rsidR="00540DA9" w:rsidRPr="00B35A9B" w:rsidTr="002A19B2">
        <w:trPr>
          <w:trHeight w:val="216"/>
          <w:jc w:val="center"/>
        </w:trPr>
        <w:tc>
          <w:tcPr>
            <w:tcW w:w="1110" w:type="dxa"/>
            <w:vMerge/>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p>
        </w:tc>
        <w:tc>
          <w:tcPr>
            <w:tcW w:w="3136" w:type="dxa"/>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ochrany krajiny a prírody</w:t>
            </w:r>
          </w:p>
        </w:tc>
        <w:tc>
          <w:tcPr>
            <w:tcW w:w="85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122</w:t>
            </w:r>
          </w:p>
        </w:tc>
        <w:tc>
          <w:tcPr>
            <w:tcW w:w="809"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55</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115</w:t>
            </w:r>
          </w:p>
        </w:tc>
        <w:tc>
          <w:tcPr>
            <w:tcW w:w="820"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138</w:t>
            </w:r>
          </w:p>
        </w:tc>
        <w:tc>
          <w:tcPr>
            <w:tcW w:w="821" w:type="dxa"/>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142</w:t>
            </w:r>
          </w:p>
        </w:tc>
      </w:tr>
      <w:tr w:rsidR="00540DA9" w:rsidRPr="00B35A9B" w:rsidTr="002A19B2">
        <w:trPr>
          <w:trHeight w:val="216"/>
          <w:jc w:val="center"/>
        </w:trPr>
        <w:tc>
          <w:tcPr>
            <w:tcW w:w="1110" w:type="dxa"/>
            <w:vMerge/>
            <w:tcBorders>
              <w:bottom w:val="single" w:sz="6" w:space="0" w:color="auto"/>
            </w:tcBorders>
            <w:shd w:val="clear" w:color="auto" w:fill="auto"/>
          </w:tcPr>
          <w:p w:rsidR="00540DA9" w:rsidRPr="00B35A9B" w:rsidRDefault="00540DA9" w:rsidP="0056546C">
            <w:pPr>
              <w:spacing w:after="0" w:line="240" w:lineRule="auto"/>
              <w:rPr>
                <w:rFonts w:ascii="Times New Roman" w:eastAsia="Times New Roman" w:hAnsi="Times New Roman" w:cs="Times New Roman"/>
                <w:color w:val="000000"/>
                <w:sz w:val="18"/>
                <w:szCs w:val="18"/>
                <w:lang w:eastAsia="sk-SK"/>
              </w:rPr>
            </w:pPr>
          </w:p>
        </w:tc>
        <w:tc>
          <w:tcPr>
            <w:tcW w:w="3136" w:type="dxa"/>
            <w:tcBorders>
              <w:bottom w:val="single" w:sz="6" w:space="0" w:color="auto"/>
            </w:tcBorders>
            <w:shd w:val="clear" w:color="auto" w:fill="auto"/>
          </w:tcPr>
          <w:p w:rsidR="00540DA9" w:rsidRPr="00B35A9B" w:rsidRDefault="00540DA9" w:rsidP="00540DA9">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št. vodnej správy</w:t>
            </w:r>
          </w:p>
        </w:tc>
        <w:tc>
          <w:tcPr>
            <w:tcW w:w="859" w:type="dxa"/>
            <w:tcBorders>
              <w:bottom w:val="single" w:sz="6" w:space="0" w:color="auto"/>
            </w:tcBorders>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7</w:t>
            </w:r>
          </w:p>
        </w:tc>
        <w:tc>
          <w:tcPr>
            <w:tcW w:w="809" w:type="dxa"/>
            <w:tcBorders>
              <w:bottom w:val="single" w:sz="6" w:space="0" w:color="auto"/>
            </w:tcBorders>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4</w:t>
            </w:r>
          </w:p>
        </w:tc>
        <w:tc>
          <w:tcPr>
            <w:tcW w:w="821" w:type="dxa"/>
            <w:tcBorders>
              <w:bottom w:val="single" w:sz="6" w:space="0" w:color="auto"/>
            </w:tcBorders>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12</w:t>
            </w:r>
          </w:p>
        </w:tc>
        <w:tc>
          <w:tcPr>
            <w:tcW w:w="820" w:type="dxa"/>
            <w:tcBorders>
              <w:bottom w:val="single" w:sz="6" w:space="0" w:color="auto"/>
            </w:tcBorders>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10</w:t>
            </w:r>
          </w:p>
        </w:tc>
        <w:tc>
          <w:tcPr>
            <w:tcW w:w="821" w:type="dxa"/>
            <w:tcBorders>
              <w:bottom w:val="single" w:sz="6" w:space="0" w:color="auto"/>
            </w:tcBorders>
            <w:shd w:val="clear" w:color="auto" w:fill="auto"/>
            <w:hideMark/>
          </w:tcPr>
          <w:p w:rsidR="00540DA9" w:rsidRPr="00B35A9B" w:rsidRDefault="00540DA9" w:rsidP="0056546C">
            <w:pPr>
              <w:spacing w:after="0" w:line="240" w:lineRule="auto"/>
              <w:jc w:val="center"/>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6</w:t>
            </w:r>
          </w:p>
        </w:tc>
      </w:tr>
    </w:tbl>
    <w:p w:rsidR="00173058" w:rsidRPr="00E81087" w:rsidRDefault="00173058" w:rsidP="00A162EA">
      <w:pPr>
        <w:spacing w:after="0" w:line="240" w:lineRule="auto"/>
        <w:ind w:firstLine="567"/>
        <w:jc w:val="both"/>
        <w:rPr>
          <w:rFonts w:ascii="Times New Roman" w:eastAsia="Times New Roman" w:hAnsi="Times New Roman" w:cs="Times New Roman"/>
          <w:sz w:val="16"/>
          <w:szCs w:val="16"/>
          <w:lang w:eastAsia="sk-SK"/>
        </w:rPr>
      </w:pPr>
      <w:r w:rsidRPr="00E81087">
        <w:rPr>
          <w:rFonts w:ascii="Times New Roman" w:eastAsia="Times New Roman" w:hAnsi="Times New Roman" w:cs="Times New Roman"/>
          <w:sz w:val="16"/>
          <w:szCs w:val="16"/>
          <w:lang w:eastAsia="sk-SK"/>
        </w:rPr>
        <w:t>Vysvetlivka</w:t>
      </w:r>
      <w:r w:rsidR="00E81087">
        <w:rPr>
          <w:rFonts w:ascii="Times New Roman" w:eastAsia="Times New Roman" w:hAnsi="Times New Roman" w:cs="Times New Roman"/>
          <w:sz w:val="16"/>
          <w:szCs w:val="16"/>
          <w:lang w:eastAsia="sk-SK"/>
        </w:rPr>
        <w:t xml:space="preserve"> k tabuľke</w:t>
      </w:r>
      <w:r w:rsidRPr="00E81087">
        <w:rPr>
          <w:rFonts w:ascii="Times New Roman" w:eastAsia="Times New Roman" w:hAnsi="Times New Roman" w:cs="Times New Roman"/>
          <w:sz w:val="16"/>
          <w:szCs w:val="16"/>
          <w:lang w:eastAsia="sk-SK"/>
        </w:rPr>
        <w:t>:</w:t>
      </w:r>
    </w:p>
    <w:p w:rsidR="00D94FD4" w:rsidRPr="00E81087" w:rsidRDefault="00D94FD4" w:rsidP="00A162EA">
      <w:pPr>
        <w:spacing w:after="0" w:line="240" w:lineRule="auto"/>
        <w:ind w:left="567" w:right="593"/>
        <w:jc w:val="both"/>
        <w:rPr>
          <w:rFonts w:ascii="Times New Roman" w:eastAsia="Times New Roman" w:hAnsi="Times New Roman" w:cs="Times New Roman"/>
          <w:sz w:val="16"/>
          <w:szCs w:val="16"/>
          <w:lang w:eastAsia="sk-SK"/>
        </w:rPr>
      </w:pPr>
      <w:r w:rsidRPr="00E81087">
        <w:rPr>
          <w:rFonts w:ascii="Times New Roman" w:eastAsia="Times New Roman" w:hAnsi="Times New Roman" w:cs="Times New Roman"/>
          <w:sz w:val="16"/>
          <w:szCs w:val="16"/>
          <w:lang w:eastAsia="sk-SK"/>
        </w:rPr>
        <w:t xml:space="preserve">* Žiadna obec </w:t>
      </w:r>
      <w:r w:rsidR="004828E6">
        <w:rPr>
          <w:rFonts w:ascii="Times New Roman" w:eastAsia="Times New Roman" w:hAnsi="Times New Roman" w:cs="Times New Roman"/>
          <w:sz w:val="16"/>
          <w:szCs w:val="16"/>
          <w:lang w:eastAsia="sk-SK"/>
        </w:rPr>
        <w:t xml:space="preserve">veľkostnej </w:t>
      </w:r>
      <w:r w:rsidRPr="00E81087">
        <w:rPr>
          <w:rFonts w:ascii="Times New Roman" w:eastAsia="Times New Roman" w:hAnsi="Times New Roman" w:cs="Times New Roman"/>
          <w:sz w:val="16"/>
          <w:szCs w:val="16"/>
          <w:lang w:eastAsia="sk-SK"/>
        </w:rPr>
        <w:t xml:space="preserve">kategórie A </w:t>
      </w:r>
      <w:r w:rsidR="004828E6">
        <w:rPr>
          <w:rFonts w:ascii="Times New Roman" w:eastAsia="Times New Roman" w:hAnsi="Times New Roman" w:cs="Times New Roman"/>
          <w:sz w:val="16"/>
          <w:szCs w:val="16"/>
          <w:lang w:eastAsia="sk-SK"/>
        </w:rPr>
        <w:t xml:space="preserve">(do 500 obyvateľov) </w:t>
      </w:r>
      <w:r w:rsidRPr="00E81087">
        <w:rPr>
          <w:rFonts w:ascii="Times New Roman" w:eastAsia="Times New Roman" w:hAnsi="Times New Roman" w:cs="Times New Roman"/>
          <w:sz w:val="16"/>
          <w:szCs w:val="16"/>
          <w:lang w:eastAsia="sk-SK"/>
        </w:rPr>
        <w:t>nevykonávala úlohy</w:t>
      </w:r>
      <w:r w:rsidR="004828E6">
        <w:rPr>
          <w:rFonts w:ascii="Times New Roman" w:eastAsia="Times New Roman" w:hAnsi="Times New Roman" w:cs="Times New Roman"/>
          <w:sz w:val="16"/>
          <w:szCs w:val="16"/>
          <w:lang w:eastAsia="sk-SK"/>
        </w:rPr>
        <w:t xml:space="preserve"> na</w:t>
      </w:r>
      <w:r w:rsidRPr="00E81087">
        <w:rPr>
          <w:rFonts w:ascii="Times New Roman" w:eastAsia="Times New Roman" w:hAnsi="Times New Roman" w:cs="Times New Roman"/>
          <w:sz w:val="16"/>
          <w:szCs w:val="16"/>
          <w:lang w:eastAsia="sk-SK"/>
        </w:rPr>
        <w:t xml:space="preserve"> úseku školstva samostatne, t.j. hodnotu nebolo možné vyčísliť.</w:t>
      </w:r>
    </w:p>
    <w:p w:rsidR="004E49D5" w:rsidRDefault="009A5FA0" w:rsidP="0039203A">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Východiskom bolo očakávanie, že s vyššou veľkostnou kategóriou obce bude rásť produktivita. </w:t>
      </w:r>
      <w:r w:rsidR="00976D26">
        <w:rPr>
          <w:rFonts w:ascii="Times New Roman" w:eastAsia="Times New Roman" w:hAnsi="Times New Roman" w:cs="Times New Roman"/>
          <w:lang w:eastAsia="sk-SK"/>
        </w:rPr>
        <w:t xml:space="preserve">Vykázané údaje </w:t>
      </w:r>
      <w:r w:rsidR="00DB5906">
        <w:rPr>
          <w:rFonts w:ascii="Times New Roman" w:eastAsia="Times New Roman" w:hAnsi="Times New Roman" w:cs="Times New Roman"/>
          <w:lang w:eastAsia="sk-SK"/>
        </w:rPr>
        <w:t xml:space="preserve">jednoznačne </w:t>
      </w:r>
      <w:r>
        <w:rPr>
          <w:rFonts w:ascii="Times New Roman" w:eastAsia="Times New Roman" w:hAnsi="Times New Roman" w:cs="Times New Roman"/>
          <w:lang w:eastAsia="sk-SK"/>
        </w:rPr>
        <w:t>predpoklad nepotvrdili</w:t>
      </w:r>
      <w:r w:rsidR="00976D26">
        <w:rPr>
          <w:rFonts w:ascii="Times New Roman" w:eastAsia="Times New Roman" w:hAnsi="Times New Roman" w:cs="Times New Roman"/>
          <w:lang w:eastAsia="sk-SK"/>
        </w:rPr>
        <w:t xml:space="preserve">. </w:t>
      </w:r>
      <w:r w:rsidR="0039203A" w:rsidRPr="0039203A">
        <w:rPr>
          <w:rFonts w:ascii="Times New Roman" w:eastAsia="Times New Roman" w:hAnsi="Times New Roman" w:cs="Times New Roman"/>
          <w:lang w:eastAsia="sk-SK"/>
        </w:rPr>
        <w:t>Vysvetlením môže byť, že malé obce vykonávajú pomerne viac procesne jednoduchších a tým časovo menej náročných úkonov, ale práve tak môže existovať aj nákladová neefektívnosť vo väčších obciach</w:t>
      </w:r>
      <w:r w:rsidR="0039203A">
        <w:rPr>
          <w:rFonts w:ascii="Times New Roman" w:eastAsia="Times New Roman" w:hAnsi="Times New Roman" w:cs="Times New Roman"/>
          <w:lang w:eastAsia="sk-SK"/>
        </w:rPr>
        <w:t>.</w:t>
      </w:r>
      <w:r w:rsidR="0039203A" w:rsidRPr="0039203A">
        <w:rPr>
          <w:rFonts w:ascii="Times New Roman" w:eastAsia="Times New Roman" w:hAnsi="Times New Roman" w:cs="Times New Roman"/>
          <w:lang w:eastAsia="sk-SK"/>
        </w:rPr>
        <w:t xml:space="preserve"> </w:t>
      </w:r>
      <w:r w:rsidR="0039203A">
        <w:rPr>
          <w:rFonts w:ascii="Times New Roman" w:eastAsia="Times New Roman" w:hAnsi="Times New Roman" w:cs="Times New Roman"/>
          <w:lang w:eastAsia="sk-SK"/>
        </w:rPr>
        <w:t>Samozrejme nemožno opomenúť možné nepresnosti v údajoch o </w:t>
      </w:r>
      <w:r w:rsidR="00976D26">
        <w:rPr>
          <w:rFonts w:ascii="Times New Roman" w:eastAsia="Times New Roman" w:hAnsi="Times New Roman" w:cs="Times New Roman"/>
          <w:lang w:eastAsia="sk-SK"/>
        </w:rPr>
        <w:t>zamestnancoch na úseky</w:t>
      </w:r>
      <w:r>
        <w:rPr>
          <w:rFonts w:ascii="Times New Roman" w:eastAsia="Times New Roman" w:hAnsi="Times New Roman" w:cs="Times New Roman"/>
          <w:lang w:eastAsia="sk-SK"/>
        </w:rPr>
        <w:t xml:space="preserve"> a</w:t>
      </w:r>
      <w:r w:rsidR="0039203A">
        <w:rPr>
          <w:rFonts w:ascii="Times New Roman" w:eastAsia="Times New Roman" w:hAnsi="Times New Roman" w:cs="Times New Roman"/>
          <w:lang w:eastAsia="sk-SK"/>
        </w:rPr>
        <w:t xml:space="preserve"> nemalé </w:t>
      </w:r>
      <w:r>
        <w:rPr>
          <w:rFonts w:ascii="Times New Roman" w:eastAsia="Times New Roman" w:hAnsi="Times New Roman" w:cs="Times New Roman"/>
          <w:lang w:eastAsia="sk-SK"/>
        </w:rPr>
        <w:t>skreslenie</w:t>
      </w:r>
      <w:r w:rsidR="004E49D5">
        <w:rPr>
          <w:rFonts w:ascii="Times New Roman" w:eastAsia="Times New Roman" w:hAnsi="Times New Roman" w:cs="Times New Roman"/>
          <w:lang w:eastAsia="sk-SK"/>
        </w:rPr>
        <w:t xml:space="preserve"> dan</w:t>
      </w:r>
      <w:r>
        <w:rPr>
          <w:rFonts w:ascii="Times New Roman" w:eastAsia="Times New Roman" w:hAnsi="Times New Roman" w:cs="Times New Roman"/>
          <w:lang w:eastAsia="sk-SK"/>
        </w:rPr>
        <w:t>é</w:t>
      </w:r>
      <w:r w:rsidR="004E49D5">
        <w:rPr>
          <w:rFonts w:ascii="Times New Roman" w:eastAsia="Times New Roman" w:hAnsi="Times New Roman" w:cs="Times New Roman"/>
          <w:lang w:eastAsia="sk-SK"/>
        </w:rPr>
        <w:t xml:space="preserve"> nasledovnými skutočnosťami: </w:t>
      </w:r>
    </w:p>
    <w:p w:rsidR="00976D26" w:rsidRPr="004E49D5" w:rsidRDefault="004E49D5" w:rsidP="009A5FA0">
      <w:pPr>
        <w:pStyle w:val="Odsekzoznamu"/>
        <w:numPr>
          <w:ilvl w:val="0"/>
          <w:numId w:val="27"/>
        </w:numPr>
        <w:spacing w:before="60" w:after="0" w:line="240" w:lineRule="auto"/>
        <w:ind w:left="1134" w:hanging="357"/>
        <w:jc w:val="both"/>
        <w:rPr>
          <w:rFonts w:ascii="Times New Roman" w:eastAsia="Times New Roman" w:hAnsi="Times New Roman" w:cs="Times New Roman"/>
          <w:lang w:eastAsia="sk-SK"/>
        </w:rPr>
      </w:pPr>
      <w:r w:rsidRPr="004E49D5">
        <w:rPr>
          <w:rFonts w:ascii="Times New Roman" w:eastAsia="Times New Roman" w:hAnsi="Times New Roman" w:cs="Times New Roman"/>
          <w:lang w:eastAsia="sk-SK"/>
        </w:rPr>
        <w:lastRenderedPageBreak/>
        <w:t xml:space="preserve">úlohy pre </w:t>
      </w:r>
      <w:r w:rsidR="0039203A">
        <w:rPr>
          <w:rFonts w:ascii="Times New Roman" w:eastAsia="Times New Roman" w:hAnsi="Times New Roman" w:cs="Times New Roman"/>
          <w:lang w:eastAsia="sk-SK"/>
        </w:rPr>
        <w:t>viaceré obce</w:t>
      </w:r>
      <w:r w:rsidRPr="004E49D5">
        <w:rPr>
          <w:rFonts w:ascii="Times New Roman" w:eastAsia="Times New Roman" w:hAnsi="Times New Roman" w:cs="Times New Roman"/>
          <w:lang w:eastAsia="sk-SK"/>
        </w:rPr>
        <w:t xml:space="preserve"> zabezpečujú spoločné obecné úrady (preto obce nevykazujú na danom úseku zamestnancov)</w:t>
      </w:r>
      <w:r w:rsidR="004B3CA1">
        <w:rPr>
          <w:rFonts w:ascii="Times New Roman" w:eastAsia="Times New Roman" w:hAnsi="Times New Roman" w:cs="Times New Roman"/>
          <w:lang w:eastAsia="sk-SK"/>
        </w:rPr>
        <w:t>,</w:t>
      </w:r>
    </w:p>
    <w:p w:rsidR="004E49D5" w:rsidRPr="004E49D5" w:rsidRDefault="004E49D5" w:rsidP="004E49D5">
      <w:pPr>
        <w:pStyle w:val="Odsekzoznamu"/>
        <w:numPr>
          <w:ilvl w:val="0"/>
          <w:numId w:val="27"/>
        </w:numPr>
        <w:spacing w:before="120" w:after="0" w:line="240" w:lineRule="auto"/>
        <w:ind w:left="1134"/>
        <w:jc w:val="both"/>
        <w:rPr>
          <w:rFonts w:ascii="Times New Roman" w:hAnsi="Times New Roman" w:cs="Times New Roman"/>
        </w:rPr>
      </w:pPr>
      <w:r w:rsidRPr="004E49D5">
        <w:rPr>
          <w:rFonts w:ascii="Times New Roman" w:eastAsia="Times New Roman" w:hAnsi="Times New Roman" w:cs="Times New Roman"/>
          <w:lang w:eastAsia="sk-SK"/>
        </w:rPr>
        <w:t>úlohy v obci zabezpečuje starosta, ktorý nie je zamestnancom.</w:t>
      </w:r>
    </w:p>
    <w:p w:rsidR="004E49D5" w:rsidRDefault="0039203A" w:rsidP="00B35A9B">
      <w:pPr>
        <w:spacing w:before="120" w:after="120" w:line="240" w:lineRule="auto"/>
        <w:ind w:firstLine="709"/>
        <w:jc w:val="both"/>
        <w:rPr>
          <w:rFonts w:ascii="Times New Roman" w:hAnsi="Times New Roman" w:cs="Times New Roman"/>
        </w:rPr>
      </w:pPr>
      <w:r>
        <w:rPr>
          <w:rFonts w:ascii="Times New Roman" w:hAnsi="Times New Roman" w:cs="Times New Roman"/>
        </w:rPr>
        <w:t>Čiastočnú p</w:t>
      </w:r>
      <w:r w:rsidR="004E49D5">
        <w:rPr>
          <w:rFonts w:ascii="Times New Roman" w:hAnsi="Times New Roman" w:cs="Times New Roman"/>
        </w:rPr>
        <w:t>redstavu o </w:t>
      </w:r>
      <w:r>
        <w:rPr>
          <w:rFonts w:ascii="Times New Roman" w:hAnsi="Times New Roman" w:cs="Times New Roman"/>
        </w:rPr>
        <w:t>skreslení</w:t>
      </w:r>
      <w:r w:rsidR="004E49D5">
        <w:rPr>
          <w:rFonts w:ascii="Times New Roman" w:hAnsi="Times New Roman" w:cs="Times New Roman"/>
        </w:rPr>
        <w:t xml:space="preserve"> môže poskytnúť p</w:t>
      </w:r>
      <w:r>
        <w:rPr>
          <w:rFonts w:ascii="Times New Roman" w:hAnsi="Times New Roman" w:cs="Times New Roman"/>
        </w:rPr>
        <w:t>ohľad na</w:t>
      </w:r>
      <w:r w:rsidR="004E49D5">
        <w:rPr>
          <w:rFonts w:ascii="Times New Roman" w:hAnsi="Times New Roman" w:cs="Times New Roman"/>
        </w:rPr>
        <w:t> priemern</w:t>
      </w:r>
      <w:r>
        <w:rPr>
          <w:rFonts w:ascii="Times New Roman" w:hAnsi="Times New Roman" w:cs="Times New Roman"/>
        </w:rPr>
        <w:t>é počty</w:t>
      </w:r>
      <w:r w:rsidR="004E49D5">
        <w:rPr>
          <w:rFonts w:ascii="Times New Roman" w:hAnsi="Times New Roman" w:cs="Times New Roman"/>
        </w:rPr>
        <w:t xml:space="preserve"> výstupov na jednu obec v príslušnej veľkostnej kategórii:</w:t>
      </w:r>
    </w:p>
    <w:p w:rsidR="00100BB5" w:rsidRDefault="003E080D" w:rsidP="00100BB5">
      <w:pPr>
        <w:spacing w:before="120" w:after="0" w:line="240" w:lineRule="auto"/>
        <w:jc w:val="center"/>
        <w:rPr>
          <w:rFonts w:ascii="Times New Roman" w:hAnsi="Times New Roman" w:cs="Times New Roman"/>
          <w:sz w:val="16"/>
          <w:szCs w:val="16"/>
        </w:rPr>
      </w:pPr>
      <w:r w:rsidRPr="003E080D">
        <w:rPr>
          <w:rFonts w:ascii="Times New Roman" w:hAnsi="Times New Roman" w:cs="Times New Roman"/>
          <w:b/>
          <w:sz w:val="16"/>
          <w:szCs w:val="16"/>
        </w:rPr>
        <w:t>Tabuľka 3</w:t>
      </w:r>
      <w:r w:rsidR="00FB72B4">
        <w:rPr>
          <w:rFonts w:ascii="Times New Roman" w:hAnsi="Times New Roman" w:cs="Times New Roman"/>
          <w:b/>
          <w:sz w:val="16"/>
          <w:szCs w:val="16"/>
        </w:rPr>
        <w:t>:</w:t>
      </w:r>
      <w:r w:rsidRPr="003E080D">
        <w:rPr>
          <w:rFonts w:ascii="Times New Roman" w:hAnsi="Times New Roman" w:cs="Times New Roman"/>
          <w:sz w:val="16"/>
          <w:szCs w:val="16"/>
        </w:rPr>
        <w:t xml:space="preserve"> Priemerné počty výstupov na jednu obec </w:t>
      </w:r>
    </w:p>
    <w:p w:rsidR="003E080D" w:rsidRPr="003E080D" w:rsidRDefault="003E080D" w:rsidP="00100BB5">
      <w:pPr>
        <w:spacing w:after="60" w:line="240" w:lineRule="auto"/>
        <w:jc w:val="center"/>
        <w:rPr>
          <w:rFonts w:ascii="Times New Roman" w:hAnsi="Times New Roman" w:cs="Times New Roman"/>
          <w:sz w:val="16"/>
          <w:szCs w:val="16"/>
        </w:rPr>
      </w:pPr>
      <w:r w:rsidRPr="003E080D">
        <w:rPr>
          <w:rFonts w:ascii="Times New Roman" w:hAnsi="Times New Roman" w:cs="Times New Roman"/>
          <w:sz w:val="16"/>
          <w:szCs w:val="16"/>
        </w:rPr>
        <w:t>podľa veľkostných kategórií</w:t>
      </w:r>
      <w:r w:rsidR="00100BB5">
        <w:rPr>
          <w:rFonts w:ascii="Times New Roman" w:hAnsi="Times New Roman" w:cs="Times New Roman"/>
          <w:sz w:val="16"/>
          <w:szCs w:val="16"/>
        </w:rPr>
        <w:t xml:space="preserve"> obcí </w:t>
      </w:r>
      <w:r w:rsidR="00100BB5">
        <w:rPr>
          <w:rFonts w:ascii="Times New Roman" w:eastAsia="Times New Roman" w:hAnsi="Times New Roman" w:cs="Times New Roman"/>
          <w:sz w:val="16"/>
          <w:szCs w:val="16"/>
          <w:lang w:eastAsia="sk-SK"/>
        </w:rPr>
        <w:t>na úsekoch pôsobností prenesených na obce</w:t>
      </w:r>
    </w:p>
    <w:tbl>
      <w:tblPr>
        <w:tblW w:w="8628" w:type="dxa"/>
        <w:jc w:val="center"/>
        <w:tblInd w:w="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22"/>
        <w:gridCol w:w="3460"/>
        <w:gridCol w:w="1011"/>
        <w:gridCol w:w="1012"/>
        <w:gridCol w:w="1011"/>
        <w:gridCol w:w="1012"/>
      </w:tblGrid>
      <w:tr w:rsidR="00CB5C4D" w:rsidRPr="00B35A9B" w:rsidTr="00CB5C4D">
        <w:trPr>
          <w:trHeight w:val="277"/>
          <w:tblHeader/>
          <w:jc w:val="center"/>
        </w:trPr>
        <w:tc>
          <w:tcPr>
            <w:tcW w:w="1122" w:type="dxa"/>
            <w:shd w:val="clear" w:color="auto" w:fill="auto"/>
            <w:vAlign w:val="bottom"/>
            <w:hideMark/>
          </w:tcPr>
          <w:p w:rsidR="00CB5C4D" w:rsidRPr="00EA6438" w:rsidRDefault="00CB5C4D" w:rsidP="00EA6438">
            <w:pPr>
              <w:spacing w:after="0" w:line="240" w:lineRule="auto"/>
              <w:jc w:val="center"/>
              <w:rPr>
                <w:rFonts w:ascii="Times New Roman" w:eastAsia="Times New Roman" w:hAnsi="Times New Roman" w:cs="Times New Roman"/>
                <w:bCs/>
                <w:color w:val="000000"/>
                <w:sz w:val="18"/>
                <w:szCs w:val="18"/>
                <w:lang w:eastAsia="sk-SK"/>
              </w:rPr>
            </w:pPr>
            <w:r w:rsidRPr="00EA6438">
              <w:rPr>
                <w:rFonts w:ascii="Times New Roman" w:eastAsia="Times New Roman" w:hAnsi="Times New Roman" w:cs="Times New Roman"/>
                <w:bCs/>
                <w:color w:val="000000"/>
                <w:sz w:val="18"/>
                <w:szCs w:val="18"/>
                <w:lang w:eastAsia="sk-SK"/>
              </w:rPr>
              <w:t>ministerstvá</w:t>
            </w:r>
          </w:p>
        </w:tc>
        <w:tc>
          <w:tcPr>
            <w:tcW w:w="3460" w:type="dxa"/>
            <w:shd w:val="clear" w:color="auto" w:fill="auto"/>
            <w:vAlign w:val="bottom"/>
            <w:hideMark/>
          </w:tcPr>
          <w:p w:rsidR="00CB5C4D" w:rsidRPr="00EA6438" w:rsidRDefault="00CB5C4D" w:rsidP="008B6410">
            <w:pPr>
              <w:spacing w:after="0" w:line="240" w:lineRule="auto"/>
              <w:jc w:val="center"/>
              <w:rPr>
                <w:rFonts w:ascii="Times New Roman" w:eastAsia="Times New Roman" w:hAnsi="Times New Roman" w:cs="Times New Roman"/>
                <w:bCs/>
                <w:color w:val="000000"/>
                <w:sz w:val="18"/>
                <w:szCs w:val="18"/>
                <w:lang w:eastAsia="sk-SK"/>
              </w:rPr>
            </w:pPr>
            <w:r w:rsidRPr="00EA6438">
              <w:rPr>
                <w:rFonts w:ascii="Times New Roman" w:eastAsia="Times New Roman" w:hAnsi="Times New Roman" w:cs="Times New Roman"/>
                <w:bCs/>
                <w:color w:val="000000"/>
                <w:sz w:val="18"/>
                <w:szCs w:val="18"/>
                <w:lang w:eastAsia="sk-SK"/>
              </w:rPr>
              <w:t>úseky</w:t>
            </w:r>
          </w:p>
        </w:tc>
        <w:tc>
          <w:tcPr>
            <w:tcW w:w="1011" w:type="dxa"/>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do 500 obyvateľov</w:t>
            </w:r>
          </w:p>
        </w:tc>
        <w:tc>
          <w:tcPr>
            <w:tcW w:w="1012" w:type="dxa"/>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od 501 - 1000 obyvateľov</w:t>
            </w:r>
          </w:p>
        </w:tc>
        <w:tc>
          <w:tcPr>
            <w:tcW w:w="1011" w:type="dxa"/>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od 1001 - 5000 obyvateľov</w:t>
            </w:r>
          </w:p>
        </w:tc>
        <w:tc>
          <w:tcPr>
            <w:tcW w:w="1012" w:type="dxa"/>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nad 5000 obyvateľov</w:t>
            </w:r>
          </w:p>
        </w:tc>
      </w:tr>
      <w:tr w:rsidR="008362F6" w:rsidRPr="00B35A9B" w:rsidTr="009A5FA0">
        <w:trPr>
          <w:trHeight w:val="216"/>
          <w:jc w:val="center"/>
        </w:trPr>
        <w:tc>
          <w:tcPr>
            <w:tcW w:w="1122" w:type="dxa"/>
            <w:vMerge w:val="restart"/>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MDVRR SR</w:t>
            </w:r>
          </w:p>
        </w:tc>
        <w:tc>
          <w:tcPr>
            <w:tcW w:w="3460" w:type="dxa"/>
            <w:shd w:val="clear" w:color="auto" w:fill="auto"/>
          </w:tcPr>
          <w:p w:rsidR="008362F6" w:rsidRPr="00B35A9B" w:rsidRDefault="008362F6" w:rsidP="006C64DC">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 xml:space="preserve">úsek </w:t>
            </w:r>
            <w:r w:rsidR="006C64DC">
              <w:rPr>
                <w:rFonts w:ascii="Times New Roman" w:eastAsia="Times New Roman" w:hAnsi="Times New Roman" w:cs="Times New Roman"/>
                <w:color w:val="000000"/>
                <w:sz w:val="18"/>
                <w:szCs w:val="18"/>
                <w:lang w:eastAsia="sk-SK"/>
              </w:rPr>
              <w:t>miestnych a účelových komunikácií</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0,78</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0,95</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2,91</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170,85</w:t>
            </w:r>
          </w:p>
        </w:tc>
      </w:tr>
      <w:tr w:rsidR="008362F6" w:rsidRPr="00B35A9B" w:rsidTr="009A5FA0">
        <w:trPr>
          <w:trHeight w:val="216"/>
          <w:jc w:val="center"/>
        </w:trPr>
        <w:tc>
          <w:tcPr>
            <w:tcW w:w="1122" w:type="dxa"/>
            <w:vMerge/>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stavebného poriadku</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10,39</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20,62</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39,47</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620,93</w:t>
            </w:r>
          </w:p>
        </w:tc>
      </w:tr>
      <w:tr w:rsidR="008362F6" w:rsidRPr="00B35A9B" w:rsidTr="009A5FA0">
        <w:trPr>
          <w:trHeight w:val="420"/>
          <w:jc w:val="center"/>
        </w:trPr>
        <w:tc>
          <w:tcPr>
            <w:tcW w:w="1122" w:type="dxa"/>
            <w:vMerge/>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špeciálneho stavebného úradu pre miestne a účelové komunikácie</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0,16</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0,38</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0,75</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29,13</w:t>
            </w:r>
          </w:p>
        </w:tc>
      </w:tr>
      <w:tr w:rsidR="008362F6" w:rsidRPr="00B35A9B" w:rsidTr="009A5FA0">
        <w:trPr>
          <w:trHeight w:val="216"/>
          <w:jc w:val="center"/>
        </w:trPr>
        <w:tc>
          <w:tcPr>
            <w:tcW w:w="1122"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MŠVVŠ SR</w:t>
            </w: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školstva (zriaďovateľská pôsobnosť vo vzťahu k základným školám)</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0,94</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3,43</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8,17</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196,10</w:t>
            </w:r>
          </w:p>
        </w:tc>
      </w:tr>
      <w:tr w:rsidR="008362F6" w:rsidRPr="00B35A9B" w:rsidTr="009A5FA0">
        <w:trPr>
          <w:trHeight w:val="216"/>
          <w:jc w:val="center"/>
        </w:trPr>
        <w:tc>
          <w:tcPr>
            <w:tcW w:w="1122" w:type="dxa"/>
            <w:vMerge w:val="restart"/>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MV SR</w:t>
            </w: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 xml:space="preserve">úsek matrík </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0,35</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1,61</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42,21</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3579,36</w:t>
            </w:r>
          </w:p>
        </w:tc>
      </w:tr>
      <w:tr w:rsidR="008362F6" w:rsidRPr="00B35A9B" w:rsidTr="009A5FA0">
        <w:trPr>
          <w:trHeight w:val="216"/>
          <w:jc w:val="center"/>
        </w:trPr>
        <w:tc>
          <w:tcPr>
            <w:tcW w:w="1122" w:type="dxa"/>
            <w:vMerge/>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hlásenia pobytu a registra obyvateľov</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25,57</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68,72</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176,38</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2576,54</w:t>
            </w:r>
          </w:p>
        </w:tc>
      </w:tr>
      <w:tr w:rsidR="008362F6" w:rsidRPr="00B35A9B" w:rsidTr="009A5FA0">
        <w:trPr>
          <w:trHeight w:val="216"/>
          <w:jc w:val="center"/>
        </w:trPr>
        <w:tc>
          <w:tcPr>
            <w:tcW w:w="1122" w:type="dxa"/>
            <w:vMerge/>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ú</w:t>
            </w:r>
            <w:r w:rsidRPr="00B35A9B">
              <w:rPr>
                <w:rFonts w:ascii="Times New Roman" w:eastAsia="Times New Roman" w:hAnsi="Times New Roman" w:cs="Times New Roman"/>
                <w:color w:val="000000"/>
                <w:sz w:val="18"/>
                <w:szCs w:val="18"/>
                <w:lang w:eastAsia="sk-SK"/>
              </w:rPr>
              <w:t>sek ochrany pred požiarmi</w:t>
            </w:r>
          </w:p>
        </w:tc>
        <w:tc>
          <w:tcPr>
            <w:tcW w:w="1011" w:type="dxa"/>
            <w:shd w:val="clear" w:color="auto" w:fill="auto"/>
          </w:tcPr>
          <w:p w:rsidR="008362F6" w:rsidRPr="00B35A9B" w:rsidRDefault="00F846B9"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9,56</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26,01</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42,04</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135,96</w:t>
            </w:r>
          </w:p>
        </w:tc>
      </w:tr>
      <w:tr w:rsidR="008362F6" w:rsidRPr="00B35A9B" w:rsidTr="009A5FA0">
        <w:trPr>
          <w:trHeight w:val="216"/>
          <w:jc w:val="center"/>
        </w:trPr>
        <w:tc>
          <w:tcPr>
            <w:tcW w:w="1122" w:type="dxa"/>
            <w:vMerge w:val="restart"/>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MŽP SR</w:t>
            </w: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ochrany ovzdušia</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0,39</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1,01</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2,45</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23,87</w:t>
            </w:r>
          </w:p>
        </w:tc>
      </w:tr>
      <w:tr w:rsidR="008362F6" w:rsidRPr="00B35A9B" w:rsidTr="009A5FA0">
        <w:trPr>
          <w:trHeight w:val="216"/>
          <w:jc w:val="center"/>
        </w:trPr>
        <w:tc>
          <w:tcPr>
            <w:tcW w:w="1122" w:type="dxa"/>
            <w:vMerge/>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p>
        </w:tc>
        <w:tc>
          <w:tcPr>
            <w:tcW w:w="3460" w:type="dxa"/>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ochrany krajiny a prírody</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0,87</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1,94</w:t>
            </w:r>
          </w:p>
        </w:tc>
        <w:tc>
          <w:tcPr>
            <w:tcW w:w="1011"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4,25</w:t>
            </w:r>
          </w:p>
        </w:tc>
        <w:tc>
          <w:tcPr>
            <w:tcW w:w="1012" w:type="dxa"/>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52,89</w:t>
            </w:r>
          </w:p>
        </w:tc>
      </w:tr>
      <w:tr w:rsidR="008362F6" w:rsidRPr="00B35A9B" w:rsidTr="00DA5D03">
        <w:trPr>
          <w:trHeight w:val="189"/>
          <w:jc w:val="center"/>
        </w:trPr>
        <w:tc>
          <w:tcPr>
            <w:tcW w:w="1122" w:type="dxa"/>
            <w:vMerge/>
            <w:tcBorders>
              <w:bottom w:val="single" w:sz="6" w:space="0" w:color="auto"/>
            </w:tcBorders>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p>
        </w:tc>
        <w:tc>
          <w:tcPr>
            <w:tcW w:w="3460" w:type="dxa"/>
            <w:tcBorders>
              <w:bottom w:val="single" w:sz="6" w:space="0" w:color="auto"/>
            </w:tcBorders>
            <w:shd w:val="clear" w:color="auto" w:fill="auto"/>
          </w:tcPr>
          <w:p w:rsidR="008362F6" w:rsidRPr="00B35A9B" w:rsidRDefault="008362F6" w:rsidP="008B6410">
            <w:pPr>
              <w:spacing w:after="0" w:line="240" w:lineRule="auto"/>
              <w:rPr>
                <w:rFonts w:ascii="Times New Roman" w:eastAsia="Times New Roman" w:hAnsi="Times New Roman" w:cs="Times New Roman"/>
                <w:color w:val="000000"/>
                <w:sz w:val="18"/>
                <w:szCs w:val="18"/>
                <w:lang w:eastAsia="sk-SK"/>
              </w:rPr>
            </w:pPr>
            <w:r w:rsidRPr="00B35A9B">
              <w:rPr>
                <w:rFonts w:ascii="Times New Roman" w:eastAsia="Times New Roman" w:hAnsi="Times New Roman" w:cs="Times New Roman"/>
                <w:color w:val="000000"/>
                <w:sz w:val="18"/>
                <w:szCs w:val="18"/>
                <w:lang w:eastAsia="sk-SK"/>
              </w:rPr>
              <w:t>úsek št. vodnej správy</w:t>
            </w:r>
          </w:p>
        </w:tc>
        <w:tc>
          <w:tcPr>
            <w:tcW w:w="1011" w:type="dxa"/>
            <w:tcBorders>
              <w:bottom w:val="single" w:sz="6" w:space="0" w:color="auto"/>
            </w:tcBorders>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0,05</w:t>
            </w:r>
          </w:p>
        </w:tc>
        <w:tc>
          <w:tcPr>
            <w:tcW w:w="1012" w:type="dxa"/>
            <w:tcBorders>
              <w:bottom w:val="single" w:sz="6" w:space="0" w:color="auto"/>
            </w:tcBorders>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0,17</w:t>
            </w:r>
          </w:p>
        </w:tc>
        <w:tc>
          <w:tcPr>
            <w:tcW w:w="1011" w:type="dxa"/>
            <w:tcBorders>
              <w:bottom w:val="single" w:sz="6" w:space="0" w:color="auto"/>
            </w:tcBorders>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0,26</w:t>
            </w:r>
          </w:p>
        </w:tc>
        <w:tc>
          <w:tcPr>
            <w:tcW w:w="1012" w:type="dxa"/>
            <w:tcBorders>
              <w:bottom w:val="single" w:sz="6" w:space="0" w:color="auto"/>
            </w:tcBorders>
            <w:shd w:val="clear" w:color="auto" w:fill="auto"/>
          </w:tcPr>
          <w:p w:rsidR="008362F6" w:rsidRPr="00B35A9B" w:rsidRDefault="008362F6" w:rsidP="008B6410">
            <w:pPr>
              <w:spacing w:after="0" w:line="240" w:lineRule="auto"/>
              <w:jc w:val="center"/>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1,39</w:t>
            </w:r>
          </w:p>
        </w:tc>
      </w:tr>
    </w:tbl>
    <w:p w:rsidR="00FB357C" w:rsidRDefault="00FB357C" w:rsidP="00AE7ED0">
      <w:pPr>
        <w:spacing w:before="120" w:after="120" w:line="240" w:lineRule="auto"/>
        <w:ind w:firstLine="709"/>
        <w:jc w:val="both"/>
        <w:rPr>
          <w:rFonts w:ascii="Times New Roman" w:eastAsia="Times New Roman" w:hAnsi="Times New Roman" w:cs="Times New Roman"/>
          <w:lang w:eastAsia="sk-SK"/>
        </w:rPr>
      </w:pPr>
      <w:r w:rsidRPr="00FB357C">
        <w:rPr>
          <w:rFonts w:ascii="Times New Roman" w:eastAsia="Times New Roman" w:hAnsi="Times New Roman" w:cs="Times New Roman"/>
          <w:lang w:eastAsia="sk-SK"/>
        </w:rPr>
        <w:t>Počet rozhodnutí v správnom konaní s uvedením počtu odvolaní voči rozhodnutiam v správnom konaní, ktorým bolo vyhovené, je kvantitatívnym kritériom, ktoré do značnej miery vypovedá aj o kvalite výkonu prenesených pôsobností jednotlivými veľkostnými kategóriami obcí:</w:t>
      </w:r>
    </w:p>
    <w:p w:rsidR="004B3CA1" w:rsidRDefault="004B3CA1" w:rsidP="00B26489">
      <w:pPr>
        <w:spacing w:after="0" w:line="240" w:lineRule="auto"/>
        <w:jc w:val="center"/>
        <w:rPr>
          <w:rFonts w:ascii="Times New Roman" w:eastAsia="Times New Roman" w:hAnsi="Times New Roman" w:cs="Times New Roman"/>
          <w:sz w:val="16"/>
          <w:szCs w:val="16"/>
          <w:lang w:eastAsia="sk-SK"/>
        </w:rPr>
      </w:pPr>
      <w:r w:rsidRPr="004B3CA1">
        <w:rPr>
          <w:rFonts w:ascii="Times New Roman" w:eastAsia="Times New Roman" w:hAnsi="Times New Roman" w:cs="Times New Roman"/>
          <w:b/>
          <w:sz w:val="16"/>
          <w:szCs w:val="16"/>
          <w:lang w:eastAsia="sk-SK"/>
        </w:rPr>
        <w:t>Tabuľka 4</w:t>
      </w:r>
      <w:r w:rsidR="00FB72B4">
        <w:rPr>
          <w:rFonts w:ascii="Times New Roman" w:eastAsia="Times New Roman" w:hAnsi="Times New Roman" w:cs="Times New Roman"/>
          <w:b/>
          <w:sz w:val="16"/>
          <w:szCs w:val="16"/>
          <w:lang w:eastAsia="sk-SK"/>
        </w:rPr>
        <w:t>:</w:t>
      </w:r>
      <w:r w:rsidRPr="004B3CA1">
        <w:rPr>
          <w:rFonts w:ascii="Times New Roman" w:eastAsia="Times New Roman" w:hAnsi="Times New Roman" w:cs="Times New Roman"/>
          <w:sz w:val="16"/>
          <w:szCs w:val="16"/>
          <w:lang w:eastAsia="sk-SK"/>
        </w:rPr>
        <w:t xml:space="preserve"> Počty </w:t>
      </w:r>
      <w:r w:rsidR="00B4425E">
        <w:rPr>
          <w:rFonts w:ascii="Times New Roman" w:eastAsia="Times New Roman" w:hAnsi="Times New Roman" w:cs="Times New Roman"/>
          <w:sz w:val="16"/>
          <w:szCs w:val="16"/>
          <w:lang w:eastAsia="sk-SK"/>
        </w:rPr>
        <w:t xml:space="preserve">rozhodnutí a </w:t>
      </w:r>
      <w:r w:rsidRPr="004B3CA1">
        <w:rPr>
          <w:rFonts w:ascii="Times New Roman" w:eastAsia="Times New Roman" w:hAnsi="Times New Roman" w:cs="Times New Roman"/>
          <w:sz w:val="16"/>
          <w:szCs w:val="16"/>
          <w:lang w:eastAsia="sk-SK"/>
        </w:rPr>
        <w:t xml:space="preserve">úspešných odvolaní proti rozhodnutiam vydaným </w:t>
      </w:r>
      <w:r w:rsidR="00100BB5">
        <w:rPr>
          <w:rFonts w:ascii="Times New Roman" w:eastAsia="Times New Roman" w:hAnsi="Times New Roman" w:cs="Times New Roman"/>
          <w:sz w:val="16"/>
          <w:szCs w:val="16"/>
          <w:lang w:eastAsia="sk-SK"/>
        </w:rPr>
        <w:t xml:space="preserve">obcami </w:t>
      </w:r>
      <w:r w:rsidRPr="004B3CA1">
        <w:rPr>
          <w:rFonts w:ascii="Times New Roman" w:eastAsia="Times New Roman" w:hAnsi="Times New Roman" w:cs="Times New Roman"/>
          <w:sz w:val="16"/>
          <w:szCs w:val="16"/>
          <w:lang w:eastAsia="sk-SK"/>
        </w:rPr>
        <w:t>v správnom konaní</w:t>
      </w:r>
    </w:p>
    <w:p w:rsidR="00100BB5" w:rsidRPr="004B3CA1" w:rsidRDefault="00100BB5" w:rsidP="00100BB5">
      <w:pPr>
        <w:spacing w:after="60" w:line="240" w:lineRule="auto"/>
        <w:jc w:val="center"/>
        <w:rPr>
          <w:rFonts w:ascii="Times New Roman" w:eastAsia="Times New Roman" w:hAnsi="Times New Roman" w:cs="Times New Roman"/>
          <w:sz w:val="16"/>
          <w:szCs w:val="16"/>
          <w:lang w:eastAsia="sk-SK"/>
        </w:rPr>
      </w:pPr>
      <w:r w:rsidRPr="00100BB5">
        <w:rPr>
          <w:rFonts w:ascii="Times New Roman" w:eastAsia="Times New Roman" w:hAnsi="Times New Roman" w:cs="Times New Roman"/>
          <w:sz w:val="16"/>
          <w:szCs w:val="16"/>
          <w:lang w:eastAsia="sk-SK"/>
        </w:rPr>
        <w:t>podľa veľkostných kategórií obcí na úsekoch pôsobností prenesených na obce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28"/>
        <w:gridCol w:w="1234"/>
        <w:gridCol w:w="923"/>
        <w:gridCol w:w="554"/>
        <w:gridCol w:w="927"/>
        <w:gridCol w:w="555"/>
        <w:gridCol w:w="928"/>
        <w:gridCol w:w="635"/>
        <w:gridCol w:w="923"/>
        <w:gridCol w:w="554"/>
        <w:gridCol w:w="923"/>
        <w:gridCol w:w="580"/>
      </w:tblGrid>
      <w:tr w:rsidR="00CB5C4D" w:rsidRPr="0097554C" w:rsidTr="00A162EA">
        <w:trPr>
          <w:trHeight w:val="496"/>
          <w:jc w:val="center"/>
        </w:trPr>
        <w:tc>
          <w:tcPr>
            <w:tcW w:w="0" w:type="auto"/>
            <w:vMerge w:val="restart"/>
            <w:tcBorders>
              <w:top w:val="single" w:sz="12" w:space="0" w:color="auto"/>
              <w:left w:val="single" w:sz="12" w:space="0" w:color="auto"/>
            </w:tcBorders>
            <w:shd w:val="clear" w:color="auto" w:fill="auto"/>
            <w:vAlign w:val="center"/>
            <w:hideMark/>
          </w:tcPr>
          <w:p w:rsidR="00CB5C4D" w:rsidRPr="0097554C" w:rsidRDefault="00CB5C4D" w:rsidP="00AE7ED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ministerstvá</w:t>
            </w:r>
          </w:p>
        </w:tc>
        <w:tc>
          <w:tcPr>
            <w:tcW w:w="0" w:type="auto"/>
            <w:vMerge w:val="restart"/>
            <w:tcBorders>
              <w:top w:val="single" w:sz="12" w:space="0" w:color="auto"/>
              <w:right w:val="single" w:sz="12" w:space="0" w:color="auto"/>
            </w:tcBorders>
            <w:shd w:val="clear" w:color="auto" w:fill="auto"/>
            <w:vAlign w:val="center"/>
            <w:hideMark/>
          </w:tcPr>
          <w:p w:rsidR="00CB5C4D" w:rsidRPr="0097554C" w:rsidRDefault="00CB5C4D" w:rsidP="00AE7ED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úseky</w:t>
            </w:r>
          </w:p>
        </w:tc>
        <w:tc>
          <w:tcPr>
            <w:tcW w:w="0" w:type="auto"/>
            <w:gridSpan w:val="2"/>
            <w:tcBorders>
              <w:top w:val="single" w:sz="12" w:space="0" w:color="auto"/>
              <w:left w:val="single" w:sz="12" w:space="0" w:color="auto"/>
              <w:right w:val="single" w:sz="12" w:space="0" w:color="auto"/>
            </w:tcBorders>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do 500 obyvateľov</w:t>
            </w:r>
          </w:p>
        </w:tc>
        <w:tc>
          <w:tcPr>
            <w:tcW w:w="0" w:type="auto"/>
            <w:gridSpan w:val="2"/>
            <w:tcBorders>
              <w:top w:val="single" w:sz="12" w:space="0" w:color="auto"/>
              <w:left w:val="single" w:sz="12" w:space="0" w:color="auto"/>
              <w:right w:val="single" w:sz="12" w:space="0" w:color="auto"/>
            </w:tcBorders>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od 501 - 1000 obyvateľov</w:t>
            </w:r>
          </w:p>
        </w:tc>
        <w:tc>
          <w:tcPr>
            <w:tcW w:w="0" w:type="auto"/>
            <w:gridSpan w:val="2"/>
            <w:tcBorders>
              <w:top w:val="single" w:sz="12" w:space="0" w:color="auto"/>
              <w:left w:val="single" w:sz="12" w:space="0" w:color="auto"/>
              <w:right w:val="single" w:sz="12" w:space="0" w:color="auto"/>
            </w:tcBorders>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od 1001 - 5000 obyvateľov</w:t>
            </w:r>
          </w:p>
        </w:tc>
        <w:tc>
          <w:tcPr>
            <w:tcW w:w="0" w:type="auto"/>
            <w:gridSpan w:val="2"/>
            <w:tcBorders>
              <w:top w:val="single" w:sz="12" w:space="0" w:color="auto"/>
              <w:left w:val="single" w:sz="12" w:space="0" w:color="auto"/>
              <w:right w:val="single" w:sz="12" w:space="0" w:color="auto"/>
            </w:tcBorders>
            <w:shd w:val="clear" w:color="auto" w:fill="auto"/>
            <w:vAlign w:val="center"/>
            <w:hideMark/>
          </w:tcPr>
          <w:p w:rsidR="00CB5C4D" w:rsidRPr="009037A3" w:rsidRDefault="00CB5C4D" w:rsidP="00CB5C4D">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Pr="009037A3">
              <w:rPr>
                <w:rFonts w:ascii="Times New Roman" w:hAnsi="Times New Roman" w:cs="Times New Roman"/>
                <w:bCs/>
                <w:color w:val="000000"/>
                <w:sz w:val="18"/>
                <w:szCs w:val="18"/>
              </w:rPr>
              <w:t>bce nad 5000 obyvateľov</w:t>
            </w:r>
          </w:p>
        </w:tc>
        <w:tc>
          <w:tcPr>
            <w:tcW w:w="0" w:type="auto"/>
            <w:gridSpan w:val="2"/>
            <w:tcBorders>
              <w:top w:val="single" w:sz="12" w:space="0" w:color="auto"/>
              <w:left w:val="single" w:sz="12" w:space="0" w:color="auto"/>
              <w:right w:val="single" w:sz="12" w:space="0" w:color="auto"/>
            </w:tcBorders>
            <w:vAlign w:val="center"/>
          </w:tcPr>
          <w:p w:rsidR="00CB5C4D" w:rsidRPr="009037A3" w:rsidRDefault="00FE4AB9" w:rsidP="00FE4AB9">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všetky obce</w:t>
            </w:r>
          </w:p>
        </w:tc>
      </w:tr>
      <w:tr w:rsidR="00495F52" w:rsidRPr="0097554C" w:rsidTr="00A162EA">
        <w:trPr>
          <w:trHeight w:val="861"/>
          <w:jc w:val="center"/>
        </w:trPr>
        <w:tc>
          <w:tcPr>
            <w:tcW w:w="0" w:type="auto"/>
            <w:vMerge/>
            <w:tcBorders>
              <w:left w:val="single" w:sz="12" w:space="0" w:color="auto"/>
              <w:bottom w:val="single" w:sz="12" w:space="0" w:color="auto"/>
            </w:tcBorders>
            <w:shd w:val="clear" w:color="auto" w:fill="auto"/>
            <w:vAlign w:val="center"/>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p>
        </w:tc>
        <w:tc>
          <w:tcPr>
            <w:tcW w:w="0" w:type="auto"/>
            <w:vMerge/>
            <w:tcBorders>
              <w:bottom w:val="single" w:sz="12" w:space="0" w:color="auto"/>
              <w:right w:val="single" w:sz="12" w:space="0" w:color="auto"/>
            </w:tcBorders>
            <w:shd w:val="clear" w:color="auto" w:fill="auto"/>
            <w:vAlign w:val="center"/>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p>
        </w:tc>
        <w:tc>
          <w:tcPr>
            <w:tcW w:w="0" w:type="auto"/>
            <w:tcBorders>
              <w:left w:val="single" w:sz="12" w:space="0" w:color="auto"/>
              <w:right w:val="single" w:sz="8" w:space="0" w:color="auto"/>
            </w:tcBorders>
            <w:shd w:val="clear" w:color="auto" w:fill="auto"/>
            <w:vAlign w:val="center"/>
          </w:tcPr>
          <w:p w:rsidR="0097554C" w:rsidRPr="0097554C" w:rsidRDefault="0097554C" w:rsidP="00AE7ED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počet rozhodnutí /</w:t>
            </w:r>
          </w:p>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počet úspešných odvolaní</w:t>
            </w:r>
          </w:p>
        </w:tc>
        <w:tc>
          <w:tcPr>
            <w:tcW w:w="0" w:type="auto"/>
            <w:tcBorders>
              <w:left w:val="single" w:sz="8" w:space="0" w:color="auto"/>
              <w:bottom w:val="single" w:sz="12" w:space="0" w:color="auto"/>
              <w:right w:val="single" w:sz="12" w:space="0" w:color="auto"/>
            </w:tcBorders>
            <w:shd w:val="clear" w:color="auto" w:fill="F2F2F2" w:themeFill="background1" w:themeFillShade="F2"/>
            <w:vAlign w:val="center"/>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w:t>
            </w:r>
          </w:p>
        </w:tc>
        <w:tc>
          <w:tcPr>
            <w:tcW w:w="0" w:type="auto"/>
            <w:tcBorders>
              <w:left w:val="single" w:sz="12" w:space="0" w:color="auto"/>
              <w:bottom w:val="single" w:sz="12" w:space="0" w:color="auto"/>
              <w:right w:val="single" w:sz="8" w:space="0" w:color="auto"/>
            </w:tcBorders>
            <w:shd w:val="clear" w:color="auto" w:fill="auto"/>
            <w:vAlign w:val="center"/>
          </w:tcPr>
          <w:p w:rsidR="0097554C" w:rsidRPr="0097554C" w:rsidRDefault="0097554C" w:rsidP="00E478E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počet rozhodnutí /</w:t>
            </w:r>
          </w:p>
          <w:p w:rsidR="0097554C" w:rsidRPr="0097554C" w:rsidRDefault="0097554C" w:rsidP="00E478E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počet úspešných odvolaní</w:t>
            </w:r>
          </w:p>
        </w:tc>
        <w:tc>
          <w:tcPr>
            <w:tcW w:w="0" w:type="auto"/>
            <w:tcBorders>
              <w:left w:val="single" w:sz="8" w:space="0" w:color="auto"/>
              <w:bottom w:val="single" w:sz="12" w:space="0" w:color="auto"/>
              <w:right w:val="single" w:sz="12" w:space="0" w:color="auto"/>
            </w:tcBorders>
            <w:shd w:val="clear" w:color="auto" w:fill="F2F2F2" w:themeFill="background1" w:themeFillShade="F2"/>
            <w:vAlign w:val="center"/>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w:t>
            </w:r>
          </w:p>
        </w:tc>
        <w:tc>
          <w:tcPr>
            <w:tcW w:w="0" w:type="auto"/>
            <w:tcBorders>
              <w:left w:val="single" w:sz="12" w:space="0" w:color="auto"/>
              <w:bottom w:val="single" w:sz="12" w:space="0" w:color="auto"/>
              <w:right w:val="single" w:sz="8" w:space="0" w:color="auto"/>
            </w:tcBorders>
            <w:shd w:val="clear" w:color="auto" w:fill="auto"/>
            <w:vAlign w:val="center"/>
          </w:tcPr>
          <w:p w:rsidR="0097554C" w:rsidRDefault="0097554C" w:rsidP="00E478E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počet rozhodnutí</w:t>
            </w:r>
            <w:r>
              <w:rPr>
                <w:rFonts w:ascii="Times New Roman" w:eastAsia="Times New Roman" w:hAnsi="Times New Roman" w:cs="Times New Roman"/>
                <w:bCs/>
                <w:color w:val="000000"/>
                <w:sz w:val="16"/>
                <w:szCs w:val="16"/>
                <w:lang w:eastAsia="sk-SK"/>
              </w:rPr>
              <w:t xml:space="preserve"> /</w:t>
            </w:r>
          </w:p>
          <w:p w:rsidR="0097554C" w:rsidRPr="0097554C" w:rsidRDefault="0097554C" w:rsidP="00E478E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počet úspešných odvolaní</w:t>
            </w:r>
          </w:p>
        </w:tc>
        <w:tc>
          <w:tcPr>
            <w:tcW w:w="0" w:type="auto"/>
            <w:tcBorders>
              <w:left w:val="single" w:sz="8" w:space="0" w:color="auto"/>
              <w:bottom w:val="single" w:sz="12" w:space="0" w:color="auto"/>
              <w:right w:val="single" w:sz="12" w:space="0" w:color="auto"/>
            </w:tcBorders>
            <w:shd w:val="clear" w:color="auto" w:fill="F2F2F2" w:themeFill="background1" w:themeFillShade="F2"/>
            <w:vAlign w:val="center"/>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w:t>
            </w:r>
          </w:p>
        </w:tc>
        <w:tc>
          <w:tcPr>
            <w:tcW w:w="0" w:type="auto"/>
            <w:tcBorders>
              <w:left w:val="single" w:sz="12" w:space="0" w:color="auto"/>
            </w:tcBorders>
            <w:shd w:val="clear" w:color="auto" w:fill="auto"/>
            <w:vAlign w:val="center"/>
          </w:tcPr>
          <w:p w:rsidR="0097554C" w:rsidRPr="0097554C" w:rsidRDefault="0097554C" w:rsidP="00E478E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počet rozhodnutí /</w:t>
            </w:r>
          </w:p>
          <w:p w:rsidR="0097554C" w:rsidRPr="0097554C" w:rsidRDefault="0097554C" w:rsidP="00E478E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počet úspešných odvolaní</w:t>
            </w:r>
          </w:p>
        </w:tc>
        <w:tc>
          <w:tcPr>
            <w:tcW w:w="0" w:type="auto"/>
            <w:tcBorders>
              <w:bottom w:val="single" w:sz="12" w:space="0" w:color="auto"/>
              <w:right w:val="single" w:sz="12" w:space="0" w:color="auto"/>
            </w:tcBorders>
            <w:shd w:val="clear" w:color="auto" w:fill="F2F2F2" w:themeFill="background1" w:themeFillShade="F2"/>
            <w:vAlign w:val="center"/>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w:t>
            </w:r>
          </w:p>
        </w:tc>
        <w:tc>
          <w:tcPr>
            <w:tcW w:w="0" w:type="auto"/>
            <w:tcBorders>
              <w:bottom w:val="single" w:sz="12" w:space="0" w:color="auto"/>
              <w:right w:val="single" w:sz="8" w:space="0" w:color="auto"/>
            </w:tcBorders>
            <w:vAlign w:val="center"/>
          </w:tcPr>
          <w:p w:rsidR="0097554C" w:rsidRPr="0097554C" w:rsidRDefault="0097554C" w:rsidP="00E478E0">
            <w:pPr>
              <w:spacing w:after="0" w:line="240" w:lineRule="auto"/>
              <w:rPr>
                <w:rFonts w:ascii="Times New Roman" w:eastAsia="Times New Roman" w:hAnsi="Times New Roman" w:cs="Times New Roman"/>
                <w:bCs/>
                <w:color w:val="000000"/>
                <w:sz w:val="16"/>
                <w:szCs w:val="16"/>
                <w:lang w:eastAsia="sk-SK"/>
              </w:rPr>
            </w:pPr>
            <w:r w:rsidRPr="0097554C">
              <w:rPr>
                <w:rFonts w:ascii="Times New Roman" w:eastAsia="Times New Roman" w:hAnsi="Times New Roman" w:cs="Times New Roman"/>
                <w:bCs/>
                <w:color w:val="000000"/>
                <w:sz w:val="16"/>
                <w:szCs w:val="16"/>
                <w:lang w:eastAsia="sk-SK"/>
              </w:rPr>
              <w:t>počet rozhodnutí /</w:t>
            </w:r>
          </w:p>
          <w:p w:rsidR="0097554C" w:rsidRPr="0097554C" w:rsidRDefault="0097554C" w:rsidP="00E478E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Cs/>
                <w:color w:val="000000"/>
                <w:sz w:val="16"/>
                <w:szCs w:val="16"/>
                <w:lang w:eastAsia="sk-SK"/>
              </w:rPr>
              <w:t>počet úspešných odvolaní</w:t>
            </w:r>
          </w:p>
        </w:tc>
        <w:tc>
          <w:tcPr>
            <w:tcW w:w="0" w:type="auto"/>
            <w:tcBorders>
              <w:left w:val="single" w:sz="8" w:space="0" w:color="auto"/>
              <w:bottom w:val="single" w:sz="12" w:space="0" w:color="auto"/>
              <w:right w:val="single" w:sz="12" w:space="0" w:color="auto"/>
            </w:tcBorders>
            <w:shd w:val="clear" w:color="auto" w:fill="F2F2F2" w:themeFill="background1" w:themeFillShade="F2"/>
            <w:vAlign w:val="center"/>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w:t>
            </w:r>
          </w:p>
        </w:tc>
      </w:tr>
      <w:tr w:rsidR="00495F52" w:rsidRPr="0097554C" w:rsidTr="0097554C">
        <w:trPr>
          <w:trHeight w:val="216"/>
          <w:jc w:val="center"/>
        </w:trPr>
        <w:tc>
          <w:tcPr>
            <w:tcW w:w="0" w:type="auto"/>
            <w:vMerge w:val="restart"/>
            <w:tcBorders>
              <w:top w:val="single" w:sz="12" w:space="0" w:color="auto"/>
              <w:left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MDVRR SR</w:t>
            </w:r>
          </w:p>
        </w:tc>
        <w:tc>
          <w:tcPr>
            <w:tcW w:w="0" w:type="auto"/>
            <w:tcBorders>
              <w:top w:val="single" w:sz="12" w:space="0" w:color="auto"/>
              <w:right w:val="single" w:sz="12" w:space="0" w:color="auto"/>
            </w:tcBorders>
            <w:shd w:val="clear" w:color="auto" w:fill="auto"/>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úsek cestnej dopravy</w:t>
            </w:r>
          </w:p>
        </w:tc>
        <w:tc>
          <w:tcPr>
            <w:tcW w:w="0" w:type="auto"/>
            <w:tcBorders>
              <w:top w:val="single" w:sz="12" w:space="0" w:color="auto"/>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323 /0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top w:val="single" w:sz="12"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w:t>
            </w:r>
          </w:p>
        </w:tc>
        <w:tc>
          <w:tcPr>
            <w:tcW w:w="0" w:type="auto"/>
            <w:tcBorders>
              <w:top w:val="single" w:sz="12" w:space="0" w:color="auto"/>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348 /1</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top w:val="single" w:sz="12" w:space="0" w:color="auto"/>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0,29%</w:t>
            </w:r>
          </w:p>
        </w:tc>
        <w:tc>
          <w:tcPr>
            <w:tcW w:w="0" w:type="auto"/>
            <w:tcBorders>
              <w:top w:val="single" w:sz="12" w:space="0" w:color="auto"/>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1684 /1</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top w:val="single" w:sz="12" w:space="0" w:color="auto"/>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0,06%</w:t>
            </w:r>
          </w:p>
        </w:tc>
        <w:tc>
          <w:tcPr>
            <w:tcW w:w="0" w:type="auto"/>
            <w:tcBorders>
              <w:top w:val="single" w:sz="12" w:space="0" w:color="auto"/>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8053 /58</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0,72%</w:t>
            </w:r>
          </w:p>
        </w:tc>
        <w:tc>
          <w:tcPr>
            <w:tcW w:w="0" w:type="auto"/>
            <w:tcBorders>
              <w:top w:val="single" w:sz="12" w:space="0" w:color="auto"/>
              <w:right w:val="single" w:sz="8" w:space="0" w:color="auto"/>
            </w:tcBorders>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10408 /60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top w:val="single" w:sz="12" w:space="0" w:color="auto"/>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b/>
                <w:color w:val="000000"/>
                <w:sz w:val="16"/>
                <w:szCs w:val="16"/>
                <w:lang w:eastAsia="sk-SK"/>
              </w:rPr>
            </w:pPr>
            <w:r w:rsidRPr="0097554C">
              <w:rPr>
                <w:rFonts w:ascii="Times New Roman" w:eastAsia="Times New Roman" w:hAnsi="Times New Roman" w:cs="Times New Roman"/>
                <w:b/>
                <w:color w:val="000000"/>
                <w:sz w:val="16"/>
                <w:szCs w:val="16"/>
                <w:lang w:eastAsia="sk-SK"/>
              </w:rPr>
              <w:t>0,58%</w:t>
            </w:r>
          </w:p>
        </w:tc>
      </w:tr>
      <w:tr w:rsidR="00495F52" w:rsidRPr="0097554C" w:rsidTr="0097554C">
        <w:trPr>
          <w:trHeight w:val="216"/>
          <w:jc w:val="center"/>
        </w:trPr>
        <w:tc>
          <w:tcPr>
            <w:tcW w:w="0" w:type="auto"/>
            <w:vMerge/>
            <w:tcBorders>
              <w:left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auto"/>
          </w:tcPr>
          <w:p w:rsidR="0097554C" w:rsidRPr="0097554C" w:rsidRDefault="0097554C" w:rsidP="00495F52">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úsek stav</w:t>
            </w:r>
            <w:r w:rsidR="00495F52">
              <w:rPr>
                <w:rFonts w:ascii="Times New Roman" w:eastAsia="Times New Roman" w:hAnsi="Times New Roman" w:cs="Times New Roman"/>
                <w:color w:val="000000"/>
                <w:sz w:val="16"/>
                <w:szCs w:val="16"/>
                <w:lang w:eastAsia="sk-SK"/>
              </w:rPr>
              <w:t>.</w:t>
            </w:r>
            <w:r w:rsidRPr="0097554C">
              <w:rPr>
                <w:rFonts w:ascii="Times New Roman" w:eastAsia="Times New Roman" w:hAnsi="Times New Roman" w:cs="Times New Roman"/>
                <w:color w:val="000000"/>
                <w:sz w:val="16"/>
                <w:szCs w:val="16"/>
                <w:lang w:eastAsia="sk-SK"/>
              </w:rPr>
              <w:t xml:space="preserve"> poriadku</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4210 /24</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0,57%</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7114 /47</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0,66%</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17983 /210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1,17%</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31661 /234</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0,74%</w:t>
            </w:r>
          </w:p>
        </w:tc>
        <w:tc>
          <w:tcPr>
            <w:tcW w:w="0" w:type="auto"/>
            <w:tcBorders>
              <w:right w:val="single" w:sz="8" w:space="0" w:color="auto"/>
            </w:tcBorders>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60968 /515</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b/>
                <w:color w:val="000000"/>
                <w:sz w:val="16"/>
                <w:szCs w:val="16"/>
                <w:lang w:eastAsia="sk-SK"/>
              </w:rPr>
            </w:pPr>
            <w:r w:rsidRPr="0097554C">
              <w:rPr>
                <w:rFonts w:ascii="Times New Roman" w:eastAsia="Times New Roman" w:hAnsi="Times New Roman" w:cs="Times New Roman"/>
                <w:b/>
                <w:color w:val="000000"/>
                <w:sz w:val="16"/>
                <w:szCs w:val="16"/>
                <w:lang w:eastAsia="sk-SK"/>
              </w:rPr>
              <w:t>0,84%</w:t>
            </w:r>
          </w:p>
        </w:tc>
      </w:tr>
      <w:tr w:rsidR="00495F52" w:rsidRPr="0097554C" w:rsidTr="0097554C">
        <w:trPr>
          <w:trHeight w:val="420"/>
          <w:jc w:val="center"/>
        </w:trPr>
        <w:tc>
          <w:tcPr>
            <w:tcW w:w="0" w:type="auto"/>
            <w:vMerge/>
            <w:tcBorders>
              <w:left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auto"/>
          </w:tcPr>
          <w:p w:rsidR="0097554C" w:rsidRPr="0097554C" w:rsidRDefault="00495F52" w:rsidP="00495F52">
            <w:pPr>
              <w:spacing w:after="0" w:line="240" w:lineRule="auto"/>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 xml:space="preserve">úsek </w:t>
            </w:r>
            <w:proofErr w:type="spellStart"/>
            <w:r>
              <w:rPr>
                <w:rFonts w:ascii="Times New Roman" w:eastAsia="Times New Roman" w:hAnsi="Times New Roman" w:cs="Times New Roman"/>
                <w:color w:val="000000"/>
                <w:sz w:val="16"/>
                <w:szCs w:val="16"/>
                <w:lang w:eastAsia="sk-SK"/>
              </w:rPr>
              <w:t>špec</w:t>
            </w:r>
            <w:proofErr w:type="spellEnd"/>
            <w:r>
              <w:rPr>
                <w:rFonts w:ascii="Times New Roman" w:eastAsia="Times New Roman" w:hAnsi="Times New Roman" w:cs="Times New Roman"/>
                <w:color w:val="000000"/>
                <w:sz w:val="16"/>
                <w:szCs w:val="16"/>
                <w:lang w:eastAsia="sk-SK"/>
              </w:rPr>
              <w:t xml:space="preserve">. stav. </w:t>
            </w:r>
            <w:r w:rsidR="0097554C" w:rsidRPr="0097554C">
              <w:rPr>
                <w:rFonts w:ascii="Times New Roman" w:eastAsia="Times New Roman" w:hAnsi="Times New Roman" w:cs="Times New Roman"/>
                <w:color w:val="000000"/>
                <w:sz w:val="16"/>
                <w:szCs w:val="16"/>
                <w:lang w:eastAsia="sk-SK"/>
              </w:rPr>
              <w:t>úradu pre miestne a účelové komunikácie</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152 /2</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1,32%</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242 /1</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0,41%</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452 /2</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0,44%</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1424 /15</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1,05%</w:t>
            </w:r>
          </w:p>
        </w:tc>
        <w:tc>
          <w:tcPr>
            <w:tcW w:w="0" w:type="auto"/>
            <w:tcBorders>
              <w:right w:val="single" w:sz="8" w:space="0" w:color="auto"/>
            </w:tcBorders>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2270 /20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b/>
                <w:color w:val="000000"/>
                <w:sz w:val="16"/>
                <w:szCs w:val="16"/>
                <w:lang w:eastAsia="sk-SK"/>
              </w:rPr>
            </w:pPr>
            <w:r w:rsidRPr="0097554C">
              <w:rPr>
                <w:rFonts w:ascii="Times New Roman" w:eastAsia="Times New Roman" w:hAnsi="Times New Roman" w:cs="Times New Roman"/>
                <w:b/>
                <w:color w:val="000000"/>
                <w:sz w:val="16"/>
                <w:szCs w:val="16"/>
                <w:lang w:eastAsia="sk-SK"/>
              </w:rPr>
              <w:t>0,88%</w:t>
            </w:r>
          </w:p>
        </w:tc>
      </w:tr>
      <w:tr w:rsidR="00495F52" w:rsidRPr="0097554C" w:rsidTr="0097554C">
        <w:trPr>
          <w:trHeight w:val="216"/>
          <w:jc w:val="center"/>
        </w:trPr>
        <w:tc>
          <w:tcPr>
            <w:tcW w:w="0" w:type="auto"/>
            <w:tcBorders>
              <w:left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MŠVVŠ SR</w:t>
            </w:r>
          </w:p>
        </w:tc>
        <w:tc>
          <w:tcPr>
            <w:tcW w:w="0" w:type="auto"/>
            <w:tcBorders>
              <w:right w:val="single" w:sz="12" w:space="0" w:color="auto"/>
            </w:tcBorders>
            <w:shd w:val="clear" w:color="auto" w:fill="auto"/>
          </w:tcPr>
          <w:p w:rsidR="0097554C" w:rsidRPr="0097554C" w:rsidRDefault="0097554C" w:rsidP="00495F52">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úsek školstva (zriaď</w:t>
            </w:r>
            <w:r w:rsidR="00495F52">
              <w:rPr>
                <w:rFonts w:ascii="Times New Roman" w:eastAsia="Times New Roman" w:hAnsi="Times New Roman" w:cs="Times New Roman"/>
                <w:color w:val="000000"/>
                <w:sz w:val="16"/>
                <w:szCs w:val="16"/>
                <w:lang w:eastAsia="sk-SK"/>
              </w:rPr>
              <w:t xml:space="preserve">. </w:t>
            </w:r>
            <w:proofErr w:type="spellStart"/>
            <w:r w:rsidR="00495F52">
              <w:rPr>
                <w:rFonts w:ascii="Times New Roman" w:eastAsia="Times New Roman" w:hAnsi="Times New Roman" w:cs="Times New Roman"/>
                <w:color w:val="000000"/>
                <w:sz w:val="16"/>
                <w:szCs w:val="16"/>
                <w:lang w:eastAsia="sk-SK"/>
              </w:rPr>
              <w:t>pôs</w:t>
            </w:r>
            <w:proofErr w:type="spellEnd"/>
            <w:r w:rsidR="00495F52">
              <w:rPr>
                <w:rFonts w:ascii="Times New Roman" w:eastAsia="Times New Roman" w:hAnsi="Times New Roman" w:cs="Times New Roman"/>
                <w:color w:val="000000"/>
                <w:sz w:val="16"/>
                <w:szCs w:val="16"/>
                <w:lang w:eastAsia="sk-SK"/>
              </w:rPr>
              <w:t xml:space="preserve">. vo vzťahu k základ. </w:t>
            </w:r>
            <w:r w:rsidRPr="0097554C">
              <w:rPr>
                <w:rFonts w:ascii="Times New Roman" w:eastAsia="Times New Roman" w:hAnsi="Times New Roman" w:cs="Times New Roman"/>
                <w:color w:val="000000"/>
                <w:sz w:val="16"/>
                <w:szCs w:val="16"/>
                <w:lang w:eastAsia="sk-SK"/>
              </w:rPr>
              <w:t>školám)</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285  /0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w:t>
            </w:r>
          </w:p>
        </w:tc>
        <w:tc>
          <w:tcPr>
            <w:tcW w:w="0" w:type="auto"/>
            <w:tcBorders>
              <w:left w:val="single" w:sz="12" w:space="0" w:color="auto"/>
              <w:right w:val="single" w:sz="8" w:space="0" w:color="auto"/>
            </w:tcBorders>
            <w:shd w:val="clear" w:color="auto" w:fill="auto"/>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357 /0</w:t>
            </w: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E478E0">
            <w:pPr>
              <w:tabs>
                <w:tab w:val="center" w:pos="202"/>
              </w:tabs>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ab/>
              <w:t>0%</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1320 /1</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0,8%</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3576 /48</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1,34%</w:t>
            </w:r>
          </w:p>
        </w:tc>
        <w:tc>
          <w:tcPr>
            <w:tcW w:w="0" w:type="auto"/>
            <w:tcBorders>
              <w:right w:val="single" w:sz="8" w:space="0" w:color="auto"/>
            </w:tcBorders>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5538 /49</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b/>
                <w:color w:val="000000"/>
                <w:sz w:val="16"/>
                <w:szCs w:val="16"/>
                <w:lang w:eastAsia="sk-SK"/>
              </w:rPr>
              <w:t>0,88%</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r>
      <w:tr w:rsidR="00495F52" w:rsidRPr="0097554C" w:rsidTr="0097554C">
        <w:trPr>
          <w:trHeight w:val="216"/>
          <w:jc w:val="center"/>
        </w:trPr>
        <w:tc>
          <w:tcPr>
            <w:tcW w:w="0" w:type="auto"/>
            <w:tcBorders>
              <w:left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MV SR</w:t>
            </w:r>
          </w:p>
        </w:tc>
        <w:tc>
          <w:tcPr>
            <w:tcW w:w="0" w:type="auto"/>
            <w:tcBorders>
              <w:right w:val="single" w:sz="12" w:space="0" w:color="auto"/>
            </w:tcBorders>
            <w:shd w:val="clear" w:color="auto" w:fill="auto"/>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úsek ochrany pred požiarmi</w:t>
            </w:r>
          </w:p>
        </w:tc>
        <w:tc>
          <w:tcPr>
            <w:tcW w:w="0" w:type="auto"/>
            <w:tcBorders>
              <w:left w:val="single" w:sz="12" w:space="0" w:color="auto"/>
            </w:tcBorders>
            <w:shd w:val="clear" w:color="auto" w:fill="auto"/>
          </w:tcPr>
          <w:p w:rsidR="0097554C" w:rsidRPr="0097554C" w:rsidRDefault="009A510C" w:rsidP="00E478E0">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130</w:t>
            </w:r>
            <w:r w:rsidR="0097554C" w:rsidRPr="0097554C">
              <w:rPr>
                <w:rFonts w:ascii="Times New Roman" w:eastAsia="Times New Roman" w:hAnsi="Times New Roman" w:cs="Times New Roman"/>
                <w:color w:val="000000"/>
                <w:sz w:val="16"/>
                <w:szCs w:val="16"/>
                <w:lang w:eastAsia="sk-SK"/>
              </w:rPr>
              <w:t xml:space="preserve"> /</w:t>
            </w:r>
            <w:r>
              <w:rPr>
                <w:rFonts w:ascii="Times New Roman" w:eastAsia="Times New Roman" w:hAnsi="Times New Roman" w:cs="Times New Roman"/>
                <w:color w:val="000000"/>
                <w:sz w:val="16"/>
                <w:szCs w:val="16"/>
                <w:lang w:eastAsia="sk-SK"/>
              </w:rPr>
              <w:t>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A510C" w:rsidP="00A448CC">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0</w:t>
            </w:r>
            <w:r w:rsidR="0097554C" w:rsidRPr="0097554C">
              <w:rPr>
                <w:rFonts w:ascii="Times New Roman" w:eastAsia="Times New Roman" w:hAnsi="Times New Roman" w:cs="Times New Roman"/>
                <w:color w:val="000000"/>
                <w:sz w:val="16"/>
                <w:szCs w:val="16"/>
                <w:lang w:eastAsia="sk-SK"/>
              </w:rPr>
              <w:t>%</w:t>
            </w:r>
          </w:p>
        </w:tc>
        <w:tc>
          <w:tcPr>
            <w:tcW w:w="0" w:type="auto"/>
            <w:tcBorders>
              <w:left w:val="single" w:sz="12" w:space="0" w:color="auto"/>
              <w:right w:val="single" w:sz="8" w:space="0" w:color="auto"/>
            </w:tcBorders>
            <w:shd w:val="clear" w:color="auto" w:fill="auto"/>
          </w:tcPr>
          <w:p w:rsidR="0097554C" w:rsidRPr="0097554C" w:rsidRDefault="009A510C" w:rsidP="00E478E0">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92 /0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w:t>
            </w:r>
          </w:p>
        </w:tc>
        <w:tc>
          <w:tcPr>
            <w:tcW w:w="0" w:type="auto"/>
            <w:tcBorders>
              <w:left w:val="single" w:sz="12" w:space="0" w:color="auto"/>
              <w:right w:val="single" w:sz="8" w:space="0" w:color="auto"/>
            </w:tcBorders>
            <w:shd w:val="clear" w:color="auto" w:fill="auto"/>
          </w:tcPr>
          <w:p w:rsidR="0097554C" w:rsidRPr="0097554C" w:rsidRDefault="009A510C" w:rsidP="00E478E0">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299 /0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A510C" w:rsidP="00A448CC">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0</w:t>
            </w:r>
            <w:r w:rsidR="0097554C" w:rsidRPr="0097554C">
              <w:rPr>
                <w:rFonts w:ascii="Times New Roman" w:eastAsia="Times New Roman" w:hAnsi="Times New Roman" w:cs="Times New Roman"/>
                <w:color w:val="000000"/>
                <w:sz w:val="16"/>
                <w:szCs w:val="16"/>
                <w:lang w:eastAsia="sk-SK"/>
              </w:rPr>
              <w:t>%</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34</w:t>
            </w:r>
            <w:r w:rsidR="009A510C">
              <w:rPr>
                <w:rFonts w:ascii="Times New Roman" w:eastAsia="Times New Roman" w:hAnsi="Times New Roman" w:cs="Times New Roman"/>
                <w:color w:val="000000"/>
                <w:sz w:val="16"/>
                <w:szCs w:val="16"/>
                <w:lang w:eastAsia="sk-SK"/>
              </w:rPr>
              <w:t>9/0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A510C" w:rsidP="00A448CC">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0</w:t>
            </w:r>
            <w:r w:rsidR="0097554C" w:rsidRPr="0097554C">
              <w:rPr>
                <w:rFonts w:ascii="Times New Roman" w:eastAsia="Times New Roman" w:hAnsi="Times New Roman" w:cs="Times New Roman"/>
                <w:color w:val="000000"/>
                <w:sz w:val="16"/>
                <w:szCs w:val="16"/>
                <w:lang w:eastAsia="sk-SK"/>
              </w:rPr>
              <w:t>%</w:t>
            </w:r>
          </w:p>
        </w:tc>
        <w:tc>
          <w:tcPr>
            <w:tcW w:w="0" w:type="auto"/>
            <w:tcBorders>
              <w:right w:val="single" w:sz="8" w:space="0" w:color="auto"/>
            </w:tcBorders>
          </w:tcPr>
          <w:p w:rsidR="0097554C" w:rsidRPr="0097554C" w:rsidRDefault="009A510C" w:rsidP="00E478E0">
            <w:pPr>
              <w:spacing w:after="0" w:line="240" w:lineRule="auto"/>
              <w:jc w:val="center"/>
              <w:rPr>
                <w:rFonts w:ascii="Times New Roman" w:eastAsia="Times New Roman" w:hAnsi="Times New Roman" w:cs="Times New Roman"/>
                <w:color w:val="000000"/>
                <w:sz w:val="16"/>
                <w:szCs w:val="16"/>
                <w:lang w:eastAsia="sk-SK"/>
              </w:rPr>
            </w:pPr>
            <w:r>
              <w:rPr>
                <w:rFonts w:ascii="Times New Roman" w:eastAsia="Times New Roman" w:hAnsi="Times New Roman" w:cs="Times New Roman"/>
                <w:color w:val="000000"/>
                <w:sz w:val="16"/>
                <w:szCs w:val="16"/>
                <w:lang w:eastAsia="sk-SK"/>
              </w:rPr>
              <w:t>889</w:t>
            </w:r>
            <w:r w:rsidR="0097554C" w:rsidRPr="0097554C">
              <w:rPr>
                <w:rFonts w:ascii="Times New Roman" w:eastAsia="Times New Roman" w:hAnsi="Times New Roman" w:cs="Times New Roman"/>
                <w:color w:val="000000"/>
                <w:sz w:val="16"/>
                <w:szCs w:val="16"/>
                <w:lang w:eastAsia="sk-SK"/>
              </w:rPr>
              <w:t xml:space="preserve"> /</w:t>
            </w:r>
            <w:r>
              <w:rPr>
                <w:rFonts w:ascii="Times New Roman" w:eastAsia="Times New Roman" w:hAnsi="Times New Roman" w:cs="Times New Roman"/>
                <w:color w:val="000000"/>
                <w:sz w:val="16"/>
                <w:szCs w:val="16"/>
                <w:lang w:eastAsia="sk-SK"/>
              </w:rPr>
              <w:t>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A510C" w:rsidP="00A448CC">
            <w:pPr>
              <w:spacing w:after="0" w:line="240" w:lineRule="auto"/>
              <w:jc w:val="center"/>
              <w:rPr>
                <w:rFonts w:ascii="Times New Roman" w:eastAsia="Times New Roman" w:hAnsi="Times New Roman" w:cs="Times New Roman"/>
                <w:b/>
                <w:color w:val="000000"/>
                <w:sz w:val="16"/>
                <w:szCs w:val="16"/>
                <w:lang w:eastAsia="sk-SK"/>
              </w:rPr>
            </w:pPr>
            <w:r>
              <w:rPr>
                <w:rFonts w:ascii="Times New Roman" w:eastAsia="Times New Roman" w:hAnsi="Times New Roman" w:cs="Times New Roman"/>
                <w:b/>
                <w:color w:val="000000"/>
                <w:sz w:val="16"/>
                <w:szCs w:val="16"/>
                <w:lang w:eastAsia="sk-SK"/>
              </w:rPr>
              <w:t>0</w:t>
            </w:r>
            <w:r w:rsidR="0097554C" w:rsidRPr="0097554C">
              <w:rPr>
                <w:rFonts w:ascii="Times New Roman" w:eastAsia="Times New Roman" w:hAnsi="Times New Roman" w:cs="Times New Roman"/>
                <w:b/>
                <w:color w:val="000000"/>
                <w:sz w:val="16"/>
                <w:szCs w:val="16"/>
                <w:lang w:eastAsia="sk-SK"/>
              </w:rPr>
              <w:t>%</w:t>
            </w:r>
          </w:p>
        </w:tc>
      </w:tr>
      <w:tr w:rsidR="00495F52" w:rsidRPr="0097554C" w:rsidTr="0097554C">
        <w:trPr>
          <w:trHeight w:val="216"/>
          <w:jc w:val="center"/>
        </w:trPr>
        <w:tc>
          <w:tcPr>
            <w:tcW w:w="0" w:type="auto"/>
            <w:vMerge w:val="restart"/>
            <w:tcBorders>
              <w:left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MŽP SR</w:t>
            </w:r>
          </w:p>
        </w:tc>
        <w:tc>
          <w:tcPr>
            <w:tcW w:w="0" w:type="auto"/>
            <w:tcBorders>
              <w:right w:val="single" w:sz="12" w:space="0" w:color="auto"/>
            </w:tcBorders>
            <w:shd w:val="clear" w:color="auto" w:fill="auto"/>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úsek ochrany ovzdušia</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457 /0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784 /0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2061 /30</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1,46%</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3198 /2</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0,06%</w:t>
            </w:r>
          </w:p>
        </w:tc>
        <w:tc>
          <w:tcPr>
            <w:tcW w:w="0" w:type="auto"/>
            <w:tcBorders>
              <w:right w:val="single" w:sz="8" w:space="0" w:color="auto"/>
            </w:tcBorders>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6500 /32</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b/>
                <w:color w:val="000000"/>
                <w:sz w:val="16"/>
                <w:szCs w:val="16"/>
                <w:lang w:eastAsia="sk-SK"/>
              </w:rPr>
            </w:pPr>
            <w:r w:rsidRPr="0097554C">
              <w:rPr>
                <w:rFonts w:ascii="Times New Roman" w:eastAsia="Times New Roman" w:hAnsi="Times New Roman" w:cs="Times New Roman"/>
                <w:b/>
                <w:color w:val="000000"/>
                <w:sz w:val="16"/>
                <w:szCs w:val="16"/>
                <w:lang w:eastAsia="sk-SK"/>
              </w:rPr>
              <w:t>0,49%</w:t>
            </w:r>
          </w:p>
        </w:tc>
      </w:tr>
      <w:tr w:rsidR="00495F52" w:rsidRPr="0097554C" w:rsidTr="0097554C">
        <w:trPr>
          <w:trHeight w:val="216"/>
          <w:jc w:val="center"/>
        </w:trPr>
        <w:tc>
          <w:tcPr>
            <w:tcW w:w="0" w:type="auto"/>
            <w:vMerge/>
            <w:tcBorders>
              <w:left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auto"/>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úsek ochrany krajiny a prírody</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992 /11</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1,11%</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1491 /6</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0,40%</w:t>
            </w:r>
          </w:p>
        </w:tc>
        <w:tc>
          <w:tcPr>
            <w:tcW w:w="0" w:type="auto"/>
            <w:tcBorders>
              <w:left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3581 /9</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0,25%</w:t>
            </w:r>
          </w:p>
        </w:tc>
        <w:tc>
          <w:tcPr>
            <w:tcW w:w="0" w:type="auto"/>
            <w:tcBorders>
              <w:left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7087 /35</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0,49%</w:t>
            </w:r>
          </w:p>
        </w:tc>
        <w:tc>
          <w:tcPr>
            <w:tcW w:w="0" w:type="auto"/>
            <w:tcBorders>
              <w:right w:val="single" w:sz="8" w:space="0" w:color="auto"/>
            </w:tcBorders>
          </w:tcPr>
          <w:p w:rsidR="0097554C" w:rsidRPr="0097554C" w:rsidRDefault="0097554C" w:rsidP="0097554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13151 /</w:t>
            </w:r>
            <w:r>
              <w:rPr>
                <w:rFonts w:ascii="Times New Roman" w:eastAsia="Times New Roman" w:hAnsi="Times New Roman" w:cs="Times New Roman"/>
                <w:color w:val="000000"/>
                <w:sz w:val="16"/>
                <w:szCs w:val="16"/>
                <w:lang w:eastAsia="sk-SK"/>
              </w:rPr>
              <w:t>61</w:t>
            </w:r>
          </w:p>
        </w:tc>
        <w:tc>
          <w:tcPr>
            <w:tcW w:w="0" w:type="auto"/>
            <w:tcBorders>
              <w:left w:val="single" w:sz="8"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b/>
                <w:color w:val="000000"/>
                <w:sz w:val="16"/>
                <w:szCs w:val="16"/>
                <w:lang w:eastAsia="sk-SK"/>
              </w:rPr>
            </w:pPr>
            <w:r w:rsidRPr="0097554C">
              <w:rPr>
                <w:rFonts w:ascii="Times New Roman" w:eastAsia="Times New Roman" w:hAnsi="Times New Roman" w:cs="Times New Roman"/>
                <w:b/>
                <w:color w:val="000000"/>
                <w:sz w:val="16"/>
                <w:szCs w:val="16"/>
                <w:lang w:eastAsia="sk-SK"/>
              </w:rPr>
              <w:t>0,46%</w:t>
            </w:r>
          </w:p>
        </w:tc>
      </w:tr>
      <w:tr w:rsidR="00495F52" w:rsidRPr="0097554C" w:rsidTr="0097554C">
        <w:trPr>
          <w:trHeight w:val="216"/>
          <w:jc w:val="center"/>
        </w:trPr>
        <w:tc>
          <w:tcPr>
            <w:tcW w:w="0" w:type="auto"/>
            <w:vMerge/>
            <w:tcBorders>
              <w:left w:val="single" w:sz="12" w:space="0" w:color="auto"/>
              <w:bottom w:val="single" w:sz="12" w:space="0" w:color="auto"/>
            </w:tcBorders>
            <w:shd w:val="clear" w:color="auto" w:fill="auto"/>
          </w:tcPr>
          <w:p w:rsidR="0097554C" w:rsidRPr="0097554C" w:rsidRDefault="0097554C" w:rsidP="00A448CC">
            <w:pPr>
              <w:spacing w:after="0" w:line="240" w:lineRule="auto"/>
              <w:rPr>
                <w:rFonts w:ascii="Times New Roman" w:eastAsia="Times New Roman" w:hAnsi="Times New Roman" w:cs="Times New Roman"/>
                <w:color w:val="000000"/>
                <w:sz w:val="16"/>
                <w:szCs w:val="16"/>
                <w:lang w:eastAsia="sk-SK"/>
              </w:rPr>
            </w:pPr>
          </w:p>
        </w:tc>
        <w:tc>
          <w:tcPr>
            <w:tcW w:w="0" w:type="auto"/>
            <w:tcBorders>
              <w:bottom w:val="single" w:sz="12" w:space="0" w:color="auto"/>
              <w:right w:val="single" w:sz="12" w:space="0" w:color="auto"/>
            </w:tcBorders>
            <w:shd w:val="clear" w:color="auto" w:fill="auto"/>
          </w:tcPr>
          <w:p w:rsidR="0097554C" w:rsidRPr="0097554C" w:rsidRDefault="0097554C" w:rsidP="00AE7ED0">
            <w:pPr>
              <w:spacing w:after="0" w:line="240" w:lineRule="auto"/>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úsek št. vodnej správy</w:t>
            </w:r>
          </w:p>
        </w:tc>
        <w:tc>
          <w:tcPr>
            <w:tcW w:w="0" w:type="auto"/>
            <w:tcBorders>
              <w:left w:val="single" w:sz="12" w:space="0" w:color="auto"/>
              <w:bottom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53 /2</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bottom w:val="single" w:sz="12"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3,77%</w:t>
            </w:r>
          </w:p>
        </w:tc>
        <w:tc>
          <w:tcPr>
            <w:tcW w:w="0" w:type="auto"/>
            <w:tcBorders>
              <w:left w:val="single" w:sz="12" w:space="0" w:color="auto"/>
              <w:bottom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131 /3</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bottom w:val="single" w:sz="12"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2,29%</w:t>
            </w:r>
          </w:p>
        </w:tc>
        <w:tc>
          <w:tcPr>
            <w:tcW w:w="0" w:type="auto"/>
            <w:tcBorders>
              <w:left w:val="single" w:sz="12" w:space="0" w:color="auto"/>
              <w:bottom w:val="single" w:sz="12" w:space="0" w:color="auto"/>
              <w:right w:val="single" w:sz="8"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225 /26</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bottom w:val="single" w:sz="12"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11,56%</w:t>
            </w:r>
          </w:p>
        </w:tc>
        <w:tc>
          <w:tcPr>
            <w:tcW w:w="0" w:type="auto"/>
            <w:tcBorders>
              <w:left w:val="single" w:sz="12" w:space="0" w:color="auto"/>
              <w:bottom w:val="single" w:sz="12" w:space="0" w:color="auto"/>
            </w:tcBorders>
            <w:shd w:val="clear" w:color="auto" w:fill="auto"/>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191 /2</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bottom w:val="single" w:sz="12"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1,05%</w:t>
            </w:r>
          </w:p>
        </w:tc>
        <w:tc>
          <w:tcPr>
            <w:tcW w:w="0" w:type="auto"/>
            <w:tcBorders>
              <w:bottom w:val="single" w:sz="12" w:space="0" w:color="auto"/>
              <w:right w:val="single" w:sz="8" w:space="0" w:color="auto"/>
            </w:tcBorders>
          </w:tcPr>
          <w:p w:rsidR="0097554C" w:rsidRPr="0097554C" w:rsidRDefault="0097554C" w:rsidP="00E478E0">
            <w:pPr>
              <w:spacing w:after="0" w:line="240" w:lineRule="auto"/>
              <w:jc w:val="center"/>
              <w:rPr>
                <w:rFonts w:ascii="Times New Roman" w:eastAsia="Times New Roman" w:hAnsi="Times New Roman" w:cs="Times New Roman"/>
                <w:color w:val="000000"/>
                <w:sz w:val="16"/>
                <w:szCs w:val="16"/>
                <w:lang w:eastAsia="sk-SK"/>
              </w:rPr>
            </w:pPr>
            <w:r w:rsidRPr="0097554C">
              <w:rPr>
                <w:rFonts w:ascii="Times New Roman" w:eastAsia="Times New Roman" w:hAnsi="Times New Roman" w:cs="Times New Roman"/>
                <w:color w:val="000000"/>
                <w:sz w:val="16"/>
                <w:szCs w:val="16"/>
                <w:lang w:eastAsia="sk-SK"/>
              </w:rPr>
              <w:t>600 /33</w:t>
            </w:r>
          </w:p>
          <w:p w:rsidR="0097554C" w:rsidRPr="0097554C" w:rsidRDefault="0097554C" w:rsidP="00A448CC">
            <w:pPr>
              <w:spacing w:after="0" w:line="240" w:lineRule="auto"/>
              <w:jc w:val="center"/>
              <w:rPr>
                <w:rFonts w:ascii="Times New Roman" w:eastAsia="Times New Roman" w:hAnsi="Times New Roman" w:cs="Times New Roman"/>
                <w:color w:val="000000"/>
                <w:sz w:val="16"/>
                <w:szCs w:val="16"/>
                <w:lang w:eastAsia="sk-SK"/>
              </w:rPr>
            </w:pPr>
          </w:p>
        </w:tc>
        <w:tc>
          <w:tcPr>
            <w:tcW w:w="0" w:type="auto"/>
            <w:tcBorders>
              <w:left w:val="single" w:sz="8" w:space="0" w:color="auto"/>
              <w:bottom w:val="single" w:sz="12" w:space="0" w:color="auto"/>
              <w:right w:val="single" w:sz="12" w:space="0" w:color="auto"/>
            </w:tcBorders>
            <w:shd w:val="clear" w:color="auto" w:fill="F2F2F2" w:themeFill="background1" w:themeFillShade="F2"/>
          </w:tcPr>
          <w:p w:rsidR="0097554C" w:rsidRPr="0097554C" w:rsidRDefault="0097554C" w:rsidP="00A448CC">
            <w:pPr>
              <w:spacing w:after="0" w:line="240" w:lineRule="auto"/>
              <w:jc w:val="center"/>
              <w:rPr>
                <w:rFonts w:ascii="Times New Roman" w:eastAsia="Times New Roman" w:hAnsi="Times New Roman" w:cs="Times New Roman"/>
                <w:b/>
                <w:color w:val="000000"/>
                <w:sz w:val="16"/>
                <w:szCs w:val="16"/>
                <w:lang w:eastAsia="sk-SK"/>
              </w:rPr>
            </w:pPr>
            <w:r w:rsidRPr="0097554C">
              <w:rPr>
                <w:rFonts w:ascii="Times New Roman" w:eastAsia="Times New Roman" w:hAnsi="Times New Roman" w:cs="Times New Roman"/>
                <w:b/>
                <w:color w:val="000000"/>
                <w:sz w:val="16"/>
                <w:szCs w:val="16"/>
                <w:lang w:eastAsia="sk-SK"/>
              </w:rPr>
              <w:t>5,5%</w:t>
            </w:r>
          </w:p>
        </w:tc>
      </w:tr>
    </w:tbl>
    <w:p w:rsidR="005C4412" w:rsidRPr="005C4412" w:rsidRDefault="005C4412" w:rsidP="005C4412">
      <w:pPr>
        <w:spacing w:before="120" w:after="120" w:line="240" w:lineRule="auto"/>
        <w:ind w:firstLine="709"/>
        <w:jc w:val="both"/>
        <w:rPr>
          <w:rFonts w:ascii="Times New Roman" w:hAnsi="Times New Roman" w:cs="Times New Roman"/>
        </w:rPr>
      </w:pPr>
      <w:bookmarkStart w:id="10" w:name="SumarizaciaKraje"/>
      <w:r w:rsidRPr="005C4412">
        <w:rPr>
          <w:rFonts w:ascii="Times New Roman" w:hAnsi="Times New Roman" w:cs="Times New Roman"/>
        </w:rPr>
        <w:t xml:space="preserve">Pre každý úsek, pre ktorý boli poskytnuté sledované ukazovatele, platí, že v kategóriách s nižším počtom obyvateľov bolo vydaných menej rozhodnutí ako v kategóriách s vyšším počtom obyvateľov. </w:t>
      </w:r>
    </w:p>
    <w:p w:rsidR="005C4412" w:rsidRDefault="005C4412" w:rsidP="005C4412">
      <w:pPr>
        <w:spacing w:before="120" w:after="120" w:line="240" w:lineRule="auto"/>
        <w:ind w:firstLine="709"/>
        <w:jc w:val="both"/>
        <w:rPr>
          <w:rFonts w:ascii="Times New Roman" w:hAnsi="Times New Roman" w:cs="Times New Roman"/>
        </w:rPr>
      </w:pPr>
      <w:r w:rsidRPr="005C4412">
        <w:rPr>
          <w:rFonts w:ascii="Times New Roman" w:hAnsi="Times New Roman" w:cs="Times New Roman"/>
        </w:rPr>
        <w:t>Úspešnosť odvolaní podaných proti rozhodnutiam</w:t>
      </w:r>
      <w:r w:rsidR="006553CA">
        <w:rPr>
          <w:rFonts w:ascii="Times New Roman" w:hAnsi="Times New Roman" w:cs="Times New Roman"/>
        </w:rPr>
        <w:t xml:space="preserve"> </w:t>
      </w:r>
      <w:r w:rsidRPr="005C4412">
        <w:rPr>
          <w:rFonts w:ascii="Times New Roman" w:hAnsi="Times New Roman" w:cs="Times New Roman"/>
        </w:rPr>
        <w:t>vydaných v spr</w:t>
      </w:r>
      <w:r w:rsidR="006553CA">
        <w:rPr>
          <w:rFonts w:ascii="Times New Roman" w:hAnsi="Times New Roman" w:cs="Times New Roman"/>
        </w:rPr>
        <w:t>ávnom konaní bola veľmi nízka. Ú</w:t>
      </w:r>
      <w:r w:rsidRPr="005C4412">
        <w:rPr>
          <w:rFonts w:ascii="Times New Roman" w:hAnsi="Times New Roman" w:cs="Times New Roman"/>
        </w:rPr>
        <w:t>spešnosť odvolaní</w:t>
      </w:r>
      <w:r w:rsidR="006553CA">
        <w:rPr>
          <w:rFonts w:ascii="Times New Roman" w:hAnsi="Times New Roman" w:cs="Times New Roman"/>
        </w:rPr>
        <w:t xml:space="preserve"> vykázaná spoločne pre všetky kategórie obcí</w:t>
      </w:r>
      <w:r w:rsidRPr="005C4412">
        <w:rPr>
          <w:rFonts w:ascii="Times New Roman" w:hAnsi="Times New Roman" w:cs="Times New Roman"/>
        </w:rPr>
        <w:t xml:space="preserve"> pres</w:t>
      </w:r>
      <w:r w:rsidR="006553CA">
        <w:rPr>
          <w:rFonts w:ascii="Times New Roman" w:hAnsi="Times New Roman" w:cs="Times New Roman"/>
        </w:rPr>
        <w:t>i</w:t>
      </w:r>
      <w:r w:rsidRPr="005C4412">
        <w:rPr>
          <w:rFonts w:ascii="Times New Roman" w:hAnsi="Times New Roman" w:cs="Times New Roman"/>
        </w:rPr>
        <w:t>ah</w:t>
      </w:r>
      <w:r w:rsidR="006553CA">
        <w:rPr>
          <w:rFonts w:ascii="Times New Roman" w:hAnsi="Times New Roman" w:cs="Times New Roman"/>
        </w:rPr>
        <w:t>l</w:t>
      </w:r>
      <w:r w:rsidRPr="005C4412">
        <w:rPr>
          <w:rFonts w:ascii="Times New Roman" w:hAnsi="Times New Roman" w:cs="Times New Roman"/>
        </w:rPr>
        <w:t xml:space="preserve">a 1% len na úseku ochrany pred požiarmi a na úseku štátnej vodnej správy. Z poskytnutých ukazovateľov nie je možné potvrdiť hypotézu, </w:t>
      </w:r>
      <w:r w:rsidR="006553CA">
        <w:rPr>
          <w:rFonts w:ascii="Times New Roman" w:hAnsi="Times New Roman" w:cs="Times New Roman"/>
        </w:rPr>
        <w:t>podľa ktorej</w:t>
      </w:r>
      <w:r w:rsidRPr="005C4412">
        <w:rPr>
          <w:rFonts w:ascii="Times New Roman" w:hAnsi="Times New Roman" w:cs="Times New Roman"/>
        </w:rPr>
        <w:t xml:space="preserve"> s rastúcim počtom vydaných rozhodnutí rastie aj počet úspešných odvolaní.</w:t>
      </w:r>
    </w:p>
    <w:p w:rsidR="00F83F48" w:rsidRDefault="00F83F48" w:rsidP="00F83F48">
      <w:pPr>
        <w:spacing w:before="120" w:after="0" w:line="240" w:lineRule="auto"/>
        <w:ind w:firstLine="709"/>
        <w:jc w:val="both"/>
        <w:rPr>
          <w:rFonts w:ascii="Times New Roman" w:hAnsi="Times New Roman" w:cs="Times New Roman"/>
        </w:rPr>
      </w:pPr>
      <w:r>
        <w:rPr>
          <w:rFonts w:ascii="Times New Roman" w:hAnsi="Times New Roman" w:cs="Times New Roman"/>
        </w:rPr>
        <w:lastRenderedPageBreak/>
        <w:t>Obce na plnenie úloh prenesených pôsobností na väčšine úsekov (</w:t>
      </w:r>
      <w:r w:rsidR="00FB72B4">
        <w:rPr>
          <w:rFonts w:ascii="Times New Roman" w:hAnsi="Times New Roman" w:cs="Times New Roman"/>
        </w:rPr>
        <w:t>9</w:t>
      </w:r>
      <w:r>
        <w:rPr>
          <w:rFonts w:ascii="Times New Roman" w:hAnsi="Times New Roman" w:cs="Times New Roman"/>
        </w:rPr>
        <w:t xml:space="preserve"> z</w:t>
      </w:r>
      <w:r w:rsidR="00FB72B4">
        <w:rPr>
          <w:rFonts w:ascii="Times New Roman" w:hAnsi="Times New Roman" w:cs="Times New Roman"/>
        </w:rPr>
        <w:t>o</w:t>
      </w:r>
      <w:r>
        <w:rPr>
          <w:rFonts w:ascii="Times New Roman" w:hAnsi="Times New Roman" w:cs="Times New Roman"/>
        </w:rPr>
        <w:t xml:space="preserve"> 14) vytvárajú spoločné obecné úrady (nevytvorili ich na úsekoch bývania, hospodárskej mobilizácie, matrík, hlásenia pobytu a volieb a referenda).</w:t>
      </w:r>
    </w:p>
    <w:p w:rsidR="00D13F32" w:rsidRDefault="00D13F32" w:rsidP="00D13F32">
      <w:pPr>
        <w:spacing w:before="120" w:after="0" w:line="240" w:lineRule="auto"/>
        <w:ind w:firstLine="709"/>
        <w:jc w:val="both"/>
        <w:rPr>
          <w:rFonts w:ascii="Times New Roman" w:hAnsi="Times New Roman" w:cs="Times New Roman"/>
        </w:rPr>
      </w:pPr>
      <w:r>
        <w:rPr>
          <w:rFonts w:ascii="Times New Roman" w:hAnsi="Times New Roman" w:cs="Times New Roman"/>
        </w:rPr>
        <w:t xml:space="preserve">Podľa prehľadu spoločných obecných úradov, ktorý vedie ministerstvo vnútra, bolo k 15. 12. 2011 vytvorených 235 spoločných obecných úradov. Združených bolo 2 783 obcí, nezdružených 141 (bez vojenských obvodov). Najviac obcí združených do spoločného obecného úradu bolo na úsekoch školstva (spoločné školské úrady), stavebného poriadku, špeciálneho stavebného úradu pre miestne a účelové komunikácie a ochrany krajiny a prírody. </w:t>
      </w:r>
    </w:p>
    <w:p w:rsidR="00F83F48" w:rsidRDefault="00F83F48" w:rsidP="00F83F48">
      <w:pPr>
        <w:spacing w:before="120" w:after="0" w:line="240" w:lineRule="auto"/>
        <w:ind w:firstLine="709"/>
        <w:jc w:val="both"/>
        <w:rPr>
          <w:rFonts w:ascii="Times New Roman" w:hAnsi="Times New Roman" w:cs="Times New Roman"/>
        </w:rPr>
      </w:pPr>
      <w:r w:rsidRPr="00B93915">
        <w:rPr>
          <w:rFonts w:ascii="Times New Roman" w:hAnsi="Times New Roman" w:cs="Times New Roman"/>
        </w:rPr>
        <w:t>Z predložených údajov vyplýva, že z hľadiska rozhodovacej činnosti obcí je najfrekventovanejší úsek stavebného p</w:t>
      </w:r>
      <w:r w:rsidR="00647692">
        <w:rPr>
          <w:rFonts w:ascii="Times New Roman" w:hAnsi="Times New Roman" w:cs="Times New Roman"/>
        </w:rPr>
        <w:t>o</w:t>
      </w:r>
      <w:r w:rsidRPr="00B93915">
        <w:rPr>
          <w:rFonts w:ascii="Times New Roman" w:hAnsi="Times New Roman" w:cs="Times New Roman"/>
        </w:rPr>
        <w:t xml:space="preserve">riadku. Najviac iných úkonov obcí bolo vykonaných na úseku hlásenia </w:t>
      </w:r>
      <w:r>
        <w:rPr>
          <w:rFonts w:ascii="Times New Roman" w:hAnsi="Times New Roman" w:cs="Times New Roman"/>
        </w:rPr>
        <w:t xml:space="preserve">pobytu </w:t>
      </w:r>
      <w:r w:rsidRPr="00B93915">
        <w:rPr>
          <w:rFonts w:ascii="Times New Roman" w:hAnsi="Times New Roman" w:cs="Times New Roman"/>
        </w:rPr>
        <w:t>a registra obyvateľov</w:t>
      </w:r>
      <w:r>
        <w:rPr>
          <w:rFonts w:ascii="Times New Roman" w:hAnsi="Times New Roman" w:cs="Times New Roman"/>
        </w:rPr>
        <w:t>.</w:t>
      </w:r>
      <w:r w:rsidRPr="00FB357C">
        <w:rPr>
          <w:rFonts w:ascii="Times New Roman" w:hAnsi="Times New Roman" w:cs="Times New Roman"/>
        </w:rPr>
        <w:t xml:space="preserve"> </w:t>
      </w:r>
    </w:p>
    <w:p w:rsidR="00EA199E" w:rsidRPr="00EA199E" w:rsidRDefault="00EA199E" w:rsidP="00350A18">
      <w:pPr>
        <w:keepNext/>
        <w:spacing w:before="120" w:after="120" w:line="240" w:lineRule="auto"/>
        <w:ind w:firstLine="709"/>
        <w:jc w:val="both"/>
        <w:rPr>
          <w:rFonts w:ascii="Times New Roman" w:eastAsia="Times New Roman" w:hAnsi="Times New Roman" w:cs="Times New Roman"/>
          <w:u w:val="single"/>
          <w:lang w:eastAsia="sk-SK"/>
        </w:rPr>
      </w:pPr>
      <w:r w:rsidRPr="00EA199E">
        <w:rPr>
          <w:rFonts w:ascii="Times New Roman" w:hAnsi="Times New Roman" w:cs="Times New Roman"/>
          <w:i/>
          <w:u w:val="single"/>
        </w:rPr>
        <w:t>Sumárne údaje o stave výkonu pôsobností prenesených na samosprávne kraje</w:t>
      </w:r>
      <w:bookmarkEnd w:id="10"/>
    </w:p>
    <w:p w:rsidR="00A335A6" w:rsidRDefault="00A335A6" w:rsidP="00A335A6">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Všetky ministerstvá dodali údaje s kvantifikáciou pôsobností prenesených na samosprávne kraje. Ministerstvo zdravotníctva </w:t>
      </w:r>
      <w:r w:rsidR="002F214D">
        <w:rPr>
          <w:rFonts w:ascii="Times New Roman" w:eastAsia="Times New Roman" w:hAnsi="Times New Roman" w:cs="Times New Roman"/>
          <w:lang w:eastAsia="sk-SK"/>
        </w:rPr>
        <w:t xml:space="preserve">Slovenskej republiky (ďalej len „ministerstvo zdravotníctva“) </w:t>
      </w:r>
      <w:r>
        <w:rPr>
          <w:rFonts w:ascii="Times New Roman" w:eastAsia="Times New Roman" w:hAnsi="Times New Roman" w:cs="Times New Roman"/>
          <w:lang w:eastAsia="sk-SK"/>
        </w:rPr>
        <w:t xml:space="preserve">však dodalo údaje len za niektoré samosprávne kraje, nebolo preto možné vykonať relevantnú </w:t>
      </w:r>
      <w:proofErr w:type="spellStart"/>
      <w:r>
        <w:rPr>
          <w:rFonts w:ascii="Times New Roman" w:eastAsia="Times New Roman" w:hAnsi="Times New Roman" w:cs="Times New Roman"/>
          <w:lang w:eastAsia="sk-SK"/>
        </w:rPr>
        <w:t>sumarizáciu</w:t>
      </w:r>
      <w:proofErr w:type="spellEnd"/>
      <w:r>
        <w:rPr>
          <w:rFonts w:ascii="Times New Roman" w:eastAsia="Times New Roman" w:hAnsi="Times New Roman" w:cs="Times New Roman"/>
          <w:lang w:eastAsia="sk-SK"/>
        </w:rPr>
        <w:t xml:space="preserve"> výstupov.</w:t>
      </w:r>
    </w:p>
    <w:p w:rsidR="00A335A6" w:rsidRDefault="00A335A6" w:rsidP="00A335A6">
      <w:pPr>
        <w:spacing w:before="120" w:after="0" w:line="240" w:lineRule="auto"/>
        <w:ind w:firstLine="709"/>
        <w:jc w:val="both"/>
        <w:rPr>
          <w:rFonts w:ascii="Times New Roman" w:hAnsi="Times New Roman" w:cs="Times New Roman"/>
        </w:rPr>
      </w:pPr>
      <w:r>
        <w:rPr>
          <w:rFonts w:ascii="Times New Roman" w:hAnsi="Times New Roman" w:cs="Times New Roman"/>
        </w:rPr>
        <w:t xml:space="preserve">Najfrekventovanejším úsekom </w:t>
      </w:r>
      <w:r w:rsidRPr="00372578">
        <w:rPr>
          <w:rFonts w:ascii="Times New Roman" w:hAnsi="Times New Roman" w:cs="Times New Roman"/>
        </w:rPr>
        <w:t>z hľadiska rozhodov</w:t>
      </w:r>
      <w:r>
        <w:rPr>
          <w:rFonts w:ascii="Times New Roman" w:hAnsi="Times New Roman" w:cs="Times New Roman"/>
        </w:rPr>
        <w:t>acej činnosti samosprávnych krajov je úsek humánnej farmácie. Najviac iných úkonov samosprávnych krajov bolo vykonaných na úseku zdravotníctva.</w:t>
      </w:r>
    </w:p>
    <w:p w:rsidR="00EA199E" w:rsidRDefault="00EA199E" w:rsidP="00EA199E">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Z vykázaných údajov nebolo možné analyzovať produktivitu zamestnancov</w:t>
      </w:r>
      <w:r w:rsidR="0038482D">
        <w:rPr>
          <w:rFonts w:ascii="Times New Roman" w:eastAsia="Times New Roman" w:hAnsi="Times New Roman" w:cs="Times New Roman"/>
          <w:lang w:eastAsia="sk-SK"/>
        </w:rPr>
        <w:t xml:space="preserve"> porovnávaním</w:t>
      </w:r>
      <w:r>
        <w:rPr>
          <w:rFonts w:ascii="Times New Roman" w:eastAsia="Times New Roman" w:hAnsi="Times New Roman" w:cs="Times New Roman"/>
          <w:lang w:eastAsia="sk-SK"/>
        </w:rPr>
        <w:t>, keďže</w:t>
      </w:r>
      <w:r w:rsidR="0038482D">
        <w:rPr>
          <w:rFonts w:ascii="Times New Roman" w:eastAsia="Times New Roman" w:hAnsi="Times New Roman" w:cs="Times New Roman"/>
          <w:lang w:eastAsia="sk-SK"/>
        </w:rPr>
        <w:t> </w:t>
      </w:r>
      <w:r w:rsidR="00647692">
        <w:rPr>
          <w:rFonts w:ascii="Times New Roman" w:eastAsia="Times New Roman" w:hAnsi="Times New Roman" w:cs="Times New Roman"/>
          <w:lang w:eastAsia="sk-SK"/>
        </w:rPr>
        <w:t>m</w:t>
      </w:r>
      <w:r w:rsidR="0038482D">
        <w:rPr>
          <w:rFonts w:ascii="Times New Roman" w:eastAsia="Times New Roman" w:hAnsi="Times New Roman" w:cs="Times New Roman"/>
          <w:lang w:eastAsia="sk-SK"/>
        </w:rPr>
        <w:t>inisterstvá poskytli sumárne údaje za všetky samosprávne kraje a ani v komentári sa nevyjadrili k rozdielom medzi samosprávnymi krajmi</w:t>
      </w:r>
      <w:r>
        <w:rPr>
          <w:rFonts w:ascii="Times New Roman" w:eastAsia="Times New Roman" w:hAnsi="Times New Roman" w:cs="Times New Roman"/>
          <w:lang w:eastAsia="sk-SK"/>
        </w:rPr>
        <w:t>.</w:t>
      </w:r>
    </w:p>
    <w:p w:rsidR="0022612D" w:rsidRPr="00EA199E" w:rsidRDefault="0022612D" w:rsidP="00EA199E">
      <w:pPr>
        <w:spacing w:before="120" w:after="0" w:line="240" w:lineRule="auto"/>
        <w:ind w:firstLine="709"/>
        <w:jc w:val="both"/>
        <w:rPr>
          <w:rFonts w:ascii="Times New Roman" w:eastAsia="Times New Roman" w:hAnsi="Times New Roman" w:cs="Times New Roman"/>
          <w:lang w:eastAsia="sk-SK"/>
        </w:rPr>
      </w:pPr>
      <w:r w:rsidRPr="005C4412">
        <w:rPr>
          <w:rFonts w:ascii="Times New Roman" w:hAnsi="Times New Roman" w:cs="Times New Roman"/>
        </w:rPr>
        <w:t>Úspešnosť odvolaní podaných proti rozhodnutiam</w:t>
      </w:r>
      <w:r>
        <w:rPr>
          <w:rFonts w:ascii="Times New Roman" w:hAnsi="Times New Roman" w:cs="Times New Roman"/>
        </w:rPr>
        <w:t xml:space="preserve"> </w:t>
      </w:r>
      <w:r w:rsidRPr="005C4412">
        <w:rPr>
          <w:rFonts w:ascii="Times New Roman" w:hAnsi="Times New Roman" w:cs="Times New Roman"/>
        </w:rPr>
        <w:t>vydaných v spr</w:t>
      </w:r>
      <w:r>
        <w:rPr>
          <w:rFonts w:ascii="Times New Roman" w:hAnsi="Times New Roman" w:cs="Times New Roman"/>
        </w:rPr>
        <w:t>ávnom konaní bola podobne ako pri obciach veľmi nízka. Ú</w:t>
      </w:r>
      <w:r w:rsidRPr="005C4412">
        <w:rPr>
          <w:rFonts w:ascii="Times New Roman" w:hAnsi="Times New Roman" w:cs="Times New Roman"/>
        </w:rPr>
        <w:t>spešnosť odvolaní</w:t>
      </w:r>
      <w:r>
        <w:rPr>
          <w:rFonts w:ascii="Times New Roman" w:hAnsi="Times New Roman" w:cs="Times New Roman"/>
        </w:rPr>
        <w:t xml:space="preserve"> </w:t>
      </w:r>
      <w:r w:rsidRPr="005C4412">
        <w:rPr>
          <w:rFonts w:ascii="Times New Roman" w:hAnsi="Times New Roman" w:cs="Times New Roman"/>
        </w:rPr>
        <w:t>pres</w:t>
      </w:r>
      <w:r>
        <w:rPr>
          <w:rFonts w:ascii="Times New Roman" w:hAnsi="Times New Roman" w:cs="Times New Roman"/>
        </w:rPr>
        <w:t>i</w:t>
      </w:r>
      <w:r w:rsidRPr="005C4412">
        <w:rPr>
          <w:rFonts w:ascii="Times New Roman" w:hAnsi="Times New Roman" w:cs="Times New Roman"/>
        </w:rPr>
        <w:t>ah</w:t>
      </w:r>
      <w:r>
        <w:rPr>
          <w:rFonts w:ascii="Times New Roman" w:hAnsi="Times New Roman" w:cs="Times New Roman"/>
        </w:rPr>
        <w:t>l</w:t>
      </w:r>
      <w:r w:rsidRPr="005C4412">
        <w:rPr>
          <w:rFonts w:ascii="Times New Roman" w:hAnsi="Times New Roman" w:cs="Times New Roman"/>
        </w:rPr>
        <w:t>a 1% len na úseku</w:t>
      </w:r>
      <w:r>
        <w:rPr>
          <w:rFonts w:ascii="Times New Roman" w:hAnsi="Times New Roman" w:cs="Times New Roman"/>
        </w:rPr>
        <w:t xml:space="preserve"> školstva.</w:t>
      </w:r>
    </w:p>
    <w:p w:rsidR="00346F37" w:rsidRDefault="00346F37" w:rsidP="003D37C0">
      <w:pPr>
        <w:pStyle w:val="tla3"/>
        <w:keepNext/>
      </w:pPr>
      <w:bookmarkStart w:id="11" w:name="_Toc373740547"/>
      <w:r w:rsidRPr="00346F37">
        <w:t>Zhodnotenie kvality výkonu prenesených pôsobností</w:t>
      </w:r>
      <w:bookmarkEnd w:id="11"/>
    </w:p>
    <w:p w:rsidR="008B6410" w:rsidRPr="008B6410" w:rsidRDefault="008B6410" w:rsidP="00D57EAD">
      <w:pPr>
        <w:spacing w:before="120" w:after="120" w:line="240" w:lineRule="auto"/>
        <w:ind w:firstLine="709"/>
        <w:jc w:val="both"/>
        <w:rPr>
          <w:rFonts w:ascii="Times New Roman" w:eastAsia="Times New Roman" w:hAnsi="Times New Roman" w:cs="Times New Roman"/>
          <w:lang w:eastAsia="sk-SK"/>
        </w:rPr>
      </w:pPr>
      <w:r w:rsidRPr="008B6410">
        <w:rPr>
          <w:rFonts w:ascii="Times New Roman" w:eastAsia="Times New Roman" w:hAnsi="Times New Roman" w:cs="Times New Roman"/>
          <w:lang w:eastAsia="sk-SK"/>
        </w:rPr>
        <w:t>Zhodnotenie kvality</w:t>
      </w:r>
      <w:r w:rsidR="00462A55">
        <w:rPr>
          <w:rFonts w:ascii="Times New Roman" w:eastAsia="Times New Roman" w:hAnsi="Times New Roman" w:cs="Times New Roman"/>
          <w:lang w:eastAsia="sk-SK"/>
        </w:rPr>
        <w:t xml:space="preserve"> </w:t>
      </w:r>
      <w:r w:rsidR="00164C38">
        <w:rPr>
          <w:rFonts w:ascii="Times New Roman" w:eastAsia="Times New Roman" w:hAnsi="Times New Roman" w:cs="Times New Roman"/>
          <w:lang w:eastAsia="sk-SK"/>
        </w:rPr>
        <w:t xml:space="preserve">výkonu prenesených pôsobností za obce a samosprávne kraje </w:t>
      </w:r>
      <w:r w:rsidR="00462A55">
        <w:rPr>
          <w:rFonts w:ascii="Times New Roman" w:eastAsia="Times New Roman" w:hAnsi="Times New Roman" w:cs="Times New Roman"/>
          <w:lang w:eastAsia="sk-SK"/>
        </w:rPr>
        <w:t>spracované do tabuliek</w:t>
      </w:r>
      <w:r>
        <w:rPr>
          <w:rFonts w:ascii="Times New Roman" w:eastAsia="Times New Roman" w:hAnsi="Times New Roman" w:cs="Times New Roman"/>
          <w:lang w:eastAsia="sk-SK"/>
        </w:rPr>
        <w:t xml:space="preserve"> </w:t>
      </w:r>
      <w:r w:rsidR="00462A55">
        <w:rPr>
          <w:rFonts w:ascii="Times New Roman" w:eastAsia="Times New Roman" w:hAnsi="Times New Roman" w:cs="Times New Roman"/>
          <w:lang w:eastAsia="sk-SK"/>
        </w:rPr>
        <w:t>s uvedenými ukazovateľmi a hodnotami ukazovateľov sa v stručnej podobe</w:t>
      </w:r>
      <w:r>
        <w:rPr>
          <w:rFonts w:ascii="Times New Roman" w:eastAsia="Times New Roman" w:hAnsi="Times New Roman" w:cs="Times New Roman"/>
          <w:lang w:eastAsia="sk-SK"/>
        </w:rPr>
        <w:t xml:space="preserve"> nachádza v prílohách 1c a 2c.</w:t>
      </w:r>
    </w:p>
    <w:p w:rsidR="0038482D" w:rsidRPr="0038482D" w:rsidRDefault="0038482D" w:rsidP="00D57EAD">
      <w:pPr>
        <w:spacing w:before="120" w:after="120" w:line="240" w:lineRule="auto"/>
        <w:ind w:firstLine="709"/>
        <w:jc w:val="both"/>
        <w:rPr>
          <w:rFonts w:ascii="Times New Roman" w:eastAsia="Times New Roman" w:hAnsi="Times New Roman" w:cs="Times New Roman"/>
          <w:i/>
          <w:u w:val="single"/>
          <w:lang w:eastAsia="sk-SK"/>
        </w:rPr>
      </w:pPr>
      <w:r w:rsidRPr="0038482D">
        <w:rPr>
          <w:rFonts w:ascii="Times New Roman" w:eastAsia="Times New Roman" w:hAnsi="Times New Roman" w:cs="Times New Roman"/>
          <w:i/>
          <w:u w:val="single"/>
          <w:lang w:eastAsia="sk-SK"/>
        </w:rPr>
        <w:t>Sumárne údaje o kvalite pôsobností prenesených na obce</w:t>
      </w:r>
    </w:p>
    <w:p w:rsidR="00160F31" w:rsidRDefault="003D58F3" w:rsidP="00D57EAD">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Ministerstvá</w:t>
      </w:r>
      <w:r w:rsidR="00160F31">
        <w:rPr>
          <w:rFonts w:ascii="Times New Roman" w:eastAsia="Times New Roman" w:hAnsi="Times New Roman" w:cs="Times New Roman"/>
          <w:lang w:eastAsia="sk-SK"/>
        </w:rPr>
        <w:t xml:space="preserve"> poskytli svoj názor na kvalitu plnenia úloh prenesených na obce. Tabuľka nižšie sumarizuje </w:t>
      </w:r>
      <w:r>
        <w:rPr>
          <w:rFonts w:ascii="Times New Roman" w:eastAsia="Times New Roman" w:hAnsi="Times New Roman" w:cs="Times New Roman"/>
          <w:lang w:eastAsia="sk-SK"/>
        </w:rPr>
        <w:t xml:space="preserve">ich </w:t>
      </w:r>
      <w:r w:rsidR="00160F31">
        <w:rPr>
          <w:rFonts w:ascii="Times New Roman" w:eastAsia="Times New Roman" w:hAnsi="Times New Roman" w:cs="Times New Roman"/>
          <w:lang w:eastAsia="sk-SK"/>
        </w:rPr>
        <w:t>hodnot</w:t>
      </w:r>
      <w:r>
        <w:rPr>
          <w:rFonts w:ascii="Times New Roman" w:eastAsia="Times New Roman" w:hAnsi="Times New Roman" w:cs="Times New Roman"/>
          <w:lang w:eastAsia="sk-SK"/>
        </w:rPr>
        <w:t>enia</w:t>
      </w:r>
      <w:r w:rsidR="00160F31">
        <w:rPr>
          <w:rFonts w:ascii="Times New Roman" w:eastAsia="Times New Roman" w:hAnsi="Times New Roman" w:cs="Times New Roman"/>
          <w:lang w:eastAsia="sk-SK"/>
        </w:rPr>
        <w:t>:</w:t>
      </w:r>
    </w:p>
    <w:p w:rsidR="004B3CA1" w:rsidRPr="004B3CA1" w:rsidRDefault="004B3CA1" w:rsidP="003D37C0">
      <w:pPr>
        <w:keepNext/>
        <w:spacing w:before="120" w:after="60" w:line="240" w:lineRule="auto"/>
        <w:jc w:val="center"/>
        <w:rPr>
          <w:rFonts w:ascii="Times New Roman" w:eastAsia="Times New Roman" w:hAnsi="Times New Roman" w:cs="Times New Roman"/>
          <w:sz w:val="16"/>
          <w:szCs w:val="16"/>
          <w:lang w:eastAsia="sk-SK"/>
        </w:rPr>
      </w:pPr>
      <w:r w:rsidRPr="004B3CA1">
        <w:rPr>
          <w:rFonts w:ascii="Times New Roman" w:eastAsia="Times New Roman" w:hAnsi="Times New Roman" w:cs="Times New Roman"/>
          <w:b/>
          <w:sz w:val="16"/>
          <w:szCs w:val="16"/>
          <w:lang w:eastAsia="sk-SK"/>
        </w:rPr>
        <w:t>Tabuľka 5</w:t>
      </w:r>
      <w:r w:rsidR="00FB72B4">
        <w:rPr>
          <w:rFonts w:ascii="Times New Roman" w:eastAsia="Times New Roman" w:hAnsi="Times New Roman" w:cs="Times New Roman"/>
          <w:b/>
          <w:sz w:val="16"/>
          <w:szCs w:val="16"/>
          <w:lang w:eastAsia="sk-SK"/>
        </w:rPr>
        <w:t>:</w:t>
      </w:r>
      <w:r w:rsidRPr="004B3CA1">
        <w:rPr>
          <w:rFonts w:ascii="Times New Roman" w:eastAsia="Times New Roman" w:hAnsi="Times New Roman" w:cs="Times New Roman"/>
          <w:sz w:val="16"/>
          <w:szCs w:val="16"/>
          <w:lang w:eastAsia="sk-SK"/>
        </w:rPr>
        <w:t xml:space="preserve"> Kvalita výkonu pôsobností prenesených na obce</w:t>
      </w:r>
      <w:r w:rsidR="00100BB5">
        <w:rPr>
          <w:rFonts w:ascii="Times New Roman" w:eastAsia="Times New Roman" w:hAnsi="Times New Roman" w:cs="Times New Roman"/>
          <w:sz w:val="16"/>
          <w:szCs w:val="16"/>
          <w:lang w:eastAsia="sk-SK"/>
        </w:rPr>
        <w:t xml:space="preserve"> podľa úsekov</w:t>
      </w:r>
    </w:p>
    <w:tbl>
      <w:tblPr>
        <w:tblW w:w="9683" w:type="dxa"/>
        <w:jc w:val="center"/>
        <w:tblInd w:w="40" w:type="dxa"/>
        <w:tblLayout w:type="fixed"/>
        <w:tblCellMar>
          <w:left w:w="70" w:type="dxa"/>
          <w:right w:w="70" w:type="dxa"/>
        </w:tblCellMar>
        <w:tblLook w:val="0000" w:firstRow="0" w:lastRow="0" w:firstColumn="0" w:lastColumn="0" w:noHBand="0" w:noVBand="0"/>
      </w:tblPr>
      <w:tblGrid>
        <w:gridCol w:w="1214"/>
        <w:gridCol w:w="4111"/>
        <w:gridCol w:w="1089"/>
        <w:gridCol w:w="1090"/>
        <w:gridCol w:w="1089"/>
        <w:gridCol w:w="1090"/>
      </w:tblGrid>
      <w:tr w:rsidR="00D57EAD" w:rsidRPr="00E548B2" w:rsidTr="00A26949">
        <w:trPr>
          <w:cantSplit/>
          <w:trHeight w:val="836"/>
          <w:tblHeader/>
          <w:jc w:val="center"/>
        </w:trPr>
        <w:tc>
          <w:tcPr>
            <w:tcW w:w="1214" w:type="dxa"/>
            <w:tcBorders>
              <w:top w:val="single" w:sz="6" w:space="0" w:color="auto"/>
              <w:left w:val="single" w:sz="6" w:space="0" w:color="auto"/>
              <w:bottom w:val="single" w:sz="6" w:space="0" w:color="auto"/>
              <w:right w:val="single" w:sz="6" w:space="0" w:color="auto"/>
            </w:tcBorders>
            <w:vAlign w:val="center"/>
          </w:tcPr>
          <w:p w:rsidR="00D57EAD" w:rsidRPr="0017305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m</w:t>
            </w:r>
            <w:r w:rsidR="00EA6438">
              <w:rPr>
                <w:rFonts w:ascii="Times New Roman" w:hAnsi="Times New Roman" w:cs="Times New Roman"/>
                <w:bCs/>
                <w:color w:val="000000"/>
                <w:sz w:val="18"/>
                <w:szCs w:val="18"/>
              </w:rPr>
              <w:t>inisterstvá</w:t>
            </w:r>
          </w:p>
        </w:tc>
        <w:tc>
          <w:tcPr>
            <w:tcW w:w="4111" w:type="dxa"/>
            <w:tcBorders>
              <w:top w:val="single" w:sz="6" w:space="0" w:color="auto"/>
              <w:left w:val="single" w:sz="6" w:space="0" w:color="auto"/>
              <w:bottom w:val="single" w:sz="6" w:space="0" w:color="auto"/>
              <w:right w:val="single" w:sz="6" w:space="0" w:color="auto"/>
            </w:tcBorders>
            <w:vAlign w:val="center"/>
          </w:tcPr>
          <w:p w:rsidR="00D57EAD" w:rsidRPr="00173058" w:rsidRDefault="00697650" w:rsidP="00A26949">
            <w:pPr>
              <w:keepNext/>
              <w:autoSpaceDE w:val="0"/>
              <w:autoSpaceDN w:val="0"/>
              <w:adjustRightInd w:val="0"/>
              <w:spacing w:after="0" w:line="240" w:lineRule="auto"/>
              <w:rPr>
                <w:rFonts w:ascii="Times New Roman" w:hAnsi="Times New Roman" w:cs="Times New Roman"/>
                <w:bCs/>
                <w:color w:val="000000"/>
                <w:sz w:val="18"/>
                <w:szCs w:val="18"/>
              </w:rPr>
            </w:pPr>
            <w:r w:rsidRPr="00173058">
              <w:rPr>
                <w:rFonts w:ascii="Times New Roman" w:hAnsi="Times New Roman" w:cs="Times New Roman"/>
                <w:bCs/>
                <w:color w:val="000000"/>
                <w:sz w:val="18"/>
                <w:szCs w:val="18"/>
              </w:rPr>
              <w:t>úsek</w:t>
            </w:r>
            <w:r w:rsidR="00EA6438">
              <w:rPr>
                <w:rFonts w:ascii="Times New Roman" w:hAnsi="Times New Roman" w:cs="Times New Roman"/>
                <w:bCs/>
                <w:color w:val="000000"/>
                <w:sz w:val="18"/>
                <w:szCs w:val="18"/>
              </w:rPr>
              <w:t>y</w:t>
            </w:r>
          </w:p>
        </w:tc>
        <w:tc>
          <w:tcPr>
            <w:tcW w:w="1089" w:type="dxa"/>
            <w:tcBorders>
              <w:top w:val="single" w:sz="6" w:space="0" w:color="auto"/>
              <w:left w:val="single" w:sz="6" w:space="0" w:color="auto"/>
              <w:bottom w:val="single" w:sz="6" w:space="0" w:color="auto"/>
              <w:right w:val="single" w:sz="6" w:space="0" w:color="auto"/>
            </w:tcBorders>
            <w:vAlign w:val="center"/>
          </w:tcPr>
          <w:p w:rsidR="00D57EAD" w:rsidRPr="0017305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w:t>
            </w:r>
            <w:r w:rsidR="00D57EAD" w:rsidRPr="00173058">
              <w:rPr>
                <w:rFonts w:ascii="Times New Roman" w:hAnsi="Times New Roman" w:cs="Times New Roman"/>
                <w:bCs/>
                <w:color w:val="000000"/>
                <w:sz w:val="18"/>
                <w:szCs w:val="18"/>
              </w:rPr>
              <w:t>očet úloh podľa katalógu</w:t>
            </w:r>
          </w:p>
        </w:tc>
        <w:tc>
          <w:tcPr>
            <w:tcW w:w="1090" w:type="dxa"/>
            <w:tcBorders>
              <w:top w:val="single" w:sz="6" w:space="0" w:color="auto"/>
              <w:left w:val="single" w:sz="6" w:space="0" w:color="auto"/>
              <w:bottom w:val="single" w:sz="6" w:space="0" w:color="auto"/>
              <w:right w:val="single" w:sz="6" w:space="0" w:color="auto"/>
            </w:tcBorders>
            <w:vAlign w:val="center"/>
          </w:tcPr>
          <w:p w:rsidR="00D57EAD" w:rsidRPr="0017305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w:t>
            </w:r>
            <w:r w:rsidR="00D57EAD" w:rsidRPr="00173058">
              <w:rPr>
                <w:rFonts w:ascii="Times New Roman" w:hAnsi="Times New Roman" w:cs="Times New Roman"/>
                <w:bCs/>
                <w:color w:val="000000"/>
                <w:sz w:val="18"/>
                <w:szCs w:val="18"/>
              </w:rPr>
              <w:t>očet úloh s kladným slovným hodnotením</w:t>
            </w:r>
          </w:p>
        </w:tc>
        <w:tc>
          <w:tcPr>
            <w:tcW w:w="1089" w:type="dxa"/>
            <w:tcBorders>
              <w:top w:val="single" w:sz="6" w:space="0" w:color="auto"/>
              <w:left w:val="single" w:sz="6" w:space="0" w:color="auto"/>
              <w:bottom w:val="single" w:sz="6" w:space="0" w:color="auto"/>
              <w:right w:val="single" w:sz="6" w:space="0" w:color="auto"/>
            </w:tcBorders>
            <w:vAlign w:val="center"/>
          </w:tcPr>
          <w:p w:rsidR="00D57EAD" w:rsidRPr="0017305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w:t>
            </w:r>
            <w:r w:rsidR="00D57EAD" w:rsidRPr="00173058">
              <w:rPr>
                <w:rFonts w:ascii="Times New Roman" w:hAnsi="Times New Roman" w:cs="Times New Roman"/>
                <w:bCs/>
                <w:color w:val="000000"/>
                <w:sz w:val="18"/>
                <w:szCs w:val="18"/>
              </w:rPr>
              <w:t>očet úloh so záporným slovným hodnotením</w:t>
            </w:r>
          </w:p>
        </w:tc>
        <w:tc>
          <w:tcPr>
            <w:tcW w:w="1090" w:type="dxa"/>
            <w:tcBorders>
              <w:top w:val="single" w:sz="6" w:space="0" w:color="auto"/>
              <w:left w:val="single" w:sz="6" w:space="0" w:color="auto"/>
              <w:bottom w:val="single" w:sz="6" w:space="0" w:color="auto"/>
              <w:right w:val="single" w:sz="6" w:space="0" w:color="auto"/>
            </w:tcBorders>
            <w:vAlign w:val="center"/>
          </w:tcPr>
          <w:p w:rsidR="00D57EAD" w:rsidRPr="0017305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w:t>
            </w:r>
            <w:r w:rsidR="00D57EAD" w:rsidRPr="00173058">
              <w:rPr>
                <w:rFonts w:ascii="Times New Roman" w:hAnsi="Times New Roman" w:cs="Times New Roman"/>
                <w:bCs/>
                <w:color w:val="000000"/>
                <w:sz w:val="18"/>
                <w:szCs w:val="18"/>
              </w:rPr>
              <w:t>očet úloh s neuvedeným slovným hodnotením</w:t>
            </w:r>
          </w:p>
        </w:tc>
      </w:tr>
      <w:tr w:rsidR="00697650" w:rsidRPr="00E548B2" w:rsidTr="00A26949">
        <w:trPr>
          <w:trHeight w:val="203"/>
          <w:jc w:val="center"/>
        </w:trPr>
        <w:tc>
          <w:tcPr>
            <w:tcW w:w="1214" w:type="dxa"/>
            <w:vMerge w:val="restart"/>
            <w:tcBorders>
              <w:top w:val="nil"/>
              <w:left w:val="single" w:sz="6" w:space="0" w:color="auto"/>
              <w:right w:val="single" w:sz="6" w:space="0" w:color="auto"/>
            </w:tcBorders>
          </w:tcPr>
          <w:p w:rsidR="00697650" w:rsidRPr="00E548B2" w:rsidRDefault="00697650" w:rsidP="003A70EC">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MDVRR SR</w:t>
            </w:r>
          </w:p>
        </w:tc>
        <w:tc>
          <w:tcPr>
            <w:tcW w:w="4111" w:type="dxa"/>
            <w:tcBorders>
              <w:top w:val="nil"/>
              <w:left w:val="single" w:sz="6" w:space="0" w:color="auto"/>
              <w:bottom w:val="single" w:sz="4" w:space="0" w:color="auto"/>
              <w:right w:val="single" w:sz="6" w:space="0" w:color="auto"/>
            </w:tcBorders>
          </w:tcPr>
          <w:p w:rsidR="00697650" w:rsidRPr="00E548B2" w:rsidRDefault="00697650" w:rsidP="0039203A">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 xml:space="preserve">úsek </w:t>
            </w:r>
            <w:r w:rsidR="0039203A">
              <w:rPr>
                <w:rFonts w:ascii="Times New Roman" w:hAnsi="Times New Roman" w:cs="Times New Roman"/>
                <w:color w:val="000000"/>
                <w:sz w:val="18"/>
                <w:szCs w:val="18"/>
              </w:rPr>
              <w:t>miestnych a účelových komunikácií</w:t>
            </w:r>
          </w:p>
        </w:tc>
        <w:tc>
          <w:tcPr>
            <w:tcW w:w="1089" w:type="dxa"/>
            <w:tcBorders>
              <w:top w:val="nil"/>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9</w:t>
            </w:r>
          </w:p>
        </w:tc>
        <w:tc>
          <w:tcPr>
            <w:tcW w:w="1090" w:type="dxa"/>
            <w:tcBorders>
              <w:top w:val="nil"/>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89" w:type="dxa"/>
            <w:tcBorders>
              <w:top w:val="nil"/>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nil"/>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9</w:t>
            </w:r>
          </w:p>
        </w:tc>
      </w:tr>
      <w:tr w:rsidR="00697650" w:rsidRPr="00E548B2" w:rsidTr="00A26949">
        <w:trPr>
          <w:trHeight w:val="237"/>
          <w:jc w:val="center"/>
        </w:trPr>
        <w:tc>
          <w:tcPr>
            <w:tcW w:w="1214" w:type="dxa"/>
            <w:vMerge/>
            <w:tcBorders>
              <w:left w:val="single" w:sz="6" w:space="0" w:color="auto"/>
              <w:right w:val="single" w:sz="6" w:space="0" w:color="auto"/>
            </w:tcBorders>
          </w:tcPr>
          <w:p w:rsidR="00697650" w:rsidRPr="00E548B2" w:rsidRDefault="00697650" w:rsidP="003A70EC">
            <w:pPr>
              <w:keepNext/>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single" w:sz="4" w:space="0" w:color="auto"/>
              <w:right w:val="single" w:sz="6" w:space="0" w:color="auto"/>
            </w:tcBorders>
          </w:tcPr>
          <w:p w:rsidR="00697650" w:rsidRPr="00E548B2" w:rsidRDefault="00697650" w:rsidP="00697650">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špeciálneho stavebného úradu pre miestne a účelové komunikácie</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6</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6</w:t>
            </w:r>
          </w:p>
        </w:tc>
      </w:tr>
      <w:tr w:rsidR="00697650" w:rsidRPr="00E548B2" w:rsidTr="00A26949">
        <w:trPr>
          <w:trHeight w:val="203"/>
          <w:jc w:val="center"/>
        </w:trPr>
        <w:tc>
          <w:tcPr>
            <w:tcW w:w="1214" w:type="dxa"/>
            <w:vMerge/>
            <w:tcBorders>
              <w:left w:val="single" w:sz="6" w:space="0" w:color="auto"/>
              <w:right w:val="single" w:sz="6" w:space="0" w:color="auto"/>
            </w:tcBorders>
          </w:tcPr>
          <w:p w:rsidR="00697650" w:rsidRPr="00E548B2" w:rsidRDefault="00697650" w:rsidP="003A70EC">
            <w:pPr>
              <w:keepNext/>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single" w:sz="4" w:space="0" w:color="auto"/>
              <w:right w:val="single" w:sz="6" w:space="0" w:color="auto"/>
            </w:tcBorders>
          </w:tcPr>
          <w:p w:rsidR="00697650" w:rsidRPr="00E548B2" w:rsidRDefault="00697650" w:rsidP="00697650">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stavebného poriadku</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31</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AC307F" w:rsidP="003A70EC">
            <w:pPr>
              <w:keepNext/>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w:t>
            </w:r>
            <w:r w:rsidR="00697650" w:rsidRPr="00E548B2">
              <w:rPr>
                <w:rFonts w:ascii="Times New Roman" w:hAnsi="Times New Roman" w:cs="Times New Roman"/>
                <w:color w:val="000000"/>
                <w:sz w:val="18"/>
                <w:szCs w:val="18"/>
              </w:rPr>
              <w:t>1</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AC307F" w:rsidP="003A70EC">
            <w:pPr>
              <w:keepNext/>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697650" w:rsidRPr="00E548B2" w:rsidTr="00A26949">
        <w:trPr>
          <w:trHeight w:val="203"/>
          <w:jc w:val="center"/>
        </w:trPr>
        <w:tc>
          <w:tcPr>
            <w:tcW w:w="1214" w:type="dxa"/>
            <w:vMerge/>
            <w:tcBorders>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nil"/>
              <w:right w:val="single" w:sz="6" w:space="0" w:color="auto"/>
            </w:tcBorders>
          </w:tcPr>
          <w:p w:rsidR="00697650" w:rsidRPr="00E548B2" w:rsidRDefault="00697650" w:rsidP="00697650">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bývania</w:t>
            </w:r>
          </w:p>
        </w:tc>
        <w:tc>
          <w:tcPr>
            <w:tcW w:w="1089" w:type="dxa"/>
            <w:tcBorders>
              <w:top w:val="single" w:sz="4"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5</w:t>
            </w:r>
          </w:p>
        </w:tc>
        <w:tc>
          <w:tcPr>
            <w:tcW w:w="1090" w:type="dxa"/>
            <w:tcBorders>
              <w:top w:val="single" w:sz="4"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2</w:t>
            </w:r>
          </w:p>
        </w:tc>
        <w:tc>
          <w:tcPr>
            <w:tcW w:w="1089" w:type="dxa"/>
            <w:tcBorders>
              <w:top w:val="single" w:sz="4" w:space="0" w:color="auto"/>
              <w:left w:val="single" w:sz="6" w:space="0" w:color="auto"/>
              <w:bottom w:val="nil"/>
              <w:right w:val="single" w:sz="6" w:space="0" w:color="auto"/>
            </w:tcBorders>
          </w:tcPr>
          <w:p w:rsidR="00697650" w:rsidRPr="00E548B2" w:rsidRDefault="00AC307F" w:rsidP="003A70EC">
            <w:pPr>
              <w:keepNext/>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90" w:type="dxa"/>
            <w:tcBorders>
              <w:top w:val="single" w:sz="4" w:space="0" w:color="auto"/>
              <w:left w:val="single" w:sz="6" w:space="0" w:color="auto"/>
              <w:bottom w:val="nil"/>
              <w:right w:val="single" w:sz="6" w:space="0" w:color="auto"/>
            </w:tcBorders>
          </w:tcPr>
          <w:p w:rsidR="00697650" w:rsidRPr="00E548B2" w:rsidRDefault="00AC307F" w:rsidP="003A70EC">
            <w:pPr>
              <w:keepNext/>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r>
      <w:tr w:rsidR="00697650" w:rsidRPr="00E548B2" w:rsidTr="00A26949">
        <w:trPr>
          <w:trHeight w:val="203"/>
          <w:jc w:val="center"/>
        </w:trPr>
        <w:tc>
          <w:tcPr>
            <w:tcW w:w="1214"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MH SR</w:t>
            </w:r>
          </w:p>
        </w:tc>
        <w:tc>
          <w:tcPr>
            <w:tcW w:w="4111" w:type="dxa"/>
            <w:tcBorders>
              <w:top w:val="single" w:sz="6" w:space="0" w:color="auto"/>
              <w:left w:val="single" w:sz="6" w:space="0" w:color="auto"/>
              <w:bottom w:val="nil"/>
              <w:right w:val="single" w:sz="6" w:space="0" w:color="auto"/>
            </w:tcBorders>
          </w:tcPr>
          <w:p w:rsidR="00697650" w:rsidRPr="00E548B2" w:rsidRDefault="00697650" w:rsidP="00697650">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hospodárskej mobilizácie</w:t>
            </w:r>
          </w:p>
        </w:tc>
        <w:tc>
          <w:tcPr>
            <w:tcW w:w="1089"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3</w:t>
            </w:r>
          </w:p>
        </w:tc>
        <w:tc>
          <w:tcPr>
            <w:tcW w:w="1090"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3</w:t>
            </w:r>
          </w:p>
        </w:tc>
        <w:tc>
          <w:tcPr>
            <w:tcW w:w="1089"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r>
      <w:tr w:rsidR="00697650" w:rsidRPr="00E548B2" w:rsidTr="00A26949">
        <w:trPr>
          <w:trHeight w:val="191"/>
          <w:jc w:val="center"/>
        </w:trPr>
        <w:tc>
          <w:tcPr>
            <w:tcW w:w="1214"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MŠVVŠ SR</w:t>
            </w:r>
          </w:p>
        </w:tc>
        <w:tc>
          <w:tcPr>
            <w:tcW w:w="4111" w:type="dxa"/>
            <w:tcBorders>
              <w:top w:val="single" w:sz="6" w:space="0" w:color="auto"/>
              <w:left w:val="single" w:sz="6" w:space="0" w:color="auto"/>
              <w:bottom w:val="nil"/>
              <w:right w:val="single" w:sz="6" w:space="0" w:color="auto"/>
            </w:tcBorders>
          </w:tcPr>
          <w:p w:rsidR="00697650" w:rsidRPr="00E548B2" w:rsidRDefault="00697650" w:rsidP="00697650">
            <w:pPr>
              <w:keepNext/>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školstva (zriaďovateľská pôsobnosť vo vzťahu k základným školám)</w:t>
            </w:r>
          </w:p>
        </w:tc>
        <w:tc>
          <w:tcPr>
            <w:tcW w:w="1089"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15</w:t>
            </w:r>
          </w:p>
        </w:tc>
        <w:tc>
          <w:tcPr>
            <w:tcW w:w="1090"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14</w:t>
            </w:r>
          </w:p>
        </w:tc>
        <w:tc>
          <w:tcPr>
            <w:tcW w:w="1089"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w:t>
            </w:r>
          </w:p>
        </w:tc>
        <w:tc>
          <w:tcPr>
            <w:tcW w:w="1090" w:type="dxa"/>
            <w:tcBorders>
              <w:top w:val="single" w:sz="6" w:space="0" w:color="auto"/>
              <w:left w:val="single" w:sz="6" w:space="0" w:color="auto"/>
              <w:bottom w:val="nil"/>
              <w:right w:val="single" w:sz="6" w:space="0" w:color="auto"/>
            </w:tcBorders>
          </w:tcPr>
          <w:p w:rsidR="00697650" w:rsidRPr="00E548B2" w:rsidRDefault="00697650" w:rsidP="003A70EC">
            <w:pPr>
              <w:keepNext/>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r>
      <w:tr w:rsidR="00697650" w:rsidRPr="00E548B2" w:rsidTr="00A26949">
        <w:trPr>
          <w:trHeight w:val="203"/>
          <w:jc w:val="center"/>
        </w:trPr>
        <w:tc>
          <w:tcPr>
            <w:tcW w:w="1214" w:type="dxa"/>
            <w:vMerge w:val="restart"/>
            <w:tcBorders>
              <w:top w:val="single" w:sz="6" w:space="0" w:color="auto"/>
              <w:left w:val="single" w:sz="6"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MV SR</w:t>
            </w:r>
          </w:p>
        </w:tc>
        <w:tc>
          <w:tcPr>
            <w:tcW w:w="4111"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matrík</w:t>
            </w:r>
          </w:p>
        </w:tc>
        <w:tc>
          <w:tcPr>
            <w:tcW w:w="1089"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6</w:t>
            </w:r>
          </w:p>
        </w:tc>
        <w:tc>
          <w:tcPr>
            <w:tcW w:w="1090"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6</w:t>
            </w:r>
          </w:p>
        </w:tc>
        <w:tc>
          <w:tcPr>
            <w:tcW w:w="1089"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r>
      <w:tr w:rsidR="00697650" w:rsidRPr="00E548B2" w:rsidTr="00A26949">
        <w:trPr>
          <w:trHeight w:val="203"/>
          <w:jc w:val="center"/>
        </w:trPr>
        <w:tc>
          <w:tcPr>
            <w:tcW w:w="1214" w:type="dxa"/>
            <w:vMerge/>
            <w:tcBorders>
              <w:left w:val="single" w:sz="6"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hlásenia pobytu a registra obyvateľov</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10</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10</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r>
      <w:tr w:rsidR="00697650" w:rsidRPr="00E548B2" w:rsidTr="00A26949">
        <w:trPr>
          <w:trHeight w:val="203"/>
          <w:jc w:val="center"/>
        </w:trPr>
        <w:tc>
          <w:tcPr>
            <w:tcW w:w="1214" w:type="dxa"/>
            <w:vMerge/>
            <w:tcBorders>
              <w:left w:val="single" w:sz="6"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ochrany pred požiarmi</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4</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AB7643"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AB7643"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AB7643"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697650" w:rsidRPr="00E548B2" w:rsidTr="00A26949">
        <w:trPr>
          <w:trHeight w:val="203"/>
          <w:jc w:val="center"/>
        </w:trPr>
        <w:tc>
          <w:tcPr>
            <w:tcW w:w="1214" w:type="dxa"/>
            <w:vMerge/>
            <w:tcBorders>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volieb a referenda</w:t>
            </w:r>
          </w:p>
        </w:tc>
        <w:tc>
          <w:tcPr>
            <w:tcW w:w="1089"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50</w:t>
            </w:r>
          </w:p>
        </w:tc>
        <w:tc>
          <w:tcPr>
            <w:tcW w:w="1090" w:type="dxa"/>
            <w:tcBorders>
              <w:top w:val="single" w:sz="4" w:space="0" w:color="auto"/>
              <w:left w:val="single" w:sz="6" w:space="0" w:color="auto"/>
              <w:bottom w:val="nil"/>
              <w:right w:val="single" w:sz="6" w:space="0" w:color="auto"/>
            </w:tcBorders>
          </w:tcPr>
          <w:p w:rsidR="00697650" w:rsidRPr="00E548B2" w:rsidRDefault="00A47605"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089"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single" w:sz="4" w:space="0" w:color="auto"/>
              <w:left w:val="single" w:sz="6" w:space="0" w:color="auto"/>
              <w:bottom w:val="nil"/>
              <w:right w:val="single" w:sz="6" w:space="0" w:color="auto"/>
            </w:tcBorders>
          </w:tcPr>
          <w:p w:rsidR="00697650" w:rsidRPr="00E548B2" w:rsidRDefault="00A47605"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0</w:t>
            </w:r>
          </w:p>
        </w:tc>
      </w:tr>
      <w:tr w:rsidR="00697650" w:rsidRPr="00E548B2" w:rsidTr="00A26949">
        <w:trPr>
          <w:trHeight w:val="203"/>
          <w:jc w:val="center"/>
        </w:trPr>
        <w:tc>
          <w:tcPr>
            <w:tcW w:w="1214" w:type="dxa"/>
            <w:vMerge w:val="restart"/>
            <w:tcBorders>
              <w:top w:val="single" w:sz="6" w:space="0" w:color="auto"/>
              <w:left w:val="single" w:sz="6"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MŽP SR</w:t>
            </w:r>
          </w:p>
        </w:tc>
        <w:tc>
          <w:tcPr>
            <w:tcW w:w="4111"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ochrany ovzdušia</w:t>
            </w:r>
          </w:p>
        </w:tc>
        <w:tc>
          <w:tcPr>
            <w:tcW w:w="1089"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10</w:t>
            </w:r>
          </w:p>
        </w:tc>
        <w:tc>
          <w:tcPr>
            <w:tcW w:w="1090"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89"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3</w:t>
            </w:r>
          </w:p>
        </w:tc>
        <w:tc>
          <w:tcPr>
            <w:tcW w:w="1090" w:type="dxa"/>
            <w:tcBorders>
              <w:top w:val="single" w:sz="6"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7</w:t>
            </w:r>
          </w:p>
        </w:tc>
      </w:tr>
      <w:tr w:rsidR="00697650" w:rsidRPr="00E548B2" w:rsidTr="00A26949">
        <w:trPr>
          <w:trHeight w:val="203"/>
          <w:jc w:val="center"/>
        </w:trPr>
        <w:tc>
          <w:tcPr>
            <w:tcW w:w="1214" w:type="dxa"/>
            <w:vMerge/>
            <w:tcBorders>
              <w:left w:val="single" w:sz="6"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ochrany pred povodňami</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28</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28</w:t>
            </w:r>
          </w:p>
        </w:tc>
      </w:tr>
      <w:tr w:rsidR="00697650" w:rsidRPr="00E548B2" w:rsidTr="00A26949">
        <w:trPr>
          <w:trHeight w:val="203"/>
          <w:jc w:val="center"/>
        </w:trPr>
        <w:tc>
          <w:tcPr>
            <w:tcW w:w="1214" w:type="dxa"/>
            <w:vMerge/>
            <w:tcBorders>
              <w:left w:val="single" w:sz="6"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ochrany krajiny a prírody</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13</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89"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6</w:t>
            </w:r>
          </w:p>
        </w:tc>
        <w:tc>
          <w:tcPr>
            <w:tcW w:w="1090" w:type="dxa"/>
            <w:tcBorders>
              <w:top w:val="single" w:sz="4" w:space="0" w:color="auto"/>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7</w:t>
            </w:r>
          </w:p>
        </w:tc>
      </w:tr>
      <w:tr w:rsidR="00697650" w:rsidRPr="00E548B2" w:rsidTr="00A26949">
        <w:trPr>
          <w:trHeight w:val="203"/>
          <w:jc w:val="center"/>
        </w:trPr>
        <w:tc>
          <w:tcPr>
            <w:tcW w:w="1214" w:type="dxa"/>
            <w:vMerge/>
            <w:tcBorders>
              <w:left w:val="single" w:sz="6" w:space="0" w:color="auto"/>
              <w:bottom w:val="single" w:sz="4" w:space="0" w:color="auto"/>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p>
        </w:tc>
        <w:tc>
          <w:tcPr>
            <w:tcW w:w="4111"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rPr>
                <w:rFonts w:ascii="Times New Roman" w:hAnsi="Times New Roman" w:cs="Times New Roman"/>
                <w:color w:val="000000"/>
                <w:sz w:val="18"/>
                <w:szCs w:val="18"/>
              </w:rPr>
            </w:pPr>
            <w:r w:rsidRPr="00E548B2">
              <w:rPr>
                <w:rFonts w:ascii="Times New Roman" w:hAnsi="Times New Roman" w:cs="Times New Roman"/>
                <w:color w:val="000000"/>
                <w:sz w:val="18"/>
                <w:szCs w:val="18"/>
              </w:rPr>
              <w:t>úsek št. vodnej správy</w:t>
            </w:r>
          </w:p>
        </w:tc>
        <w:tc>
          <w:tcPr>
            <w:tcW w:w="1089"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8</w:t>
            </w:r>
          </w:p>
        </w:tc>
        <w:tc>
          <w:tcPr>
            <w:tcW w:w="1090"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0</w:t>
            </w:r>
          </w:p>
        </w:tc>
        <w:tc>
          <w:tcPr>
            <w:tcW w:w="1089"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3</w:t>
            </w:r>
          </w:p>
        </w:tc>
        <w:tc>
          <w:tcPr>
            <w:tcW w:w="1090" w:type="dxa"/>
            <w:tcBorders>
              <w:top w:val="single" w:sz="4" w:space="0" w:color="auto"/>
              <w:left w:val="single" w:sz="6" w:space="0" w:color="auto"/>
              <w:bottom w:val="nil"/>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5</w:t>
            </w:r>
          </w:p>
        </w:tc>
      </w:tr>
      <w:tr w:rsidR="00697650" w:rsidRPr="00E548B2" w:rsidTr="00A26949">
        <w:trPr>
          <w:trHeight w:val="203"/>
          <w:jc w:val="center"/>
        </w:trPr>
        <w:tc>
          <w:tcPr>
            <w:tcW w:w="1214" w:type="dxa"/>
            <w:tcBorders>
              <w:top w:val="single" w:sz="4" w:space="0" w:color="auto"/>
              <w:left w:val="nil"/>
              <w:bottom w:val="nil"/>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p>
        </w:tc>
        <w:tc>
          <w:tcPr>
            <w:tcW w:w="4111" w:type="dxa"/>
            <w:tcBorders>
              <w:top w:val="single" w:sz="6" w:space="0" w:color="auto"/>
              <w:left w:val="nil"/>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p>
        </w:tc>
        <w:tc>
          <w:tcPr>
            <w:tcW w:w="1089" w:type="dxa"/>
            <w:tcBorders>
              <w:top w:val="single" w:sz="6" w:space="0" w:color="auto"/>
              <w:left w:val="single" w:sz="6" w:space="0" w:color="auto"/>
              <w:bottom w:val="single" w:sz="6" w:space="0" w:color="auto"/>
              <w:right w:val="single" w:sz="6" w:space="0" w:color="auto"/>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r w:rsidRPr="00E548B2">
              <w:rPr>
                <w:rFonts w:ascii="Times New Roman" w:hAnsi="Times New Roman" w:cs="Times New Roman"/>
                <w:color w:val="000000"/>
                <w:sz w:val="18"/>
                <w:szCs w:val="18"/>
              </w:rPr>
              <w:t>198</w:t>
            </w:r>
          </w:p>
        </w:tc>
        <w:tc>
          <w:tcPr>
            <w:tcW w:w="1090" w:type="dxa"/>
            <w:tcBorders>
              <w:top w:val="single" w:sz="6" w:space="0" w:color="auto"/>
              <w:left w:val="single" w:sz="6" w:space="0" w:color="auto"/>
              <w:bottom w:val="single" w:sz="6" w:space="0" w:color="auto"/>
              <w:right w:val="single" w:sz="6" w:space="0" w:color="auto"/>
            </w:tcBorders>
          </w:tcPr>
          <w:p w:rsidR="00697650" w:rsidRPr="00E548B2" w:rsidRDefault="00B46398"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sidR="00AB7643">
              <w:rPr>
                <w:rFonts w:ascii="Times New Roman" w:hAnsi="Times New Roman" w:cs="Times New Roman"/>
                <w:color w:val="000000"/>
                <w:sz w:val="18"/>
                <w:szCs w:val="18"/>
              </w:rPr>
              <w:t>07</w:t>
            </w:r>
          </w:p>
        </w:tc>
        <w:tc>
          <w:tcPr>
            <w:tcW w:w="1089" w:type="dxa"/>
            <w:tcBorders>
              <w:top w:val="single" w:sz="6" w:space="0" w:color="auto"/>
              <w:left w:val="single" w:sz="6" w:space="0" w:color="auto"/>
              <w:bottom w:val="single" w:sz="6" w:space="0" w:color="auto"/>
              <w:right w:val="single" w:sz="6" w:space="0" w:color="auto"/>
            </w:tcBorders>
          </w:tcPr>
          <w:p w:rsidR="00697650" w:rsidRPr="00E548B2" w:rsidRDefault="00AB7643"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90" w:type="dxa"/>
            <w:tcBorders>
              <w:top w:val="single" w:sz="6" w:space="0" w:color="auto"/>
              <w:left w:val="single" w:sz="6" w:space="0" w:color="auto"/>
              <w:bottom w:val="single" w:sz="6" w:space="0" w:color="auto"/>
              <w:right w:val="single" w:sz="6" w:space="0" w:color="auto"/>
            </w:tcBorders>
          </w:tcPr>
          <w:p w:rsidR="00697650" w:rsidRPr="00E548B2" w:rsidRDefault="00B46398" w:rsidP="00647692">
            <w:pPr>
              <w:autoSpaceDE w:val="0"/>
              <w:autoSpaceDN w:val="0"/>
              <w:adjustRightInd w:val="0"/>
              <w:spacing w:after="0" w:line="240" w:lineRule="auto"/>
              <w:jc w:val="right"/>
              <w:rPr>
                <w:rFonts w:ascii="Times New Roman" w:hAnsi="Times New Roman" w:cs="Times New Roman"/>
                <w:color w:val="000000"/>
                <w:sz w:val="18"/>
                <w:szCs w:val="18"/>
              </w:rPr>
            </w:pPr>
            <w:r>
              <w:rPr>
                <w:rFonts w:ascii="Times New Roman" w:hAnsi="Times New Roman" w:cs="Times New Roman"/>
                <w:color w:val="000000"/>
                <w:sz w:val="18"/>
                <w:szCs w:val="18"/>
              </w:rPr>
              <w:t>74</w:t>
            </w:r>
          </w:p>
        </w:tc>
      </w:tr>
      <w:tr w:rsidR="00697650" w:rsidRPr="00E548B2" w:rsidTr="00A26949">
        <w:trPr>
          <w:trHeight w:val="194"/>
          <w:jc w:val="center"/>
        </w:trPr>
        <w:tc>
          <w:tcPr>
            <w:tcW w:w="1214" w:type="dxa"/>
            <w:tcBorders>
              <w:top w:val="nil"/>
              <w:left w:val="nil"/>
              <w:bottom w:val="nil"/>
            </w:tcBorders>
          </w:tcPr>
          <w:p w:rsidR="00697650" w:rsidRPr="00E548B2" w:rsidRDefault="00697650" w:rsidP="00647692">
            <w:pPr>
              <w:autoSpaceDE w:val="0"/>
              <w:autoSpaceDN w:val="0"/>
              <w:adjustRightInd w:val="0"/>
              <w:spacing w:after="0" w:line="240" w:lineRule="auto"/>
              <w:jc w:val="right"/>
              <w:rPr>
                <w:rFonts w:ascii="Times New Roman" w:hAnsi="Times New Roman" w:cs="Times New Roman"/>
                <w:color w:val="000000"/>
                <w:sz w:val="18"/>
                <w:szCs w:val="18"/>
              </w:rPr>
            </w:pPr>
          </w:p>
        </w:tc>
        <w:tc>
          <w:tcPr>
            <w:tcW w:w="4111" w:type="dxa"/>
            <w:tcBorders>
              <w:left w:val="nil"/>
              <w:bottom w:val="nil"/>
              <w:right w:val="single" w:sz="6" w:space="0" w:color="auto"/>
            </w:tcBorders>
          </w:tcPr>
          <w:p w:rsidR="00697650" w:rsidRPr="00E548B2" w:rsidRDefault="00697650" w:rsidP="00647692">
            <w:pPr>
              <w:spacing w:after="0"/>
              <w:jc w:val="right"/>
              <w:rPr>
                <w:rFonts w:ascii="Times New Roman" w:hAnsi="Times New Roman" w:cs="Times New Roman"/>
                <w:sz w:val="18"/>
                <w:szCs w:val="18"/>
              </w:rPr>
            </w:pPr>
          </w:p>
        </w:tc>
        <w:tc>
          <w:tcPr>
            <w:tcW w:w="1089" w:type="dxa"/>
            <w:tcBorders>
              <w:top w:val="single" w:sz="6" w:space="0" w:color="auto"/>
              <w:left w:val="single" w:sz="6" w:space="0" w:color="auto"/>
              <w:bottom w:val="single" w:sz="6" w:space="0" w:color="auto"/>
              <w:right w:val="single" w:sz="6" w:space="0" w:color="auto"/>
            </w:tcBorders>
            <w:vAlign w:val="bottom"/>
          </w:tcPr>
          <w:p w:rsidR="00697650" w:rsidRPr="00E548B2" w:rsidRDefault="00697650" w:rsidP="00647692">
            <w:pPr>
              <w:spacing w:after="0"/>
              <w:jc w:val="right"/>
              <w:rPr>
                <w:rFonts w:ascii="Times New Roman" w:hAnsi="Times New Roman" w:cs="Times New Roman"/>
                <w:sz w:val="18"/>
                <w:szCs w:val="18"/>
              </w:rPr>
            </w:pPr>
            <w:r w:rsidRPr="00E548B2">
              <w:rPr>
                <w:rFonts w:ascii="Times New Roman" w:hAnsi="Times New Roman" w:cs="Times New Roman"/>
                <w:sz w:val="18"/>
                <w:szCs w:val="18"/>
              </w:rPr>
              <w:t>100%</w:t>
            </w:r>
          </w:p>
        </w:tc>
        <w:tc>
          <w:tcPr>
            <w:tcW w:w="1090" w:type="dxa"/>
            <w:tcBorders>
              <w:top w:val="single" w:sz="6" w:space="0" w:color="auto"/>
              <w:left w:val="single" w:sz="6" w:space="0" w:color="auto"/>
              <w:bottom w:val="single" w:sz="6" w:space="0" w:color="auto"/>
              <w:right w:val="single" w:sz="6" w:space="0" w:color="auto"/>
            </w:tcBorders>
            <w:vAlign w:val="bottom"/>
          </w:tcPr>
          <w:p w:rsidR="00697650" w:rsidRPr="00E548B2" w:rsidRDefault="00AB7643" w:rsidP="00647692">
            <w:pPr>
              <w:spacing w:after="0"/>
              <w:jc w:val="right"/>
              <w:rPr>
                <w:rFonts w:ascii="Times New Roman" w:hAnsi="Times New Roman" w:cs="Times New Roman"/>
                <w:sz w:val="18"/>
                <w:szCs w:val="18"/>
              </w:rPr>
            </w:pPr>
            <w:r>
              <w:rPr>
                <w:rFonts w:ascii="Times New Roman" w:hAnsi="Times New Roman" w:cs="Times New Roman"/>
                <w:sz w:val="18"/>
                <w:szCs w:val="18"/>
              </w:rPr>
              <w:t>54</w:t>
            </w:r>
            <w:r w:rsidR="00A47605">
              <w:rPr>
                <w:rFonts w:ascii="Times New Roman" w:hAnsi="Times New Roman" w:cs="Times New Roman"/>
                <w:sz w:val="18"/>
                <w:szCs w:val="18"/>
              </w:rPr>
              <w:t>%</w:t>
            </w:r>
          </w:p>
        </w:tc>
        <w:tc>
          <w:tcPr>
            <w:tcW w:w="1089" w:type="dxa"/>
            <w:tcBorders>
              <w:top w:val="single" w:sz="6" w:space="0" w:color="auto"/>
              <w:left w:val="single" w:sz="6" w:space="0" w:color="auto"/>
              <w:bottom w:val="single" w:sz="6" w:space="0" w:color="auto"/>
              <w:right w:val="single" w:sz="6" w:space="0" w:color="auto"/>
            </w:tcBorders>
            <w:vAlign w:val="bottom"/>
          </w:tcPr>
          <w:p w:rsidR="00697650" w:rsidRPr="00E548B2" w:rsidRDefault="00AB7643" w:rsidP="00647692">
            <w:pPr>
              <w:spacing w:after="0"/>
              <w:jc w:val="right"/>
              <w:rPr>
                <w:rFonts w:ascii="Times New Roman" w:hAnsi="Times New Roman" w:cs="Times New Roman"/>
                <w:sz w:val="18"/>
                <w:szCs w:val="18"/>
              </w:rPr>
            </w:pPr>
            <w:r>
              <w:rPr>
                <w:rFonts w:ascii="Times New Roman" w:hAnsi="Times New Roman" w:cs="Times New Roman"/>
                <w:sz w:val="18"/>
                <w:szCs w:val="18"/>
              </w:rPr>
              <w:t>9</w:t>
            </w:r>
            <w:r w:rsidR="00A47605">
              <w:rPr>
                <w:rFonts w:ascii="Times New Roman" w:hAnsi="Times New Roman" w:cs="Times New Roman"/>
                <w:sz w:val="18"/>
                <w:szCs w:val="18"/>
              </w:rPr>
              <w:t>%</w:t>
            </w:r>
          </w:p>
        </w:tc>
        <w:tc>
          <w:tcPr>
            <w:tcW w:w="1090" w:type="dxa"/>
            <w:tcBorders>
              <w:top w:val="single" w:sz="6" w:space="0" w:color="auto"/>
              <w:left w:val="single" w:sz="6" w:space="0" w:color="auto"/>
              <w:bottom w:val="single" w:sz="6" w:space="0" w:color="auto"/>
              <w:right w:val="single" w:sz="6" w:space="0" w:color="auto"/>
            </w:tcBorders>
            <w:vAlign w:val="bottom"/>
          </w:tcPr>
          <w:p w:rsidR="00697650" w:rsidRPr="00E548B2" w:rsidRDefault="00B46398" w:rsidP="00647692">
            <w:pPr>
              <w:spacing w:after="0"/>
              <w:jc w:val="right"/>
              <w:rPr>
                <w:rFonts w:ascii="Times New Roman" w:hAnsi="Times New Roman" w:cs="Times New Roman"/>
                <w:sz w:val="18"/>
                <w:szCs w:val="18"/>
              </w:rPr>
            </w:pPr>
            <w:r>
              <w:rPr>
                <w:rFonts w:ascii="Times New Roman" w:hAnsi="Times New Roman" w:cs="Times New Roman"/>
                <w:sz w:val="18"/>
                <w:szCs w:val="18"/>
              </w:rPr>
              <w:t>37</w:t>
            </w:r>
            <w:r w:rsidR="00A47605">
              <w:rPr>
                <w:rFonts w:ascii="Times New Roman" w:hAnsi="Times New Roman" w:cs="Times New Roman"/>
                <w:sz w:val="18"/>
                <w:szCs w:val="18"/>
              </w:rPr>
              <w:t>%</w:t>
            </w:r>
          </w:p>
        </w:tc>
      </w:tr>
    </w:tbl>
    <w:p w:rsidR="003E6ED9" w:rsidRDefault="003E6ED9" w:rsidP="00647692">
      <w:pPr>
        <w:keepNext/>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lastRenderedPageBreak/>
        <w:t xml:space="preserve">Možno konštatovať, že ministerstvá hodnotia plnenie väčšiny úloh </w:t>
      </w:r>
      <w:r w:rsidR="00D85425">
        <w:rPr>
          <w:rFonts w:ascii="Times New Roman" w:eastAsia="Times New Roman" w:hAnsi="Times New Roman" w:cs="Times New Roman"/>
          <w:lang w:eastAsia="sk-SK"/>
        </w:rPr>
        <w:t xml:space="preserve">prenesených na obce </w:t>
      </w:r>
      <w:r>
        <w:rPr>
          <w:rFonts w:ascii="Times New Roman" w:eastAsia="Times New Roman" w:hAnsi="Times New Roman" w:cs="Times New Roman"/>
          <w:lang w:eastAsia="sk-SK"/>
        </w:rPr>
        <w:t xml:space="preserve">kladne. </w:t>
      </w:r>
    </w:p>
    <w:p w:rsidR="003E6ED9" w:rsidRDefault="003E6ED9" w:rsidP="003E6ED9">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Pri </w:t>
      </w:r>
      <w:r w:rsidR="0083429D">
        <w:rPr>
          <w:rFonts w:ascii="Times New Roman" w:eastAsia="Times New Roman" w:hAnsi="Times New Roman" w:cs="Times New Roman"/>
          <w:lang w:eastAsia="sk-SK"/>
        </w:rPr>
        <w:t xml:space="preserve">viac ako </w:t>
      </w:r>
      <w:r>
        <w:rPr>
          <w:rFonts w:ascii="Times New Roman" w:eastAsia="Times New Roman" w:hAnsi="Times New Roman" w:cs="Times New Roman"/>
          <w:lang w:eastAsia="sk-SK"/>
        </w:rPr>
        <w:t xml:space="preserve">tretine úloh ministerstvá neboli schopné zhodnotiť kvalitu. </w:t>
      </w:r>
    </w:p>
    <w:p w:rsidR="003E6ED9" w:rsidRDefault="003E6ED9" w:rsidP="003E6ED9">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Nekvalitné plnenie </w:t>
      </w:r>
      <w:r w:rsidR="00CD18E3">
        <w:rPr>
          <w:rFonts w:ascii="Times New Roman" w:eastAsia="Times New Roman" w:hAnsi="Times New Roman" w:cs="Times New Roman"/>
          <w:lang w:eastAsia="sk-SK"/>
        </w:rPr>
        <w:t>sa uvádza</w:t>
      </w:r>
      <w:r>
        <w:rPr>
          <w:rFonts w:ascii="Times New Roman" w:eastAsia="Times New Roman" w:hAnsi="Times New Roman" w:cs="Times New Roman"/>
          <w:lang w:eastAsia="sk-SK"/>
        </w:rPr>
        <w:t xml:space="preserve"> na úseku </w:t>
      </w:r>
      <w:r w:rsidR="00791494">
        <w:rPr>
          <w:rFonts w:ascii="Times New Roman" w:eastAsia="Times New Roman" w:hAnsi="Times New Roman" w:cs="Times New Roman"/>
          <w:lang w:eastAsia="sk-SK"/>
        </w:rPr>
        <w:t xml:space="preserve">bývania (pri 1 z 5 úloh), úseku </w:t>
      </w:r>
      <w:r>
        <w:rPr>
          <w:rFonts w:ascii="Times New Roman" w:eastAsia="Times New Roman" w:hAnsi="Times New Roman" w:cs="Times New Roman"/>
          <w:lang w:eastAsia="sk-SK"/>
        </w:rPr>
        <w:t xml:space="preserve">školstva (pri 1 z 15 úloh), </w:t>
      </w:r>
      <w:r w:rsidR="00AB7643">
        <w:rPr>
          <w:rFonts w:ascii="Times New Roman" w:eastAsia="Times New Roman" w:hAnsi="Times New Roman" w:cs="Times New Roman"/>
          <w:lang w:eastAsia="sk-SK"/>
        </w:rPr>
        <w:t xml:space="preserve">úseku ochrany pred požiarmi (3 zo 4 úloh), </w:t>
      </w:r>
      <w:r>
        <w:rPr>
          <w:rFonts w:ascii="Times New Roman" w:eastAsia="Times New Roman" w:hAnsi="Times New Roman" w:cs="Times New Roman"/>
          <w:lang w:eastAsia="sk-SK"/>
        </w:rPr>
        <w:t>úseku ochrany ovzdušia (pri 3 z 10 úloh), úseku ochrany krajiny a prírody (pri 6 z 13 úloh) a úseku štátnej vodnej správy (pri 3 z 8 úloh).</w:t>
      </w:r>
    </w:p>
    <w:p w:rsidR="00CD18E3" w:rsidRPr="00697650" w:rsidRDefault="00CD18E3" w:rsidP="00CD18E3">
      <w:pPr>
        <w:spacing w:before="120" w:after="0" w:line="240" w:lineRule="auto"/>
        <w:ind w:firstLine="709"/>
        <w:jc w:val="both"/>
        <w:rPr>
          <w:rFonts w:ascii="Times New Roman" w:hAnsi="Times New Roman" w:cs="Times New Roman"/>
        </w:rPr>
      </w:pPr>
      <w:r>
        <w:rPr>
          <w:rFonts w:ascii="Times New Roman" w:hAnsi="Times New Roman" w:cs="Times New Roman"/>
        </w:rPr>
        <w:t xml:space="preserve">Výraznejšie nedostatky kvality sú v kategóriách obcí s nižším počtom obyvateľov (A, B, v menšej miere aj C). </w:t>
      </w:r>
      <w:r w:rsidR="00B4425E">
        <w:rPr>
          <w:rFonts w:ascii="Times New Roman" w:hAnsi="Times New Roman" w:cs="Times New Roman"/>
        </w:rPr>
        <w:t>V</w:t>
      </w:r>
      <w:r w:rsidRPr="00FC6729">
        <w:rPr>
          <w:rFonts w:ascii="Times New Roman" w:hAnsi="Times New Roman" w:cs="Times New Roman"/>
        </w:rPr>
        <w:t>ýnimkou sú obce, ktoré sú združené v spoločných obecných úradoch.</w:t>
      </w:r>
    </w:p>
    <w:p w:rsidR="00160F31" w:rsidRDefault="00160F31" w:rsidP="00697650">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V rámci prípravy súhrnnej správy bola vykonaná analýza, do akej miery je rezortné vnímanie kvality objektivizovateľné pomocou merateľných ukazovateľov kvality. Výsledky uvádza tabuľka nižšie:</w:t>
      </w:r>
    </w:p>
    <w:p w:rsidR="004B3CA1" w:rsidRPr="004B3CA1" w:rsidRDefault="004B3CA1" w:rsidP="00350A18">
      <w:pPr>
        <w:keepNext/>
        <w:spacing w:before="120" w:after="120" w:line="240" w:lineRule="auto"/>
        <w:jc w:val="center"/>
        <w:rPr>
          <w:rFonts w:ascii="Times New Roman" w:eastAsia="Times New Roman" w:hAnsi="Times New Roman" w:cs="Times New Roman"/>
          <w:sz w:val="16"/>
          <w:szCs w:val="16"/>
          <w:lang w:eastAsia="sk-SK"/>
        </w:rPr>
      </w:pPr>
      <w:r w:rsidRPr="004B3CA1">
        <w:rPr>
          <w:rFonts w:ascii="Times New Roman" w:eastAsia="Times New Roman" w:hAnsi="Times New Roman" w:cs="Times New Roman"/>
          <w:b/>
          <w:sz w:val="16"/>
          <w:szCs w:val="16"/>
          <w:lang w:eastAsia="sk-SK"/>
        </w:rPr>
        <w:t>Tabuľka 6</w:t>
      </w:r>
      <w:r w:rsidR="0097152D">
        <w:rPr>
          <w:rFonts w:ascii="Times New Roman" w:eastAsia="Times New Roman" w:hAnsi="Times New Roman" w:cs="Times New Roman"/>
          <w:sz w:val="16"/>
          <w:szCs w:val="16"/>
          <w:lang w:eastAsia="sk-SK"/>
        </w:rPr>
        <w:t>:</w:t>
      </w:r>
      <w:r w:rsidRPr="004B3CA1">
        <w:rPr>
          <w:rFonts w:ascii="Times New Roman" w:eastAsia="Times New Roman" w:hAnsi="Times New Roman" w:cs="Times New Roman"/>
          <w:sz w:val="16"/>
          <w:szCs w:val="16"/>
          <w:lang w:eastAsia="sk-SK"/>
        </w:rPr>
        <w:t xml:space="preserve"> </w:t>
      </w:r>
      <w:r w:rsidR="00A04E37">
        <w:rPr>
          <w:rFonts w:ascii="Times New Roman" w:eastAsia="Times New Roman" w:hAnsi="Times New Roman" w:cs="Times New Roman"/>
          <w:sz w:val="16"/>
          <w:szCs w:val="16"/>
          <w:lang w:eastAsia="sk-SK"/>
        </w:rPr>
        <w:t>Zhodnotenie rezortného</w:t>
      </w:r>
      <w:r w:rsidRPr="004B3CA1">
        <w:rPr>
          <w:rFonts w:ascii="Times New Roman" w:eastAsia="Times New Roman" w:hAnsi="Times New Roman" w:cs="Times New Roman"/>
          <w:sz w:val="16"/>
          <w:szCs w:val="16"/>
          <w:lang w:eastAsia="sk-SK"/>
        </w:rPr>
        <w:t xml:space="preserve"> vnímani</w:t>
      </w:r>
      <w:r w:rsidR="00A04E37">
        <w:rPr>
          <w:rFonts w:ascii="Times New Roman" w:eastAsia="Times New Roman" w:hAnsi="Times New Roman" w:cs="Times New Roman"/>
          <w:sz w:val="16"/>
          <w:szCs w:val="16"/>
          <w:lang w:eastAsia="sk-SK"/>
        </w:rPr>
        <w:t>a</w:t>
      </w:r>
      <w:r w:rsidRPr="004B3CA1">
        <w:rPr>
          <w:rFonts w:ascii="Times New Roman" w:eastAsia="Times New Roman" w:hAnsi="Times New Roman" w:cs="Times New Roman"/>
          <w:sz w:val="16"/>
          <w:szCs w:val="16"/>
          <w:lang w:eastAsia="sk-SK"/>
        </w:rPr>
        <w:t xml:space="preserve"> kvality </w:t>
      </w:r>
      <w:r w:rsidR="00100BB5">
        <w:rPr>
          <w:rFonts w:ascii="Times New Roman" w:eastAsia="Times New Roman" w:hAnsi="Times New Roman" w:cs="Times New Roman"/>
          <w:sz w:val="16"/>
          <w:szCs w:val="16"/>
          <w:lang w:eastAsia="sk-SK"/>
        </w:rPr>
        <w:t xml:space="preserve">výkonu </w:t>
      </w:r>
      <w:r w:rsidR="00A04E37">
        <w:rPr>
          <w:rFonts w:ascii="Times New Roman" w:eastAsia="Times New Roman" w:hAnsi="Times New Roman" w:cs="Times New Roman"/>
          <w:sz w:val="16"/>
          <w:szCs w:val="16"/>
          <w:lang w:eastAsia="sk-SK"/>
        </w:rPr>
        <w:t>pôsobností prenesených na obce</w:t>
      </w:r>
      <w:r w:rsidR="00B26489">
        <w:rPr>
          <w:rFonts w:ascii="Times New Roman" w:eastAsia="Times New Roman" w:hAnsi="Times New Roman" w:cs="Times New Roman"/>
          <w:sz w:val="16"/>
          <w:szCs w:val="16"/>
          <w:lang w:eastAsia="sk-SK"/>
        </w:rPr>
        <w:t xml:space="preserve"> podľa úsekov</w:t>
      </w:r>
    </w:p>
    <w:tbl>
      <w:tblPr>
        <w:tblW w:w="9606" w:type="dxa"/>
        <w:jc w:val="center"/>
        <w:tblLayout w:type="fixed"/>
        <w:tblCellMar>
          <w:left w:w="70" w:type="dxa"/>
          <w:right w:w="70" w:type="dxa"/>
        </w:tblCellMar>
        <w:tblLook w:val="04A0" w:firstRow="1" w:lastRow="0" w:firstColumn="1" w:lastColumn="0" w:noHBand="0" w:noVBand="1"/>
      </w:tblPr>
      <w:tblGrid>
        <w:gridCol w:w="1175"/>
        <w:gridCol w:w="3402"/>
        <w:gridCol w:w="1005"/>
        <w:gridCol w:w="1006"/>
        <w:gridCol w:w="1006"/>
        <w:gridCol w:w="1006"/>
        <w:gridCol w:w="1006"/>
      </w:tblGrid>
      <w:tr w:rsidR="00697650" w:rsidRPr="008C2727" w:rsidTr="003E6ED9">
        <w:trPr>
          <w:trHeight w:val="1137"/>
          <w:jc w:val="center"/>
        </w:trPr>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650" w:rsidRPr="00173058" w:rsidRDefault="00A26949" w:rsidP="003E1A4A">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m</w:t>
            </w:r>
            <w:r w:rsidR="002674B7" w:rsidRPr="00173058">
              <w:rPr>
                <w:rFonts w:ascii="Times New Roman" w:eastAsia="Times New Roman" w:hAnsi="Times New Roman" w:cs="Times New Roman"/>
                <w:bCs/>
                <w:color w:val="000000"/>
                <w:sz w:val="18"/>
                <w:szCs w:val="18"/>
                <w:lang w:eastAsia="sk-SK"/>
              </w:rPr>
              <w:t>inisterstv</w:t>
            </w:r>
            <w:r w:rsidR="003E1A4A">
              <w:rPr>
                <w:rFonts w:ascii="Times New Roman" w:eastAsia="Times New Roman" w:hAnsi="Times New Roman" w:cs="Times New Roman"/>
                <w:bCs/>
                <w:color w:val="000000"/>
                <w:sz w:val="18"/>
                <w:szCs w:val="18"/>
                <w:lang w:eastAsia="sk-SK"/>
              </w:rPr>
              <w:t>á</w:t>
            </w:r>
          </w:p>
        </w:tc>
        <w:tc>
          <w:tcPr>
            <w:tcW w:w="3402" w:type="dxa"/>
            <w:tcBorders>
              <w:top w:val="single" w:sz="4" w:space="0" w:color="auto"/>
              <w:left w:val="nil"/>
              <w:bottom w:val="single" w:sz="4" w:space="0" w:color="auto"/>
              <w:right w:val="single" w:sz="4" w:space="0" w:color="auto"/>
            </w:tcBorders>
            <w:vAlign w:val="center"/>
          </w:tcPr>
          <w:p w:rsidR="00697650" w:rsidRPr="00173058" w:rsidRDefault="00697650" w:rsidP="00A26949">
            <w:pPr>
              <w:keepNext/>
              <w:spacing w:after="0" w:line="240" w:lineRule="auto"/>
              <w:rPr>
                <w:rFonts w:ascii="Times New Roman" w:eastAsia="Times New Roman" w:hAnsi="Times New Roman" w:cs="Times New Roman"/>
                <w:bCs/>
                <w:color w:val="000000"/>
                <w:sz w:val="18"/>
                <w:szCs w:val="18"/>
                <w:lang w:eastAsia="sk-SK"/>
              </w:rPr>
            </w:pPr>
            <w:r w:rsidRPr="00173058">
              <w:rPr>
                <w:rFonts w:ascii="Times New Roman" w:eastAsia="Times New Roman" w:hAnsi="Times New Roman" w:cs="Times New Roman"/>
                <w:bCs/>
                <w:color w:val="000000"/>
                <w:sz w:val="18"/>
                <w:szCs w:val="18"/>
                <w:lang w:eastAsia="sk-SK"/>
              </w:rPr>
              <w:t>úsek</w:t>
            </w:r>
            <w:r w:rsidR="003E1A4A">
              <w:rPr>
                <w:rFonts w:ascii="Times New Roman" w:eastAsia="Times New Roman" w:hAnsi="Times New Roman" w:cs="Times New Roman"/>
                <w:bCs/>
                <w:color w:val="000000"/>
                <w:sz w:val="18"/>
                <w:szCs w:val="18"/>
                <w:lang w:eastAsia="sk-SK"/>
              </w:rPr>
              <w:t>y</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7650" w:rsidRPr="00173058" w:rsidRDefault="00A26949" w:rsidP="00A26949">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97650" w:rsidRPr="00173058">
              <w:rPr>
                <w:rFonts w:ascii="Times New Roman" w:eastAsia="Times New Roman" w:hAnsi="Times New Roman" w:cs="Times New Roman"/>
                <w:bCs/>
                <w:color w:val="000000"/>
                <w:sz w:val="18"/>
                <w:szCs w:val="18"/>
                <w:lang w:eastAsia="sk-SK"/>
              </w:rPr>
              <w:t>očet úloh podľa katalógu</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697650" w:rsidRPr="00173058" w:rsidRDefault="00A26949" w:rsidP="00A26949">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97650" w:rsidRPr="00173058">
              <w:rPr>
                <w:rFonts w:ascii="Times New Roman" w:eastAsia="Times New Roman" w:hAnsi="Times New Roman" w:cs="Times New Roman"/>
                <w:bCs/>
                <w:color w:val="000000"/>
                <w:sz w:val="18"/>
                <w:szCs w:val="18"/>
                <w:lang w:eastAsia="sk-SK"/>
              </w:rPr>
              <w:t>odiel úloh s kladným slovným hodnotením</w:t>
            </w:r>
            <w:r w:rsidR="00173058" w:rsidRPr="00173058">
              <w:rPr>
                <w:rFonts w:ascii="Times New Roman" w:eastAsia="Times New Roman" w:hAnsi="Times New Roman" w:cs="Times New Roman"/>
                <w:bCs/>
                <w:color w:val="000000"/>
                <w:sz w:val="18"/>
                <w:szCs w:val="18"/>
                <w:lang w:eastAsia="sk-SK"/>
              </w:rPr>
              <w:t>**</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697650" w:rsidRPr="00173058" w:rsidRDefault="00A26949" w:rsidP="00A26949">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podiel úloh s </w:t>
            </w:r>
            <w:r w:rsidR="00697650" w:rsidRPr="00173058">
              <w:rPr>
                <w:rFonts w:ascii="Times New Roman" w:eastAsia="Times New Roman" w:hAnsi="Times New Roman" w:cs="Times New Roman"/>
                <w:bCs/>
                <w:color w:val="000000"/>
                <w:sz w:val="18"/>
                <w:szCs w:val="18"/>
                <w:lang w:eastAsia="sk-SK"/>
              </w:rPr>
              <w:t>kvantifikovaným ukazovateľom kvality</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697650" w:rsidRPr="00173058" w:rsidRDefault="003E1A4A" w:rsidP="00A26949">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97650" w:rsidRPr="00173058">
              <w:rPr>
                <w:rFonts w:ascii="Times New Roman" w:eastAsia="Times New Roman" w:hAnsi="Times New Roman" w:cs="Times New Roman"/>
                <w:bCs/>
                <w:color w:val="000000"/>
                <w:sz w:val="18"/>
                <w:szCs w:val="18"/>
                <w:lang w:eastAsia="sk-SK"/>
              </w:rPr>
              <w:t>odiel úloh s vhodn</w:t>
            </w:r>
            <w:r w:rsidR="00173058" w:rsidRPr="00173058">
              <w:rPr>
                <w:rFonts w:ascii="Times New Roman" w:eastAsia="Times New Roman" w:hAnsi="Times New Roman" w:cs="Times New Roman"/>
                <w:bCs/>
                <w:color w:val="000000"/>
                <w:sz w:val="18"/>
                <w:szCs w:val="18"/>
                <w:lang w:eastAsia="sk-SK"/>
              </w:rPr>
              <w:t>e</w:t>
            </w:r>
            <w:r w:rsidR="00697650" w:rsidRPr="00173058">
              <w:rPr>
                <w:rFonts w:ascii="Times New Roman" w:eastAsia="Times New Roman" w:hAnsi="Times New Roman" w:cs="Times New Roman"/>
                <w:bCs/>
                <w:color w:val="000000"/>
                <w:sz w:val="18"/>
                <w:szCs w:val="18"/>
                <w:lang w:eastAsia="sk-SK"/>
              </w:rPr>
              <w:t xml:space="preserve"> zostaven</w:t>
            </w:r>
            <w:r w:rsidR="00173058" w:rsidRPr="00173058">
              <w:rPr>
                <w:rFonts w:ascii="Times New Roman" w:eastAsia="Times New Roman" w:hAnsi="Times New Roman" w:cs="Times New Roman"/>
                <w:bCs/>
                <w:color w:val="000000"/>
                <w:sz w:val="18"/>
                <w:szCs w:val="18"/>
                <w:lang w:eastAsia="sk-SK"/>
              </w:rPr>
              <w:t>ý</w:t>
            </w:r>
            <w:r w:rsidR="00697650" w:rsidRPr="00173058">
              <w:rPr>
                <w:rFonts w:ascii="Times New Roman" w:eastAsia="Times New Roman" w:hAnsi="Times New Roman" w:cs="Times New Roman"/>
                <w:bCs/>
                <w:color w:val="000000"/>
                <w:sz w:val="18"/>
                <w:szCs w:val="18"/>
                <w:lang w:eastAsia="sk-SK"/>
              </w:rPr>
              <w:t>m ukazovateľ</w:t>
            </w:r>
            <w:r w:rsidR="00173058" w:rsidRPr="00173058">
              <w:rPr>
                <w:rFonts w:ascii="Times New Roman" w:eastAsia="Times New Roman" w:hAnsi="Times New Roman" w:cs="Times New Roman"/>
                <w:bCs/>
                <w:color w:val="000000"/>
                <w:sz w:val="18"/>
                <w:szCs w:val="18"/>
                <w:lang w:eastAsia="sk-SK"/>
              </w:rPr>
              <w:t>om</w:t>
            </w:r>
            <w:r w:rsidR="00697650" w:rsidRPr="00173058">
              <w:rPr>
                <w:rFonts w:ascii="Times New Roman" w:eastAsia="Times New Roman" w:hAnsi="Times New Roman" w:cs="Times New Roman"/>
                <w:bCs/>
                <w:color w:val="000000"/>
                <w:sz w:val="18"/>
                <w:szCs w:val="18"/>
                <w:lang w:eastAsia="sk-SK"/>
              </w:rPr>
              <w:t xml:space="preserve"> kvality</w:t>
            </w:r>
            <w:r w:rsidR="00173058" w:rsidRPr="00173058">
              <w:rPr>
                <w:rFonts w:ascii="Times New Roman" w:eastAsia="Times New Roman" w:hAnsi="Times New Roman" w:cs="Times New Roman"/>
                <w:bCs/>
                <w:color w:val="000000"/>
                <w:sz w:val="18"/>
                <w:szCs w:val="18"/>
                <w:lang w:eastAsia="sk-SK"/>
              </w:rPr>
              <w:t>*</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697650" w:rsidRPr="00173058" w:rsidRDefault="003E1A4A" w:rsidP="00A26949">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97650" w:rsidRPr="00173058">
              <w:rPr>
                <w:rFonts w:ascii="Times New Roman" w:eastAsia="Times New Roman" w:hAnsi="Times New Roman" w:cs="Times New Roman"/>
                <w:bCs/>
                <w:color w:val="000000"/>
                <w:sz w:val="18"/>
                <w:szCs w:val="18"/>
                <w:lang w:eastAsia="sk-SK"/>
              </w:rPr>
              <w:t>odiel úloh s kladným výsledkom ukazovateľa kvality</w:t>
            </w:r>
            <w:r w:rsidR="00173058">
              <w:rPr>
                <w:rFonts w:ascii="Times New Roman" w:eastAsia="Times New Roman" w:hAnsi="Times New Roman" w:cs="Times New Roman"/>
                <w:bCs/>
                <w:color w:val="000000"/>
                <w:sz w:val="18"/>
                <w:szCs w:val="18"/>
                <w:lang w:eastAsia="sk-SK"/>
              </w:rPr>
              <w:t>**</w:t>
            </w:r>
          </w:p>
        </w:tc>
      </w:tr>
      <w:tr w:rsidR="00697650" w:rsidRPr="008C2727" w:rsidTr="003E6ED9">
        <w:trPr>
          <w:trHeight w:val="204"/>
          <w:jc w:val="center"/>
        </w:trPr>
        <w:tc>
          <w:tcPr>
            <w:tcW w:w="1175" w:type="dxa"/>
            <w:tcBorders>
              <w:top w:val="nil"/>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a</w:t>
            </w:r>
          </w:p>
        </w:tc>
        <w:tc>
          <w:tcPr>
            <w:tcW w:w="3402" w:type="dxa"/>
            <w:tcBorders>
              <w:top w:val="nil"/>
              <w:left w:val="nil"/>
              <w:bottom w:val="single" w:sz="4" w:space="0" w:color="auto"/>
              <w:right w:val="single" w:sz="4" w:space="0" w:color="auto"/>
            </w:tcBorders>
          </w:tcPr>
          <w:p w:rsidR="00697650" w:rsidRPr="008C2727" w:rsidRDefault="00697650" w:rsidP="00642E5F">
            <w:pPr>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b</w:t>
            </w:r>
          </w:p>
        </w:tc>
        <w:tc>
          <w:tcPr>
            <w:tcW w:w="1005" w:type="dxa"/>
            <w:tcBorders>
              <w:top w:val="nil"/>
              <w:left w:val="single" w:sz="4" w:space="0" w:color="auto"/>
              <w:bottom w:val="single" w:sz="4" w:space="0" w:color="auto"/>
              <w:right w:val="single" w:sz="4" w:space="0" w:color="auto"/>
            </w:tcBorders>
            <w:shd w:val="clear" w:color="auto" w:fill="auto"/>
          </w:tcPr>
          <w:p w:rsidR="00697650" w:rsidRPr="008C2727" w:rsidRDefault="00697650" w:rsidP="00642E5F">
            <w:pPr>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c</w:t>
            </w:r>
          </w:p>
        </w:tc>
        <w:tc>
          <w:tcPr>
            <w:tcW w:w="1006" w:type="dxa"/>
            <w:tcBorders>
              <w:top w:val="nil"/>
              <w:left w:val="nil"/>
              <w:bottom w:val="single" w:sz="4" w:space="0" w:color="auto"/>
              <w:right w:val="single" w:sz="4" w:space="0" w:color="auto"/>
            </w:tcBorders>
            <w:shd w:val="clear" w:color="auto" w:fill="auto"/>
          </w:tcPr>
          <w:p w:rsidR="00697650" w:rsidRPr="008C2727" w:rsidRDefault="00697650" w:rsidP="00642E5F">
            <w:pPr>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d</w:t>
            </w:r>
          </w:p>
        </w:tc>
        <w:tc>
          <w:tcPr>
            <w:tcW w:w="1006" w:type="dxa"/>
            <w:tcBorders>
              <w:top w:val="nil"/>
              <w:left w:val="nil"/>
              <w:bottom w:val="single" w:sz="4" w:space="0" w:color="auto"/>
              <w:right w:val="single" w:sz="4" w:space="0" w:color="auto"/>
            </w:tcBorders>
            <w:shd w:val="clear" w:color="auto" w:fill="auto"/>
          </w:tcPr>
          <w:p w:rsidR="00697650" w:rsidRPr="008C2727" w:rsidRDefault="00697650" w:rsidP="00642E5F">
            <w:pPr>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e</w:t>
            </w:r>
          </w:p>
        </w:tc>
        <w:tc>
          <w:tcPr>
            <w:tcW w:w="1006" w:type="dxa"/>
            <w:tcBorders>
              <w:top w:val="nil"/>
              <w:left w:val="nil"/>
              <w:bottom w:val="single" w:sz="4" w:space="0" w:color="auto"/>
              <w:right w:val="single" w:sz="4" w:space="0" w:color="auto"/>
            </w:tcBorders>
            <w:shd w:val="clear" w:color="auto" w:fill="auto"/>
          </w:tcPr>
          <w:p w:rsidR="00697650" w:rsidRPr="008C2727" w:rsidRDefault="00697650" w:rsidP="00642E5F">
            <w:pPr>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f</w:t>
            </w:r>
          </w:p>
        </w:tc>
        <w:tc>
          <w:tcPr>
            <w:tcW w:w="1006" w:type="dxa"/>
            <w:tcBorders>
              <w:top w:val="nil"/>
              <w:left w:val="nil"/>
              <w:bottom w:val="single" w:sz="4" w:space="0" w:color="auto"/>
              <w:right w:val="single" w:sz="4" w:space="0" w:color="auto"/>
            </w:tcBorders>
            <w:shd w:val="clear" w:color="auto" w:fill="auto"/>
          </w:tcPr>
          <w:p w:rsidR="00697650" w:rsidRPr="008C2727" w:rsidRDefault="00697650" w:rsidP="00642E5F">
            <w:pPr>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g</w:t>
            </w:r>
          </w:p>
        </w:tc>
      </w:tr>
      <w:tr w:rsidR="00697650" w:rsidRPr="008C2727" w:rsidTr="003E6ED9">
        <w:trPr>
          <w:trHeight w:val="204"/>
          <w:jc w:val="center"/>
        </w:trPr>
        <w:tc>
          <w:tcPr>
            <w:tcW w:w="1175" w:type="dxa"/>
            <w:vMerge w:val="restart"/>
            <w:tcBorders>
              <w:top w:val="nil"/>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MDVRR SR</w:t>
            </w:r>
          </w:p>
        </w:tc>
        <w:tc>
          <w:tcPr>
            <w:tcW w:w="3402" w:type="dxa"/>
            <w:tcBorders>
              <w:top w:val="nil"/>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 xml:space="preserve">úsek </w:t>
            </w:r>
            <w:r w:rsidR="00173058">
              <w:rPr>
                <w:rFonts w:ascii="Times New Roman" w:hAnsi="Times New Roman" w:cs="Times New Roman"/>
                <w:color w:val="000000"/>
                <w:sz w:val="18"/>
                <w:szCs w:val="18"/>
              </w:rPr>
              <w:t>miestnych a účelových komunikácií</w:t>
            </w:r>
          </w:p>
        </w:tc>
        <w:tc>
          <w:tcPr>
            <w:tcW w:w="1005" w:type="dxa"/>
            <w:tcBorders>
              <w:top w:val="nil"/>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9</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r>
      <w:tr w:rsidR="00697650" w:rsidRPr="008C2727" w:rsidTr="003E6ED9">
        <w:trPr>
          <w:trHeight w:val="408"/>
          <w:jc w:val="center"/>
        </w:trPr>
        <w:tc>
          <w:tcPr>
            <w:tcW w:w="1175" w:type="dxa"/>
            <w:vMerge/>
            <w:tcBorders>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špeciálneho stavebného úradu pre miestne a účelové komunikácie</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6</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r>
      <w:tr w:rsidR="00697650" w:rsidRPr="008C2727" w:rsidTr="003E6ED9">
        <w:trPr>
          <w:trHeight w:val="204"/>
          <w:jc w:val="center"/>
        </w:trPr>
        <w:tc>
          <w:tcPr>
            <w:tcW w:w="1175" w:type="dxa"/>
            <w:vMerge/>
            <w:tcBorders>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stavebného poriadku</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31</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E107E9" w:rsidP="00642E5F">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68</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94%</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E107E9" w:rsidP="00642E5F">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64</w:t>
            </w:r>
            <w:r w:rsidR="00697650" w:rsidRPr="008C2727">
              <w:rPr>
                <w:rFonts w:ascii="Times New Roman" w:hAnsi="Times New Roman" w:cs="Times New Roman"/>
                <w:color w:val="000000"/>
                <w:sz w:val="18"/>
                <w:szCs w:val="18"/>
              </w:rPr>
              <w:t>%</w:t>
            </w:r>
          </w:p>
        </w:tc>
      </w:tr>
      <w:tr w:rsidR="00697650" w:rsidRPr="008C2727" w:rsidTr="003E6ED9">
        <w:trPr>
          <w:trHeight w:val="204"/>
          <w:jc w:val="center"/>
        </w:trPr>
        <w:tc>
          <w:tcPr>
            <w:tcW w:w="1175" w:type="dxa"/>
            <w:vMerge/>
            <w:tcBorders>
              <w:left w:val="single" w:sz="4" w:space="0" w:color="auto"/>
              <w:bottom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bývania</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5</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40%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100%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100%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40%</w:t>
            </w:r>
          </w:p>
        </w:tc>
      </w:tr>
      <w:tr w:rsidR="00697650" w:rsidRPr="008C2727" w:rsidTr="003E6ED9">
        <w:trPr>
          <w:trHeight w:val="204"/>
          <w:jc w:val="center"/>
        </w:trPr>
        <w:tc>
          <w:tcPr>
            <w:tcW w:w="1175" w:type="dxa"/>
            <w:tcBorders>
              <w:top w:val="single" w:sz="4" w:space="0" w:color="auto"/>
              <w:left w:val="single" w:sz="4" w:space="0" w:color="auto"/>
              <w:bottom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MH SR</w:t>
            </w:r>
          </w:p>
        </w:tc>
        <w:tc>
          <w:tcPr>
            <w:tcW w:w="3402" w:type="dxa"/>
            <w:tcBorders>
              <w:top w:val="nil"/>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hospodárskej mobilizácie</w:t>
            </w:r>
          </w:p>
        </w:tc>
        <w:tc>
          <w:tcPr>
            <w:tcW w:w="1005" w:type="dxa"/>
            <w:tcBorders>
              <w:top w:val="nil"/>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3</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100%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r>
      <w:tr w:rsidR="00697650" w:rsidRPr="008C2727" w:rsidTr="003E6ED9">
        <w:trPr>
          <w:trHeight w:val="192"/>
          <w:jc w:val="center"/>
        </w:trPr>
        <w:tc>
          <w:tcPr>
            <w:tcW w:w="1175" w:type="dxa"/>
            <w:tcBorders>
              <w:top w:val="single" w:sz="4" w:space="0" w:color="auto"/>
              <w:left w:val="single" w:sz="4" w:space="0" w:color="auto"/>
              <w:bottom w:val="single" w:sz="4" w:space="0" w:color="auto"/>
              <w:right w:val="single" w:sz="4" w:space="0" w:color="auto"/>
            </w:tcBorders>
            <w:shd w:val="clear" w:color="auto" w:fill="auto"/>
          </w:tcPr>
          <w:p w:rsidR="00697650" w:rsidRPr="008C2727" w:rsidRDefault="00D50484" w:rsidP="00642E5F">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MŠVV</w:t>
            </w:r>
            <w:r w:rsidR="00697650" w:rsidRPr="008C2727">
              <w:rPr>
                <w:rFonts w:ascii="Times New Roman" w:eastAsia="Times New Roman" w:hAnsi="Times New Roman" w:cs="Times New Roman"/>
                <w:color w:val="000000"/>
                <w:sz w:val="18"/>
                <w:szCs w:val="18"/>
                <w:lang w:eastAsia="sk-SK"/>
              </w:rPr>
              <w:t>Š SR</w:t>
            </w:r>
          </w:p>
        </w:tc>
        <w:tc>
          <w:tcPr>
            <w:tcW w:w="3402" w:type="dxa"/>
            <w:tcBorders>
              <w:top w:val="nil"/>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školstva (zriaďovateľská pôsobnosť vo vzťahu k základným školám)</w:t>
            </w:r>
          </w:p>
        </w:tc>
        <w:tc>
          <w:tcPr>
            <w:tcW w:w="1005" w:type="dxa"/>
            <w:tcBorders>
              <w:top w:val="nil"/>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15</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93%</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100%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93%</w:t>
            </w:r>
          </w:p>
        </w:tc>
      </w:tr>
      <w:tr w:rsidR="00697650" w:rsidRPr="008C2727" w:rsidTr="003E6ED9">
        <w:trPr>
          <w:trHeight w:val="204"/>
          <w:jc w:val="center"/>
        </w:trPr>
        <w:tc>
          <w:tcPr>
            <w:tcW w:w="1175" w:type="dxa"/>
            <w:vMerge w:val="restart"/>
            <w:tcBorders>
              <w:top w:val="single" w:sz="4" w:space="0" w:color="auto"/>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MV SR</w:t>
            </w:r>
          </w:p>
        </w:tc>
        <w:tc>
          <w:tcPr>
            <w:tcW w:w="3402" w:type="dxa"/>
            <w:tcBorders>
              <w:top w:val="nil"/>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matrík</w:t>
            </w:r>
          </w:p>
        </w:tc>
        <w:tc>
          <w:tcPr>
            <w:tcW w:w="1005" w:type="dxa"/>
            <w:tcBorders>
              <w:top w:val="nil"/>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6</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100%</w:t>
            </w:r>
          </w:p>
        </w:tc>
        <w:tc>
          <w:tcPr>
            <w:tcW w:w="1006" w:type="dxa"/>
            <w:tcBorders>
              <w:top w:val="nil"/>
              <w:left w:val="nil"/>
              <w:bottom w:val="single" w:sz="4" w:space="0" w:color="auto"/>
              <w:right w:val="single" w:sz="4" w:space="0" w:color="auto"/>
            </w:tcBorders>
            <w:shd w:val="clear" w:color="auto" w:fill="auto"/>
            <w:hideMark/>
          </w:tcPr>
          <w:p w:rsidR="00697650" w:rsidRPr="00C36CB8" w:rsidRDefault="00697650" w:rsidP="00642E5F">
            <w:pPr>
              <w:spacing w:after="0"/>
              <w:jc w:val="right"/>
              <w:rPr>
                <w:rFonts w:ascii="Times New Roman" w:hAnsi="Times New Roman" w:cs="Times New Roman"/>
                <w:sz w:val="18"/>
                <w:szCs w:val="18"/>
              </w:rPr>
            </w:pPr>
            <w:r w:rsidRPr="00C36CB8">
              <w:rPr>
                <w:rFonts w:ascii="Times New Roman" w:hAnsi="Times New Roman" w:cs="Times New Roman"/>
                <w:sz w:val="18"/>
                <w:szCs w:val="18"/>
              </w:rPr>
              <w:t>100%</w:t>
            </w:r>
          </w:p>
        </w:tc>
        <w:tc>
          <w:tcPr>
            <w:tcW w:w="1006" w:type="dxa"/>
            <w:tcBorders>
              <w:top w:val="nil"/>
              <w:left w:val="nil"/>
              <w:bottom w:val="single" w:sz="4" w:space="0" w:color="auto"/>
              <w:right w:val="single" w:sz="4" w:space="0" w:color="auto"/>
            </w:tcBorders>
            <w:shd w:val="clear" w:color="auto" w:fill="auto"/>
            <w:hideMark/>
          </w:tcPr>
          <w:p w:rsidR="00697650" w:rsidRPr="00C36CB8" w:rsidRDefault="00B539AC" w:rsidP="00642E5F">
            <w:pPr>
              <w:spacing w:after="0"/>
              <w:jc w:val="right"/>
              <w:rPr>
                <w:rFonts w:ascii="Times New Roman" w:hAnsi="Times New Roman" w:cs="Times New Roman"/>
                <w:sz w:val="18"/>
                <w:szCs w:val="18"/>
              </w:rPr>
            </w:pPr>
            <w:r w:rsidRPr="00C36CB8">
              <w:rPr>
                <w:rFonts w:ascii="Times New Roman" w:hAnsi="Times New Roman" w:cs="Times New Roman"/>
                <w:sz w:val="18"/>
                <w:szCs w:val="18"/>
              </w:rPr>
              <w:t>10</w:t>
            </w:r>
            <w:r w:rsidR="00697650" w:rsidRPr="00C36CB8">
              <w:rPr>
                <w:rFonts w:ascii="Times New Roman" w:hAnsi="Times New Roman" w:cs="Times New Roman"/>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C36CB8" w:rsidRDefault="00C36CB8" w:rsidP="00642E5F">
            <w:pPr>
              <w:spacing w:after="0"/>
              <w:jc w:val="right"/>
              <w:rPr>
                <w:rFonts w:ascii="Times New Roman" w:hAnsi="Times New Roman" w:cs="Times New Roman"/>
                <w:sz w:val="18"/>
                <w:szCs w:val="18"/>
              </w:rPr>
            </w:pPr>
            <w:r w:rsidRPr="00C36CB8">
              <w:rPr>
                <w:rFonts w:ascii="Times New Roman" w:hAnsi="Times New Roman" w:cs="Times New Roman"/>
                <w:sz w:val="18"/>
                <w:szCs w:val="18"/>
              </w:rPr>
              <w:t>94</w:t>
            </w:r>
            <w:r w:rsidR="00697650" w:rsidRPr="00C36CB8">
              <w:rPr>
                <w:rFonts w:ascii="Times New Roman" w:hAnsi="Times New Roman" w:cs="Times New Roman"/>
                <w:sz w:val="18"/>
                <w:szCs w:val="18"/>
              </w:rPr>
              <w:t>%</w:t>
            </w:r>
          </w:p>
        </w:tc>
      </w:tr>
      <w:tr w:rsidR="00697650" w:rsidRPr="008C2727" w:rsidTr="003E6ED9">
        <w:trPr>
          <w:trHeight w:val="204"/>
          <w:jc w:val="center"/>
        </w:trPr>
        <w:tc>
          <w:tcPr>
            <w:tcW w:w="1175" w:type="dxa"/>
            <w:vMerge/>
            <w:tcBorders>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hlásenia pobytu a registra obyvateľov</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100%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C07C3C" w:rsidRDefault="00697650" w:rsidP="00642E5F">
            <w:pPr>
              <w:spacing w:after="0"/>
              <w:jc w:val="right"/>
              <w:rPr>
                <w:rFonts w:ascii="Times New Roman" w:hAnsi="Times New Roman" w:cs="Times New Roman"/>
                <w:sz w:val="18"/>
                <w:szCs w:val="18"/>
              </w:rPr>
            </w:pPr>
            <w:r w:rsidRPr="00C07C3C">
              <w:rPr>
                <w:rFonts w:ascii="Times New Roman" w:hAnsi="Times New Roman" w:cs="Times New Roman"/>
                <w:sz w:val="18"/>
                <w:szCs w:val="18"/>
              </w:rPr>
              <w:t>100%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481996" w:rsidRDefault="00481996" w:rsidP="00642E5F">
            <w:pPr>
              <w:spacing w:after="0"/>
              <w:jc w:val="right"/>
              <w:rPr>
                <w:rFonts w:ascii="Times New Roman" w:hAnsi="Times New Roman" w:cs="Times New Roman"/>
                <w:sz w:val="18"/>
                <w:szCs w:val="18"/>
              </w:rPr>
            </w:pPr>
            <w:r w:rsidRPr="00481996">
              <w:rPr>
                <w:rFonts w:ascii="Times New Roman" w:hAnsi="Times New Roman" w:cs="Times New Roman"/>
                <w:sz w:val="18"/>
                <w:szCs w:val="18"/>
              </w:rPr>
              <w:t>90%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481996" w:rsidRDefault="00697650" w:rsidP="00642E5F">
            <w:pPr>
              <w:spacing w:after="0"/>
              <w:jc w:val="right"/>
              <w:rPr>
                <w:rFonts w:ascii="Times New Roman" w:hAnsi="Times New Roman" w:cs="Times New Roman"/>
                <w:sz w:val="18"/>
                <w:szCs w:val="18"/>
              </w:rPr>
            </w:pPr>
            <w:r w:rsidRPr="00481996">
              <w:rPr>
                <w:rFonts w:ascii="Times New Roman" w:hAnsi="Times New Roman" w:cs="Times New Roman"/>
                <w:sz w:val="18"/>
                <w:szCs w:val="18"/>
              </w:rPr>
              <w:t>100%</w:t>
            </w:r>
          </w:p>
        </w:tc>
      </w:tr>
      <w:tr w:rsidR="00697650" w:rsidRPr="008C2727" w:rsidTr="003E6ED9">
        <w:trPr>
          <w:trHeight w:val="204"/>
          <w:jc w:val="center"/>
        </w:trPr>
        <w:tc>
          <w:tcPr>
            <w:tcW w:w="1175" w:type="dxa"/>
            <w:vMerge/>
            <w:tcBorders>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ochrany pred požiarmi</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4</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AB7643" w:rsidP="00642E5F">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C36CB8" w:rsidRDefault="00C07C3C" w:rsidP="00642E5F">
            <w:pPr>
              <w:spacing w:after="0"/>
              <w:jc w:val="right"/>
              <w:rPr>
                <w:rFonts w:ascii="Times New Roman" w:hAnsi="Times New Roman" w:cs="Times New Roman"/>
                <w:sz w:val="18"/>
                <w:szCs w:val="18"/>
              </w:rPr>
            </w:pPr>
            <w:r>
              <w:rPr>
                <w:rFonts w:ascii="Times New Roman" w:hAnsi="Times New Roman" w:cs="Times New Roman"/>
                <w:sz w:val="18"/>
                <w:szCs w:val="18"/>
              </w:rPr>
              <w:t>100</w:t>
            </w:r>
            <w:r w:rsidR="00697650" w:rsidRPr="00C36CB8">
              <w:rPr>
                <w:rFonts w:ascii="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C36CB8" w:rsidRDefault="00C07C3C" w:rsidP="00642E5F">
            <w:pPr>
              <w:spacing w:after="0"/>
              <w:jc w:val="right"/>
              <w:rPr>
                <w:rFonts w:ascii="Times New Roman" w:hAnsi="Times New Roman" w:cs="Times New Roman"/>
                <w:sz w:val="18"/>
                <w:szCs w:val="18"/>
              </w:rPr>
            </w:pPr>
            <w:r>
              <w:rPr>
                <w:rFonts w:ascii="Times New Roman" w:hAnsi="Times New Roman" w:cs="Times New Roman"/>
                <w:sz w:val="18"/>
                <w:szCs w:val="18"/>
              </w:rPr>
              <w:t>75</w:t>
            </w:r>
            <w:r w:rsidR="00697650" w:rsidRPr="00C36CB8">
              <w:rPr>
                <w:rFonts w:ascii="Times New Roman" w:hAnsi="Times New Roman" w:cs="Times New Roman"/>
                <w:sz w:val="18"/>
                <w:szCs w:val="18"/>
              </w:rPr>
              <w:t>%</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C36CB8" w:rsidRDefault="00AB7643" w:rsidP="00642E5F">
            <w:pPr>
              <w:spacing w:after="0"/>
              <w:jc w:val="right"/>
              <w:rPr>
                <w:rFonts w:ascii="Times New Roman" w:hAnsi="Times New Roman" w:cs="Times New Roman"/>
                <w:sz w:val="18"/>
                <w:szCs w:val="18"/>
              </w:rPr>
            </w:pPr>
            <w:r w:rsidRPr="00C36CB8">
              <w:rPr>
                <w:rFonts w:ascii="Times New Roman" w:hAnsi="Times New Roman" w:cs="Times New Roman"/>
                <w:sz w:val="18"/>
                <w:szCs w:val="18"/>
              </w:rPr>
              <w:t>25</w:t>
            </w:r>
            <w:r w:rsidR="00033EAF" w:rsidRPr="00C36CB8">
              <w:rPr>
                <w:rFonts w:ascii="Times New Roman" w:hAnsi="Times New Roman" w:cs="Times New Roman"/>
                <w:sz w:val="18"/>
                <w:szCs w:val="18"/>
              </w:rPr>
              <w:t>%</w:t>
            </w:r>
          </w:p>
        </w:tc>
      </w:tr>
      <w:tr w:rsidR="00697650" w:rsidRPr="008C2727" w:rsidTr="00481996">
        <w:trPr>
          <w:trHeight w:val="204"/>
          <w:jc w:val="center"/>
        </w:trPr>
        <w:tc>
          <w:tcPr>
            <w:tcW w:w="1175" w:type="dxa"/>
            <w:vMerge/>
            <w:tcBorders>
              <w:left w:val="single" w:sz="4" w:space="0" w:color="auto"/>
              <w:bottom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volieb a referenda</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50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C07C3C" w:rsidRDefault="00522486" w:rsidP="00642E5F">
            <w:pPr>
              <w:spacing w:after="0"/>
              <w:jc w:val="right"/>
              <w:rPr>
                <w:rFonts w:ascii="Times New Roman" w:hAnsi="Times New Roman" w:cs="Times New Roman"/>
                <w:sz w:val="18"/>
                <w:szCs w:val="18"/>
              </w:rPr>
            </w:pPr>
            <w:r w:rsidRPr="00C07C3C">
              <w:rPr>
                <w:rFonts w:ascii="Times New Roman" w:hAnsi="Times New Roman" w:cs="Times New Roman"/>
                <w:sz w:val="18"/>
                <w:szCs w:val="18"/>
              </w:rPr>
              <w:t>100%</w:t>
            </w:r>
          </w:p>
        </w:tc>
        <w:tc>
          <w:tcPr>
            <w:tcW w:w="1006" w:type="dxa"/>
            <w:tcBorders>
              <w:top w:val="single" w:sz="4" w:space="0" w:color="auto"/>
              <w:left w:val="nil"/>
              <w:bottom w:val="single" w:sz="4" w:space="0" w:color="auto"/>
              <w:right w:val="single" w:sz="4" w:space="0" w:color="auto"/>
            </w:tcBorders>
            <w:shd w:val="clear" w:color="auto" w:fill="auto"/>
          </w:tcPr>
          <w:p w:rsidR="00697650" w:rsidRPr="00C07C3C" w:rsidRDefault="00481996" w:rsidP="00642E5F">
            <w:pPr>
              <w:spacing w:after="0"/>
              <w:jc w:val="right"/>
              <w:rPr>
                <w:rFonts w:ascii="Times New Roman" w:hAnsi="Times New Roman" w:cs="Times New Roman"/>
                <w:sz w:val="18"/>
                <w:szCs w:val="18"/>
              </w:rPr>
            </w:pPr>
            <w:r>
              <w:rPr>
                <w:rFonts w:ascii="Times New Roman" w:hAnsi="Times New Roman" w:cs="Times New Roman"/>
                <w:sz w:val="18"/>
                <w:szCs w:val="18"/>
              </w:rPr>
              <w:t>96%</w:t>
            </w:r>
          </w:p>
        </w:tc>
        <w:tc>
          <w:tcPr>
            <w:tcW w:w="1006" w:type="dxa"/>
            <w:tcBorders>
              <w:top w:val="single" w:sz="4" w:space="0" w:color="auto"/>
              <w:left w:val="nil"/>
              <w:bottom w:val="single" w:sz="4" w:space="0" w:color="auto"/>
              <w:right w:val="single" w:sz="4" w:space="0" w:color="auto"/>
            </w:tcBorders>
            <w:shd w:val="clear" w:color="auto" w:fill="auto"/>
          </w:tcPr>
          <w:p w:rsidR="00697650" w:rsidRPr="00481996" w:rsidRDefault="00481996" w:rsidP="00642E5F">
            <w:pPr>
              <w:spacing w:after="0"/>
              <w:jc w:val="right"/>
              <w:rPr>
                <w:rFonts w:ascii="Times New Roman" w:hAnsi="Times New Roman" w:cs="Times New Roman"/>
                <w:sz w:val="18"/>
                <w:szCs w:val="18"/>
              </w:rPr>
            </w:pPr>
            <w:r w:rsidRPr="00481996">
              <w:rPr>
                <w:rFonts w:ascii="Times New Roman" w:hAnsi="Times New Roman" w:cs="Times New Roman"/>
                <w:sz w:val="18"/>
                <w:szCs w:val="18"/>
              </w:rPr>
              <w:t>96%</w:t>
            </w:r>
          </w:p>
        </w:tc>
        <w:tc>
          <w:tcPr>
            <w:tcW w:w="1006" w:type="dxa"/>
            <w:tcBorders>
              <w:top w:val="single" w:sz="4" w:space="0" w:color="auto"/>
              <w:left w:val="nil"/>
              <w:bottom w:val="single" w:sz="4" w:space="0" w:color="auto"/>
              <w:right w:val="single" w:sz="4" w:space="0" w:color="auto"/>
            </w:tcBorders>
            <w:shd w:val="clear" w:color="auto" w:fill="auto"/>
          </w:tcPr>
          <w:p w:rsidR="00697650" w:rsidRPr="00481996" w:rsidRDefault="00481996" w:rsidP="00642E5F">
            <w:pPr>
              <w:spacing w:after="0"/>
              <w:jc w:val="right"/>
              <w:rPr>
                <w:rFonts w:ascii="Times New Roman" w:hAnsi="Times New Roman" w:cs="Times New Roman"/>
                <w:sz w:val="18"/>
                <w:szCs w:val="18"/>
              </w:rPr>
            </w:pPr>
            <w:r w:rsidRPr="00481996">
              <w:rPr>
                <w:rFonts w:ascii="Times New Roman" w:hAnsi="Times New Roman" w:cs="Times New Roman"/>
                <w:sz w:val="18"/>
                <w:szCs w:val="18"/>
              </w:rPr>
              <w:t>96%</w:t>
            </w:r>
          </w:p>
        </w:tc>
      </w:tr>
      <w:tr w:rsidR="00697650" w:rsidRPr="008C2727" w:rsidTr="003E6ED9">
        <w:trPr>
          <w:trHeight w:val="204"/>
          <w:jc w:val="center"/>
        </w:trPr>
        <w:tc>
          <w:tcPr>
            <w:tcW w:w="1175" w:type="dxa"/>
            <w:vMerge w:val="restart"/>
            <w:tcBorders>
              <w:top w:val="single" w:sz="4" w:space="0" w:color="auto"/>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MŽP SR</w:t>
            </w:r>
          </w:p>
        </w:tc>
        <w:tc>
          <w:tcPr>
            <w:tcW w:w="3402" w:type="dxa"/>
            <w:tcBorders>
              <w:top w:val="nil"/>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ochrany ovzdušia</w:t>
            </w:r>
          </w:p>
        </w:tc>
        <w:tc>
          <w:tcPr>
            <w:tcW w:w="1005" w:type="dxa"/>
            <w:tcBorders>
              <w:top w:val="nil"/>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70%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20%</w:t>
            </w:r>
          </w:p>
        </w:tc>
        <w:tc>
          <w:tcPr>
            <w:tcW w:w="1006" w:type="dxa"/>
            <w:tcBorders>
              <w:top w:val="nil"/>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r>
      <w:tr w:rsidR="00697650" w:rsidRPr="008C2727" w:rsidTr="003E6ED9">
        <w:trPr>
          <w:trHeight w:val="204"/>
          <w:jc w:val="center"/>
        </w:trPr>
        <w:tc>
          <w:tcPr>
            <w:tcW w:w="1175" w:type="dxa"/>
            <w:vMerge/>
            <w:tcBorders>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ochrany pred povodňami</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28</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r>
      <w:tr w:rsidR="00697650" w:rsidRPr="008C2727" w:rsidTr="003E6ED9">
        <w:trPr>
          <w:trHeight w:val="204"/>
          <w:jc w:val="center"/>
        </w:trPr>
        <w:tc>
          <w:tcPr>
            <w:tcW w:w="1175" w:type="dxa"/>
            <w:vMerge/>
            <w:tcBorders>
              <w:left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ochrany krajiny a prírody</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13</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46%</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46%</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r>
      <w:tr w:rsidR="00697650" w:rsidRPr="008C2727" w:rsidTr="003E6ED9">
        <w:trPr>
          <w:trHeight w:val="204"/>
          <w:jc w:val="center"/>
        </w:trPr>
        <w:tc>
          <w:tcPr>
            <w:tcW w:w="1175" w:type="dxa"/>
            <w:vMerge/>
            <w:tcBorders>
              <w:left w:val="single" w:sz="4" w:space="0" w:color="auto"/>
              <w:bottom w:val="single" w:sz="4" w:space="0" w:color="auto"/>
              <w:right w:val="single" w:sz="4" w:space="0" w:color="auto"/>
            </w:tcBorders>
            <w:shd w:val="clear" w:color="auto" w:fill="auto"/>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št. vodnej správy</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8</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38%</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25%</w:t>
            </w:r>
          </w:p>
        </w:tc>
        <w:tc>
          <w:tcPr>
            <w:tcW w:w="1006" w:type="dxa"/>
            <w:tcBorders>
              <w:top w:val="single" w:sz="4" w:space="0" w:color="auto"/>
              <w:left w:val="nil"/>
              <w:bottom w:val="single" w:sz="4" w:space="0" w:color="auto"/>
              <w:right w:val="single" w:sz="4" w:space="0" w:color="auto"/>
            </w:tcBorders>
            <w:shd w:val="clear" w:color="auto" w:fill="auto"/>
            <w:hideMark/>
          </w:tcPr>
          <w:p w:rsidR="00697650" w:rsidRPr="008C2727" w:rsidRDefault="00697650" w:rsidP="00642E5F">
            <w:pPr>
              <w:spacing w:after="0"/>
              <w:jc w:val="right"/>
              <w:rPr>
                <w:rFonts w:ascii="Times New Roman" w:hAnsi="Times New Roman" w:cs="Times New Roman"/>
                <w:color w:val="000000"/>
                <w:sz w:val="18"/>
                <w:szCs w:val="18"/>
              </w:rPr>
            </w:pPr>
            <w:r w:rsidRPr="008C2727">
              <w:rPr>
                <w:rFonts w:ascii="Times New Roman" w:hAnsi="Times New Roman" w:cs="Times New Roman"/>
                <w:color w:val="000000"/>
                <w:sz w:val="18"/>
                <w:szCs w:val="18"/>
              </w:rPr>
              <w:t>0%</w:t>
            </w:r>
          </w:p>
        </w:tc>
      </w:tr>
      <w:tr w:rsidR="00697650" w:rsidRPr="008C2727" w:rsidTr="00033EAF">
        <w:trPr>
          <w:trHeight w:val="204"/>
          <w:jc w:val="center"/>
        </w:trPr>
        <w:tc>
          <w:tcPr>
            <w:tcW w:w="1175" w:type="dxa"/>
            <w:tcBorders>
              <w:top w:val="single" w:sz="4" w:space="0" w:color="auto"/>
              <w:left w:val="nil"/>
              <w:bottom w:val="nil"/>
              <w:right w:val="nil"/>
            </w:tcBorders>
            <w:shd w:val="clear" w:color="auto" w:fill="auto"/>
            <w:noWrap/>
            <w:vAlign w:val="bottom"/>
            <w:hideMark/>
          </w:tcPr>
          <w:p w:rsidR="00697650" w:rsidRPr="008C2727" w:rsidRDefault="00697650" w:rsidP="00642E5F">
            <w:pPr>
              <w:spacing w:after="0" w:line="240" w:lineRule="auto"/>
              <w:rPr>
                <w:rFonts w:ascii="Times New Roman" w:eastAsia="Times New Roman" w:hAnsi="Times New Roman" w:cs="Times New Roman"/>
                <w:color w:val="000000"/>
                <w:sz w:val="18"/>
                <w:szCs w:val="18"/>
                <w:lang w:eastAsia="sk-SK"/>
              </w:rPr>
            </w:pPr>
          </w:p>
        </w:tc>
        <w:tc>
          <w:tcPr>
            <w:tcW w:w="3402" w:type="dxa"/>
            <w:tcBorders>
              <w:top w:val="nil"/>
              <w:left w:val="single" w:sz="4" w:space="0" w:color="auto"/>
              <w:bottom w:val="single" w:sz="4" w:space="0" w:color="auto"/>
              <w:right w:val="single" w:sz="4" w:space="0" w:color="auto"/>
            </w:tcBorders>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p>
        </w:tc>
        <w:tc>
          <w:tcPr>
            <w:tcW w:w="1005" w:type="dxa"/>
            <w:tcBorders>
              <w:top w:val="nil"/>
              <w:left w:val="single" w:sz="4" w:space="0" w:color="auto"/>
              <w:bottom w:val="single" w:sz="4" w:space="0" w:color="auto"/>
              <w:right w:val="single" w:sz="4" w:space="0" w:color="auto"/>
            </w:tcBorders>
            <w:shd w:val="clear" w:color="auto" w:fill="auto"/>
            <w:noWrap/>
            <w:vAlign w:val="bottom"/>
            <w:hideMark/>
          </w:tcPr>
          <w:p w:rsidR="00697650" w:rsidRPr="008C2727" w:rsidRDefault="00697650" w:rsidP="00642E5F">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198</w:t>
            </w:r>
          </w:p>
        </w:tc>
        <w:tc>
          <w:tcPr>
            <w:tcW w:w="1006" w:type="dxa"/>
            <w:tcBorders>
              <w:top w:val="nil"/>
              <w:left w:val="nil"/>
              <w:bottom w:val="single" w:sz="4" w:space="0" w:color="auto"/>
              <w:right w:val="single" w:sz="4" w:space="0" w:color="auto"/>
            </w:tcBorders>
            <w:shd w:val="clear" w:color="auto" w:fill="auto"/>
            <w:noWrap/>
            <w:vAlign w:val="bottom"/>
          </w:tcPr>
          <w:p w:rsidR="00697650" w:rsidRPr="008C2727" w:rsidRDefault="007B0D95" w:rsidP="00AB7643">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r w:rsidR="00AB7643">
              <w:rPr>
                <w:rFonts w:ascii="Times New Roman" w:hAnsi="Times New Roman" w:cs="Times New Roman"/>
                <w:color w:val="000000"/>
                <w:sz w:val="18"/>
                <w:szCs w:val="18"/>
              </w:rPr>
              <w:t>4</w:t>
            </w:r>
            <w:r w:rsidR="00246F3A">
              <w:rPr>
                <w:rFonts w:ascii="Times New Roman" w:hAnsi="Times New Roman" w:cs="Times New Roman"/>
                <w:color w:val="000000"/>
                <w:sz w:val="18"/>
                <w:szCs w:val="18"/>
              </w:rPr>
              <w:t>%</w:t>
            </w:r>
          </w:p>
        </w:tc>
        <w:tc>
          <w:tcPr>
            <w:tcW w:w="1006" w:type="dxa"/>
            <w:tcBorders>
              <w:top w:val="nil"/>
              <w:left w:val="nil"/>
              <w:bottom w:val="single" w:sz="4" w:space="0" w:color="auto"/>
              <w:right w:val="single" w:sz="4" w:space="0" w:color="auto"/>
            </w:tcBorders>
            <w:shd w:val="clear" w:color="auto" w:fill="auto"/>
            <w:noWrap/>
            <w:vAlign w:val="bottom"/>
          </w:tcPr>
          <w:p w:rsidR="00697650" w:rsidRPr="008C2727" w:rsidRDefault="00AD3FA7" w:rsidP="00481996">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r w:rsidR="00481996">
              <w:rPr>
                <w:rFonts w:ascii="Times New Roman" w:hAnsi="Times New Roman" w:cs="Times New Roman"/>
                <w:color w:val="000000"/>
                <w:sz w:val="18"/>
                <w:szCs w:val="18"/>
              </w:rPr>
              <w:t>7</w:t>
            </w:r>
            <w:r w:rsidR="002853BD">
              <w:rPr>
                <w:rFonts w:ascii="Times New Roman" w:hAnsi="Times New Roman" w:cs="Times New Roman"/>
                <w:color w:val="000000"/>
                <w:sz w:val="18"/>
                <w:szCs w:val="18"/>
              </w:rPr>
              <w:t>%</w:t>
            </w:r>
          </w:p>
        </w:tc>
        <w:tc>
          <w:tcPr>
            <w:tcW w:w="1006" w:type="dxa"/>
            <w:tcBorders>
              <w:top w:val="nil"/>
              <w:left w:val="nil"/>
              <w:bottom w:val="single" w:sz="4" w:space="0" w:color="auto"/>
              <w:right w:val="single" w:sz="4" w:space="0" w:color="auto"/>
            </w:tcBorders>
            <w:shd w:val="clear" w:color="auto" w:fill="auto"/>
            <w:noWrap/>
            <w:vAlign w:val="bottom"/>
          </w:tcPr>
          <w:p w:rsidR="00697650" w:rsidRPr="008C2727" w:rsidRDefault="00B539AC" w:rsidP="00481996">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r w:rsidR="00481996">
              <w:rPr>
                <w:rFonts w:ascii="Times New Roman" w:hAnsi="Times New Roman" w:cs="Times New Roman"/>
                <w:color w:val="000000"/>
                <w:sz w:val="18"/>
                <w:szCs w:val="18"/>
              </w:rPr>
              <w:t>1</w:t>
            </w:r>
            <w:r w:rsidR="002853BD">
              <w:rPr>
                <w:rFonts w:ascii="Times New Roman" w:hAnsi="Times New Roman" w:cs="Times New Roman"/>
                <w:color w:val="000000"/>
                <w:sz w:val="18"/>
                <w:szCs w:val="18"/>
              </w:rPr>
              <w:t>%</w:t>
            </w:r>
          </w:p>
        </w:tc>
        <w:tc>
          <w:tcPr>
            <w:tcW w:w="1006" w:type="dxa"/>
            <w:tcBorders>
              <w:top w:val="nil"/>
              <w:left w:val="nil"/>
              <w:bottom w:val="single" w:sz="4" w:space="0" w:color="auto"/>
              <w:right w:val="single" w:sz="4" w:space="0" w:color="auto"/>
            </w:tcBorders>
            <w:shd w:val="clear" w:color="auto" w:fill="auto"/>
            <w:noWrap/>
            <w:vAlign w:val="bottom"/>
          </w:tcPr>
          <w:p w:rsidR="00697650" w:rsidRPr="008C2727" w:rsidRDefault="00AB7643" w:rsidP="00481996">
            <w:pPr>
              <w:spacing w:after="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r w:rsidR="00481996">
              <w:rPr>
                <w:rFonts w:ascii="Times New Roman" w:hAnsi="Times New Roman" w:cs="Times New Roman"/>
                <w:color w:val="000000"/>
                <w:sz w:val="18"/>
                <w:szCs w:val="18"/>
              </w:rPr>
              <w:t>1</w:t>
            </w:r>
            <w:r w:rsidR="002853BD">
              <w:rPr>
                <w:rFonts w:ascii="Times New Roman" w:hAnsi="Times New Roman" w:cs="Times New Roman"/>
                <w:color w:val="000000"/>
                <w:sz w:val="18"/>
                <w:szCs w:val="18"/>
              </w:rPr>
              <w:t>%</w:t>
            </w:r>
          </w:p>
        </w:tc>
      </w:tr>
    </w:tbl>
    <w:p w:rsidR="00173058" w:rsidRPr="00E81087" w:rsidRDefault="00173058" w:rsidP="00173058">
      <w:pPr>
        <w:tabs>
          <w:tab w:val="left" w:pos="284"/>
        </w:tabs>
        <w:spacing w:after="0" w:line="240" w:lineRule="auto"/>
        <w:jc w:val="both"/>
        <w:rPr>
          <w:rFonts w:ascii="Times New Roman" w:hAnsi="Times New Roman" w:cs="Times New Roman"/>
          <w:sz w:val="16"/>
          <w:szCs w:val="16"/>
        </w:rPr>
      </w:pPr>
      <w:r w:rsidRPr="00E81087">
        <w:rPr>
          <w:rFonts w:ascii="Times New Roman" w:hAnsi="Times New Roman" w:cs="Times New Roman"/>
          <w:sz w:val="16"/>
          <w:szCs w:val="16"/>
        </w:rPr>
        <w:t>Vysvetlivky k tabuľke:</w:t>
      </w:r>
    </w:p>
    <w:p w:rsidR="00173058" w:rsidRPr="00E81087" w:rsidRDefault="00173058" w:rsidP="00173058">
      <w:pPr>
        <w:tabs>
          <w:tab w:val="left" w:pos="284"/>
        </w:tabs>
        <w:spacing w:after="0" w:line="240" w:lineRule="auto"/>
        <w:jc w:val="both"/>
        <w:rPr>
          <w:rFonts w:ascii="Times New Roman" w:hAnsi="Times New Roman" w:cs="Times New Roman"/>
          <w:sz w:val="16"/>
          <w:szCs w:val="16"/>
        </w:rPr>
      </w:pPr>
      <w:r w:rsidRPr="00E81087">
        <w:rPr>
          <w:rFonts w:ascii="Times New Roman" w:hAnsi="Times New Roman" w:cs="Times New Roman"/>
          <w:sz w:val="16"/>
          <w:szCs w:val="16"/>
        </w:rPr>
        <w:t>*</w:t>
      </w:r>
      <w:r w:rsidRPr="00E81087">
        <w:rPr>
          <w:rFonts w:ascii="Times New Roman" w:hAnsi="Times New Roman" w:cs="Times New Roman"/>
          <w:sz w:val="16"/>
          <w:szCs w:val="16"/>
        </w:rPr>
        <w:tab/>
        <w:t>Zostavenie ukazovateľa kvality bolo pre účel tejto analýzy považované za vhodné vtedy, keď ukazovateľ vyjadroval nejaký kvalitatívny aspekt pôsobnosti a jeho definícia bola dostatočná pre jednoznačné vyčíslenie. V rámci prípravy súhrnnej správy nebola posudzovaná vhodnosť ukazovateľa z hľadiska jeho schopnosti komplexne vyjadriť kvalitu plnenia úlohy.</w:t>
      </w:r>
    </w:p>
    <w:p w:rsidR="00173058" w:rsidRPr="00E81087" w:rsidRDefault="00173058" w:rsidP="00A26949">
      <w:pPr>
        <w:tabs>
          <w:tab w:val="left" w:pos="284"/>
        </w:tabs>
        <w:spacing w:before="60" w:after="0" w:line="240" w:lineRule="auto"/>
        <w:jc w:val="both"/>
        <w:rPr>
          <w:rFonts w:ascii="Times New Roman" w:hAnsi="Times New Roman" w:cs="Times New Roman"/>
          <w:sz w:val="16"/>
          <w:szCs w:val="16"/>
        </w:rPr>
      </w:pPr>
      <w:r w:rsidRPr="00E81087">
        <w:rPr>
          <w:rFonts w:ascii="Times New Roman" w:hAnsi="Times New Roman" w:cs="Times New Roman"/>
          <w:sz w:val="16"/>
          <w:szCs w:val="16"/>
        </w:rPr>
        <w:t>**</w:t>
      </w:r>
      <w:r w:rsidRPr="00E81087">
        <w:rPr>
          <w:rFonts w:ascii="Times New Roman" w:hAnsi="Times New Roman" w:cs="Times New Roman"/>
          <w:sz w:val="16"/>
          <w:szCs w:val="16"/>
        </w:rPr>
        <w:tab/>
        <w:t>Existuje rozdiel medzi slovným hodnotením kvality a hodnotením kvality použitím ukazovateľa. V stĺpci d boli kladne vykázané úlohy, kde rezort ohodnotil plnenie úlohy kladne, či už použitím ukazovateľa alebo bez neho. V stĺpci g boli kladne vykázané úlohy, kde rezort navrhol ukazovateľ a vykázal jeho hodnotu indikujúcu kladné plnenie.</w:t>
      </w:r>
    </w:p>
    <w:p w:rsidR="00BF2064" w:rsidRDefault="00F60B18" w:rsidP="00F60B18">
      <w:pPr>
        <w:spacing w:before="120" w:after="0" w:line="240" w:lineRule="auto"/>
        <w:ind w:firstLine="709"/>
        <w:jc w:val="both"/>
        <w:rPr>
          <w:rFonts w:ascii="Times New Roman" w:hAnsi="Times New Roman" w:cs="Times New Roman"/>
        </w:rPr>
      </w:pPr>
      <w:r>
        <w:rPr>
          <w:rFonts w:ascii="Times New Roman" w:hAnsi="Times New Roman" w:cs="Times New Roman"/>
        </w:rPr>
        <w:t xml:space="preserve">Ministerstvo vnútra ako jediné vhodne zostavilo ukazovatele kvality pre všetky úseky štátnej správy v jeho vecnej pôsobnosti (na 4 zo 4 úsekov). Vhodne zostavené ukazovatele kvality mali aj ministerstvo životného prostredia (na 3 zo 4 úsekov) a ministerstvo dopravy (na 1 z 3 úsekov). </w:t>
      </w:r>
      <w:r w:rsidR="00A805BF">
        <w:rPr>
          <w:rFonts w:ascii="Times New Roman" w:hAnsi="Times New Roman" w:cs="Times New Roman"/>
        </w:rPr>
        <w:t>Ministerstvo školstva</w:t>
      </w:r>
      <w:r>
        <w:rPr>
          <w:rFonts w:ascii="Times New Roman" w:hAnsi="Times New Roman" w:cs="Times New Roman"/>
        </w:rPr>
        <w:t xml:space="preserve"> </w:t>
      </w:r>
      <w:r w:rsidR="00A805BF">
        <w:rPr>
          <w:rFonts w:ascii="Times New Roman" w:hAnsi="Times New Roman" w:cs="Times New Roman"/>
        </w:rPr>
        <w:t>si nedefinovalo</w:t>
      </w:r>
      <w:r w:rsidR="00BF2064">
        <w:rPr>
          <w:rFonts w:ascii="Times New Roman" w:hAnsi="Times New Roman" w:cs="Times New Roman"/>
        </w:rPr>
        <w:t xml:space="preserve"> ukazovatele kvality vhodne; najmä preto, že ukazovateľ nebolo možné vyčísliť. Ministerstvo hospodárstva si nedefinovalo žiadne ukazovatele (je to dané špecifikom spomínaným vyššie).</w:t>
      </w:r>
    </w:p>
    <w:p w:rsidR="0038482D" w:rsidRPr="0038482D" w:rsidRDefault="0038482D" w:rsidP="008C2727">
      <w:pPr>
        <w:keepNext/>
        <w:spacing w:before="120" w:after="120" w:line="240" w:lineRule="auto"/>
        <w:ind w:firstLine="709"/>
        <w:jc w:val="both"/>
        <w:rPr>
          <w:rFonts w:ascii="Times New Roman" w:eastAsia="Times New Roman" w:hAnsi="Times New Roman" w:cs="Times New Roman"/>
          <w:i/>
          <w:u w:val="single"/>
          <w:lang w:eastAsia="sk-SK"/>
        </w:rPr>
      </w:pPr>
      <w:r w:rsidRPr="0038482D">
        <w:rPr>
          <w:rFonts w:ascii="Times New Roman" w:eastAsia="Times New Roman" w:hAnsi="Times New Roman" w:cs="Times New Roman"/>
          <w:i/>
          <w:u w:val="single"/>
          <w:lang w:eastAsia="sk-SK"/>
        </w:rPr>
        <w:t xml:space="preserve">Sumárne údaje o kvalite pôsobností prenesených na </w:t>
      </w:r>
      <w:r>
        <w:rPr>
          <w:rFonts w:ascii="Times New Roman" w:eastAsia="Times New Roman" w:hAnsi="Times New Roman" w:cs="Times New Roman"/>
          <w:i/>
          <w:u w:val="single"/>
          <w:lang w:eastAsia="sk-SK"/>
        </w:rPr>
        <w:t>samosprávne kraje</w:t>
      </w:r>
    </w:p>
    <w:p w:rsidR="0026105C" w:rsidRDefault="0026105C" w:rsidP="0038482D">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Rezorty poskytli svoj názor na kvalitu plnenia úloh prenesených na samosprávne kraje. Tabuľka nižšie sumarizuje hodnotenie plnenia týchto úloh</w:t>
      </w:r>
      <w:r w:rsidR="00642E5F">
        <w:rPr>
          <w:rFonts w:ascii="Times New Roman" w:eastAsia="Times New Roman" w:hAnsi="Times New Roman" w:cs="Times New Roman"/>
          <w:lang w:eastAsia="sk-SK"/>
        </w:rPr>
        <w:t xml:space="preserve"> rezort</w:t>
      </w:r>
      <w:r>
        <w:rPr>
          <w:rFonts w:ascii="Times New Roman" w:eastAsia="Times New Roman" w:hAnsi="Times New Roman" w:cs="Times New Roman"/>
          <w:lang w:eastAsia="sk-SK"/>
        </w:rPr>
        <w:t>mi:</w:t>
      </w:r>
    </w:p>
    <w:p w:rsidR="004B3CA1" w:rsidRPr="004B3CA1" w:rsidRDefault="004B3CA1" w:rsidP="00647692">
      <w:pPr>
        <w:keepNext/>
        <w:spacing w:before="120" w:after="60" w:line="240" w:lineRule="auto"/>
        <w:jc w:val="center"/>
        <w:rPr>
          <w:rFonts w:ascii="Times New Roman" w:eastAsia="Times New Roman" w:hAnsi="Times New Roman" w:cs="Times New Roman"/>
          <w:sz w:val="16"/>
          <w:szCs w:val="16"/>
          <w:lang w:eastAsia="sk-SK"/>
        </w:rPr>
      </w:pPr>
      <w:r w:rsidRPr="004B3CA1">
        <w:rPr>
          <w:rFonts w:ascii="Times New Roman" w:eastAsia="Times New Roman" w:hAnsi="Times New Roman" w:cs="Times New Roman"/>
          <w:b/>
          <w:sz w:val="16"/>
          <w:szCs w:val="16"/>
          <w:lang w:eastAsia="sk-SK"/>
        </w:rPr>
        <w:t>Tabuľka 7</w:t>
      </w:r>
      <w:r w:rsidR="00FB72B4">
        <w:rPr>
          <w:rFonts w:ascii="Times New Roman" w:eastAsia="Times New Roman" w:hAnsi="Times New Roman" w:cs="Times New Roman"/>
          <w:b/>
          <w:sz w:val="16"/>
          <w:szCs w:val="16"/>
          <w:lang w:eastAsia="sk-SK"/>
        </w:rPr>
        <w:t>:</w:t>
      </w:r>
      <w:r w:rsidRPr="004B3CA1">
        <w:rPr>
          <w:rFonts w:ascii="Times New Roman" w:eastAsia="Times New Roman" w:hAnsi="Times New Roman" w:cs="Times New Roman"/>
          <w:sz w:val="16"/>
          <w:szCs w:val="16"/>
          <w:lang w:eastAsia="sk-SK"/>
        </w:rPr>
        <w:t xml:space="preserve"> Kvalita výkonu pôsobností prenesených na samosprávne kraje</w:t>
      </w:r>
      <w:r w:rsidR="00A04E37">
        <w:rPr>
          <w:rFonts w:ascii="Times New Roman" w:eastAsia="Times New Roman" w:hAnsi="Times New Roman" w:cs="Times New Roman"/>
          <w:sz w:val="16"/>
          <w:szCs w:val="16"/>
          <w:lang w:eastAsia="sk-SK"/>
        </w:rPr>
        <w:t xml:space="preserve"> podľa úsekov</w:t>
      </w:r>
    </w:p>
    <w:tbl>
      <w:tblPr>
        <w:tblW w:w="9606" w:type="dxa"/>
        <w:tblInd w:w="58" w:type="dxa"/>
        <w:tblLayout w:type="fixed"/>
        <w:tblCellMar>
          <w:left w:w="70" w:type="dxa"/>
          <w:right w:w="70" w:type="dxa"/>
        </w:tblCellMar>
        <w:tblLook w:val="04A0" w:firstRow="1" w:lastRow="0" w:firstColumn="1" w:lastColumn="0" w:noHBand="0" w:noVBand="1"/>
      </w:tblPr>
      <w:tblGrid>
        <w:gridCol w:w="1713"/>
        <w:gridCol w:w="3402"/>
        <w:gridCol w:w="1122"/>
        <w:gridCol w:w="1123"/>
        <w:gridCol w:w="1123"/>
        <w:gridCol w:w="1123"/>
      </w:tblGrid>
      <w:tr w:rsidR="00642E5F" w:rsidRPr="008C2727" w:rsidTr="009F2349">
        <w:trPr>
          <w:trHeight w:val="889"/>
        </w:trPr>
        <w:tc>
          <w:tcPr>
            <w:tcW w:w="17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E5F" w:rsidRPr="00EA6438" w:rsidRDefault="00A26949" w:rsidP="003E1A4A">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m</w:t>
            </w:r>
            <w:r w:rsidR="002674B7" w:rsidRPr="00EA6438">
              <w:rPr>
                <w:rFonts w:ascii="Times New Roman" w:hAnsi="Times New Roman" w:cs="Times New Roman"/>
                <w:bCs/>
                <w:color w:val="000000"/>
                <w:sz w:val="18"/>
                <w:szCs w:val="18"/>
              </w:rPr>
              <w:t>inisterstv</w:t>
            </w:r>
            <w:r w:rsidR="003E1A4A">
              <w:rPr>
                <w:rFonts w:ascii="Times New Roman" w:hAnsi="Times New Roman" w:cs="Times New Roman"/>
                <w:bCs/>
                <w:color w:val="000000"/>
                <w:sz w:val="18"/>
                <w:szCs w:val="18"/>
              </w:rPr>
              <w:t>á</w:t>
            </w:r>
          </w:p>
        </w:tc>
        <w:tc>
          <w:tcPr>
            <w:tcW w:w="3402" w:type="dxa"/>
            <w:tcBorders>
              <w:top w:val="single" w:sz="4" w:space="0" w:color="auto"/>
              <w:left w:val="nil"/>
              <w:bottom w:val="single" w:sz="4" w:space="0" w:color="auto"/>
              <w:right w:val="single" w:sz="4" w:space="0" w:color="auto"/>
            </w:tcBorders>
            <w:vAlign w:val="center"/>
          </w:tcPr>
          <w:p w:rsidR="00642E5F" w:rsidRPr="00EA6438" w:rsidRDefault="002674B7" w:rsidP="00A26949">
            <w:pPr>
              <w:keepNext/>
              <w:autoSpaceDE w:val="0"/>
              <w:autoSpaceDN w:val="0"/>
              <w:adjustRightInd w:val="0"/>
              <w:spacing w:after="0" w:line="240" w:lineRule="auto"/>
              <w:rPr>
                <w:rFonts w:ascii="Times New Roman" w:hAnsi="Times New Roman" w:cs="Times New Roman"/>
                <w:bCs/>
                <w:color w:val="000000"/>
                <w:sz w:val="18"/>
                <w:szCs w:val="18"/>
              </w:rPr>
            </w:pPr>
            <w:r w:rsidRPr="00EA6438">
              <w:rPr>
                <w:rFonts w:ascii="Times New Roman" w:hAnsi="Times New Roman" w:cs="Times New Roman"/>
                <w:bCs/>
                <w:color w:val="000000"/>
                <w:sz w:val="18"/>
                <w:szCs w:val="18"/>
              </w:rPr>
              <w:t>úsek</w:t>
            </w:r>
            <w:r w:rsidR="003E1A4A">
              <w:rPr>
                <w:rFonts w:ascii="Times New Roman" w:hAnsi="Times New Roman" w:cs="Times New Roman"/>
                <w:bCs/>
                <w:color w:val="000000"/>
                <w:sz w:val="18"/>
                <w:szCs w:val="18"/>
              </w:rPr>
              <w:t>y</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E5F" w:rsidRPr="00EA643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w:t>
            </w:r>
            <w:r w:rsidR="00642E5F" w:rsidRPr="00EA6438">
              <w:rPr>
                <w:rFonts w:ascii="Times New Roman" w:hAnsi="Times New Roman" w:cs="Times New Roman"/>
                <w:bCs/>
                <w:color w:val="000000"/>
                <w:sz w:val="18"/>
                <w:szCs w:val="18"/>
              </w:rPr>
              <w:t>očet úloh podľa katalógu</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642E5F" w:rsidRPr="00EA643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počet úloh s </w:t>
            </w:r>
            <w:r w:rsidR="00642E5F" w:rsidRPr="00EA6438">
              <w:rPr>
                <w:rFonts w:ascii="Times New Roman" w:hAnsi="Times New Roman" w:cs="Times New Roman"/>
                <w:bCs/>
                <w:color w:val="000000"/>
                <w:sz w:val="18"/>
                <w:szCs w:val="18"/>
              </w:rPr>
              <w:t>kladným slovným hodnotením</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642E5F" w:rsidRPr="00EA643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počet úloh so </w:t>
            </w:r>
            <w:r w:rsidR="00642E5F" w:rsidRPr="00EA6438">
              <w:rPr>
                <w:rFonts w:ascii="Times New Roman" w:hAnsi="Times New Roman" w:cs="Times New Roman"/>
                <w:bCs/>
                <w:color w:val="000000"/>
                <w:sz w:val="18"/>
                <w:szCs w:val="18"/>
              </w:rPr>
              <w:t>záporným slovným hodnotením</w:t>
            </w:r>
          </w:p>
        </w:tc>
        <w:tc>
          <w:tcPr>
            <w:tcW w:w="1123" w:type="dxa"/>
            <w:tcBorders>
              <w:top w:val="single" w:sz="4" w:space="0" w:color="auto"/>
              <w:left w:val="nil"/>
              <w:bottom w:val="single" w:sz="4" w:space="0" w:color="auto"/>
              <w:right w:val="single" w:sz="4" w:space="0" w:color="auto"/>
            </w:tcBorders>
            <w:shd w:val="clear" w:color="auto" w:fill="auto"/>
            <w:vAlign w:val="center"/>
            <w:hideMark/>
          </w:tcPr>
          <w:p w:rsidR="00642E5F" w:rsidRPr="00EA6438" w:rsidRDefault="00A26949" w:rsidP="00A26949">
            <w:pPr>
              <w:keepNext/>
              <w:autoSpaceDE w:val="0"/>
              <w:autoSpaceDN w:val="0"/>
              <w:adjustRightInd w:val="0"/>
              <w:spacing w:after="0" w:line="240" w:lineRule="auto"/>
              <w:rPr>
                <w:rFonts w:ascii="Times New Roman" w:hAnsi="Times New Roman" w:cs="Times New Roman"/>
                <w:bCs/>
                <w:color w:val="000000"/>
                <w:sz w:val="18"/>
                <w:szCs w:val="18"/>
              </w:rPr>
            </w:pPr>
            <w:r>
              <w:rPr>
                <w:rFonts w:ascii="Times New Roman" w:hAnsi="Times New Roman" w:cs="Times New Roman"/>
                <w:bCs/>
                <w:color w:val="000000"/>
                <w:sz w:val="18"/>
                <w:szCs w:val="18"/>
              </w:rPr>
              <w:t>p</w:t>
            </w:r>
            <w:r w:rsidR="00642E5F" w:rsidRPr="00EA6438">
              <w:rPr>
                <w:rFonts w:ascii="Times New Roman" w:hAnsi="Times New Roman" w:cs="Times New Roman"/>
                <w:bCs/>
                <w:color w:val="000000"/>
                <w:sz w:val="18"/>
                <w:szCs w:val="18"/>
              </w:rPr>
              <w:t>očet úloh s neuvedeným slovným hodnotením</w:t>
            </w:r>
          </w:p>
        </w:tc>
      </w:tr>
      <w:tr w:rsidR="00230406" w:rsidRPr="008C2727" w:rsidTr="009F2349">
        <w:trPr>
          <w:trHeight w:val="204"/>
        </w:trPr>
        <w:tc>
          <w:tcPr>
            <w:tcW w:w="1713" w:type="dxa"/>
            <w:tcBorders>
              <w:top w:val="nil"/>
              <w:left w:val="single" w:sz="4" w:space="0" w:color="auto"/>
              <w:bottom w:val="single" w:sz="4" w:space="0" w:color="auto"/>
              <w:right w:val="single" w:sz="4" w:space="0" w:color="auto"/>
            </w:tcBorders>
            <w:shd w:val="clear" w:color="auto" w:fill="auto"/>
            <w:hideMark/>
          </w:tcPr>
          <w:p w:rsidR="00230406" w:rsidRPr="008C2727" w:rsidRDefault="00230406" w:rsidP="003A70EC">
            <w:pPr>
              <w:keepNext/>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MDVRR SR</w:t>
            </w:r>
          </w:p>
        </w:tc>
        <w:tc>
          <w:tcPr>
            <w:tcW w:w="3402" w:type="dxa"/>
            <w:tcBorders>
              <w:top w:val="nil"/>
              <w:left w:val="nil"/>
              <w:bottom w:val="single" w:sz="4" w:space="0" w:color="auto"/>
              <w:right w:val="single" w:sz="4" w:space="0" w:color="auto"/>
            </w:tcBorders>
          </w:tcPr>
          <w:p w:rsidR="00230406" w:rsidRPr="008C2727" w:rsidRDefault="00230406" w:rsidP="00642E5F">
            <w:pPr>
              <w:keepNext/>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dráh</w:t>
            </w:r>
          </w:p>
        </w:tc>
        <w:tc>
          <w:tcPr>
            <w:tcW w:w="1122" w:type="dxa"/>
            <w:tcBorders>
              <w:top w:val="nil"/>
              <w:left w:val="single" w:sz="4" w:space="0" w:color="auto"/>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11</w:t>
            </w:r>
          </w:p>
        </w:tc>
        <w:tc>
          <w:tcPr>
            <w:tcW w:w="1123" w:type="dxa"/>
            <w:tcBorders>
              <w:top w:val="nil"/>
              <w:left w:val="nil"/>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c>
          <w:tcPr>
            <w:tcW w:w="1123" w:type="dxa"/>
            <w:tcBorders>
              <w:top w:val="nil"/>
              <w:left w:val="nil"/>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c>
          <w:tcPr>
            <w:tcW w:w="1123" w:type="dxa"/>
            <w:tcBorders>
              <w:top w:val="nil"/>
              <w:left w:val="nil"/>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11</w:t>
            </w:r>
          </w:p>
        </w:tc>
      </w:tr>
      <w:tr w:rsidR="00230406" w:rsidRPr="008C2727" w:rsidTr="009F2349">
        <w:trPr>
          <w:trHeight w:val="204"/>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230406" w:rsidRPr="008C2727" w:rsidRDefault="00230406" w:rsidP="003A70EC">
            <w:pPr>
              <w:keepNext/>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MH SR</w:t>
            </w:r>
          </w:p>
        </w:tc>
        <w:tc>
          <w:tcPr>
            <w:tcW w:w="3402" w:type="dxa"/>
            <w:tcBorders>
              <w:top w:val="single" w:sz="4" w:space="0" w:color="auto"/>
              <w:left w:val="nil"/>
              <w:bottom w:val="single" w:sz="4" w:space="0" w:color="auto"/>
              <w:right w:val="single" w:sz="4" w:space="0" w:color="auto"/>
            </w:tcBorders>
          </w:tcPr>
          <w:p w:rsidR="00230406" w:rsidRPr="008C2727" w:rsidRDefault="00230406" w:rsidP="00642E5F">
            <w:pPr>
              <w:keepNext/>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hospodárskej mobilizácie</w:t>
            </w:r>
          </w:p>
        </w:tc>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3</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3</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591484">
            <w:pPr>
              <w:keepNext/>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r>
      <w:tr w:rsidR="00230406" w:rsidRPr="008C2727" w:rsidTr="009F2349">
        <w:trPr>
          <w:trHeight w:val="192"/>
        </w:trPr>
        <w:tc>
          <w:tcPr>
            <w:tcW w:w="1713" w:type="dxa"/>
            <w:tcBorders>
              <w:top w:val="single" w:sz="4" w:space="0" w:color="auto"/>
              <w:left w:val="single" w:sz="4" w:space="0" w:color="auto"/>
              <w:bottom w:val="single" w:sz="4" w:space="0" w:color="auto"/>
              <w:right w:val="single" w:sz="4" w:space="0" w:color="auto"/>
            </w:tcBorders>
            <w:shd w:val="clear" w:color="auto" w:fill="auto"/>
            <w:hideMark/>
          </w:tcPr>
          <w:p w:rsidR="00230406" w:rsidRPr="008C2727" w:rsidRDefault="00D50484" w:rsidP="009F2349">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MŠVV</w:t>
            </w:r>
            <w:r w:rsidR="00230406" w:rsidRPr="008C2727">
              <w:rPr>
                <w:rFonts w:ascii="Times New Roman" w:eastAsia="Times New Roman" w:hAnsi="Times New Roman" w:cs="Times New Roman"/>
                <w:color w:val="000000"/>
                <w:sz w:val="18"/>
                <w:szCs w:val="18"/>
                <w:lang w:eastAsia="sk-SK"/>
              </w:rPr>
              <w:t>Š SR</w:t>
            </w:r>
          </w:p>
        </w:tc>
        <w:tc>
          <w:tcPr>
            <w:tcW w:w="3402" w:type="dxa"/>
            <w:tcBorders>
              <w:top w:val="single" w:sz="4" w:space="0" w:color="auto"/>
              <w:left w:val="nil"/>
              <w:bottom w:val="single" w:sz="4" w:space="0" w:color="auto"/>
              <w:right w:val="single" w:sz="4" w:space="0" w:color="auto"/>
            </w:tcBorders>
          </w:tcPr>
          <w:p w:rsidR="00230406" w:rsidRPr="008C2727" w:rsidRDefault="00230406" w:rsidP="009F2349">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 xml:space="preserve">úsek školstva (zriaďovateľská pôsobnosť vo vzťahu k stredným školám a strediskám </w:t>
            </w:r>
            <w:r w:rsidRPr="008C2727">
              <w:rPr>
                <w:rFonts w:ascii="Times New Roman" w:eastAsia="Times New Roman" w:hAnsi="Times New Roman" w:cs="Times New Roman"/>
                <w:color w:val="000000"/>
                <w:sz w:val="18"/>
                <w:szCs w:val="18"/>
                <w:lang w:eastAsia="sk-SK"/>
              </w:rPr>
              <w:lastRenderedPageBreak/>
              <w:t>praktického vyučovania)</w:t>
            </w:r>
          </w:p>
        </w:tc>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lastRenderedPageBreak/>
              <w:t>1</w:t>
            </w:r>
            <w:r>
              <w:rPr>
                <w:rFonts w:ascii="Times New Roman" w:eastAsia="Times New Roman" w:hAnsi="Times New Roman" w:cs="Times New Roman"/>
                <w:color w:val="000000"/>
                <w:sz w:val="18"/>
                <w:szCs w:val="18"/>
                <w:lang w:eastAsia="sk-SK"/>
              </w:rPr>
              <w:t>0</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9</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1</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r>
      <w:tr w:rsidR="00230406" w:rsidRPr="008C2727" w:rsidTr="009F2349">
        <w:trPr>
          <w:trHeight w:val="408"/>
        </w:trPr>
        <w:tc>
          <w:tcPr>
            <w:tcW w:w="1713" w:type="dxa"/>
            <w:vMerge w:val="restart"/>
            <w:tcBorders>
              <w:top w:val="single" w:sz="4" w:space="0" w:color="auto"/>
              <w:left w:val="single" w:sz="4" w:space="0" w:color="auto"/>
              <w:right w:val="single" w:sz="4" w:space="0" w:color="auto"/>
            </w:tcBorders>
            <w:shd w:val="clear" w:color="auto" w:fill="auto"/>
          </w:tcPr>
          <w:p w:rsidR="00230406" w:rsidRPr="008C2727" w:rsidRDefault="00230406" w:rsidP="009F2349">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lastRenderedPageBreak/>
              <w:t>MZ SR</w:t>
            </w:r>
          </w:p>
        </w:tc>
        <w:tc>
          <w:tcPr>
            <w:tcW w:w="3402" w:type="dxa"/>
            <w:tcBorders>
              <w:top w:val="single" w:sz="4" w:space="0" w:color="auto"/>
              <w:left w:val="nil"/>
              <w:bottom w:val="single" w:sz="4" w:space="0" w:color="auto"/>
              <w:right w:val="single" w:sz="4" w:space="0" w:color="auto"/>
            </w:tcBorders>
          </w:tcPr>
          <w:p w:rsidR="00230406" w:rsidRPr="008C2727" w:rsidRDefault="00230406" w:rsidP="009F2349">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zdravotníctva (+ PVŠS pri posudzovaní a kontrole hluku vo vonkajšom prostredí)</w:t>
            </w:r>
          </w:p>
        </w:tc>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35</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27</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8</w:t>
            </w:r>
          </w:p>
        </w:tc>
      </w:tr>
      <w:tr w:rsidR="00230406" w:rsidRPr="008C2727" w:rsidTr="009F2349">
        <w:trPr>
          <w:trHeight w:val="408"/>
        </w:trPr>
        <w:tc>
          <w:tcPr>
            <w:tcW w:w="1713" w:type="dxa"/>
            <w:vMerge/>
            <w:tcBorders>
              <w:left w:val="single" w:sz="4" w:space="0" w:color="auto"/>
              <w:bottom w:val="single" w:sz="4" w:space="0" w:color="auto"/>
              <w:right w:val="single" w:sz="4" w:space="0" w:color="auto"/>
            </w:tcBorders>
            <w:shd w:val="clear" w:color="auto" w:fill="auto"/>
          </w:tcPr>
          <w:p w:rsidR="00230406" w:rsidRPr="008C2727" w:rsidRDefault="00230406" w:rsidP="009F2349">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single" w:sz="4" w:space="0" w:color="auto"/>
              <w:right w:val="single" w:sz="4" w:space="0" w:color="auto"/>
            </w:tcBorders>
          </w:tcPr>
          <w:p w:rsidR="00230406" w:rsidRPr="008C2727" w:rsidRDefault="00230406" w:rsidP="009F2349">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humánnej farmácie (+ PVŠS na úseku psychotropných a omamných látkach)</w:t>
            </w:r>
          </w:p>
        </w:tc>
        <w:tc>
          <w:tcPr>
            <w:tcW w:w="1122" w:type="dxa"/>
            <w:tcBorders>
              <w:top w:val="single" w:sz="4" w:space="0" w:color="auto"/>
              <w:left w:val="single" w:sz="4" w:space="0" w:color="auto"/>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37</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0</w:t>
            </w:r>
          </w:p>
        </w:tc>
        <w:tc>
          <w:tcPr>
            <w:tcW w:w="1123" w:type="dxa"/>
            <w:tcBorders>
              <w:top w:val="single" w:sz="4" w:space="0" w:color="auto"/>
              <w:left w:val="nil"/>
              <w:bottom w:val="single" w:sz="4" w:space="0" w:color="auto"/>
              <w:right w:val="single" w:sz="4" w:space="0" w:color="auto"/>
            </w:tcBorders>
            <w:shd w:val="clear" w:color="auto" w:fill="auto"/>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37</w:t>
            </w:r>
          </w:p>
        </w:tc>
      </w:tr>
      <w:tr w:rsidR="00230406" w:rsidRPr="008C2727" w:rsidTr="009F2349">
        <w:trPr>
          <w:trHeight w:val="204"/>
        </w:trPr>
        <w:tc>
          <w:tcPr>
            <w:tcW w:w="1713" w:type="dxa"/>
            <w:tcBorders>
              <w:top w:val="single" w:sz="4" w:space="0" w:color="auto"/>
              <w:left w:val="nil"/>
              <w:bottom w:val="nil"/>
            </w:tcBorders>
            <w:shd w:val="clear" w:color="auto" w:fill="auto"/>
            <w:noWrap/>
            <w:vAlign w:val="bottom"/>
            <w:hideMark/>
          </w:tcPr>
          <w:p w:rsidR="00230406" w:rsidRPr="008C2727" w:rsidRDefault="00230406" w:rsidP="009F2349">
            <w:pPr>
              <w:spacing w:after="0" w:line="240" w:lineRule="auto"/>
              <w:rPr>
                <w:rFonts w:ascii="Times New Roman" w:eastAsia="Times New Roman" w:hAnsi="Times New Roman" w:cs="Times New Roman"/>
                <w:color w:val="000000"/>
                <w:sz w:val="18"/>
                <w:szCs w:val="18"/>
                <w:lang w:eastAsia="sk-SK"/>
              </w:rPr>
            </w:pPr>
          </w:p>
        </w:tc>
        <w:tc>
          <w:tcPr>
            <w:tcW w:w="3402" w:type="dxa"/>
            <w:tcBorders>
              <w:top w:val="single" w:sz="4" w:space="0" w:color="auto"/>
              <w:left w:val="nil"/>
              <w:bottom w:val="nil"/>
              <w:right w:val="single" w:sz="4" w:space="0" w:color="auto"/>
            </w:tcBorders>
          </w:tcPr>
          <w:p w:rsidR="00230406" w:rsidRPr="008C2727" w:rsidRDefault="00230406" w:rsidP="009F2349">
            <w:pPr>
              <w:spacing w:after="0" w:line="240" w:lineRule="auto"/>
              <w:jc w:val="right"/>
              <w:rPr>
                <w:rFonts w:ascii="Times New Roman" w:eastAsia="Times New Roman" w:hAnsi="Times New Roman" w:cs="Times New Roman"/>
                <w:color w:val="000000"/>
                <w:sz w:val="18"/>
                <w:szCs w:val="18"/>
                <w:lang w:eastAsia="sk-SK"/>
              </w:rPr>
            </w:pPr>
          </w:p>
        </w:tc>
        <w:tc>
          <w:tcPr>
            <w:tcW w:w="1122" w:type="dxa"/>
            <w:tcBorders>
              <w:top w:val="single" w:sz="4" w:space="0" w:color="auto"/>
              <w:left w:val="single" w:sz="4" w:space="0" w:color="auto"/>
              <w:bottom w:val="nil"/>
              <w:right w:val="single" w:sz="4" w:space="0" w:color="auto"/>
            </w:tcBorders>
            <w:shd w:val="clear" w:color="auto" w:fill="auto"/>
            <w:noWrap/>
            <w:vAlign w:val="bottom"/>
            <w:hideMark/>
          </w:tcPr>
          <w:p w:rsidR="00230406" w:rsidRPr="008C2727" w:rsidRDefault="00230406" w:rsidP="009F2349">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96</w:t>
            </w:r>
          </w:p>
        </w:tc>
        <w:tc>
          <w:tcPr>
            <w:tcW w:w="1123" w:type="dxa"/>
            <w:tcBorders>
              <w:top w:val="single" w:sz="4" w:space="0" w:color="auto"/>
              <w:left w:val="nil"/>
              <w:bottom w:val="nil"/>
              <w:right w:val="single" w:sz="4" w:space="0" w:color="auto"/>
            </w:tcBorders>
            <w:shd w:val="clear" w:color="auto" w:fill="auto"/>
            <w:noWrap/>
            <w:vAlign w:val="bottom"/>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39</w:t>
            </w:r>
          </w:p>
        </w:tc>
        <w:tc>
          <w:tcPr>
            <w:tcW w:w="1123" w:type="dxa"/>
            <w:tcBorders>
              <w:top w:val="single" w:sz="4" w:space="0" w:color="auto"/>
              <w:left w:val="nil"/>
              <w:bottom w:val="nil"/>
              <w:right w:val="single" w:sz="4" w:space="0" w:color="auto"/>
            </w:tcBorders>
            <w:shd w:val="clear" w:color="auto" w:fill="auto"/>
            <w:noWrap/>
            <w:vAlign w:val="bottom"/>
            <w:hideMark/>
          </w:tcPr>
          <w:p w:rsidR="00230406" w:rsidRPr="008C2727" w:rsidRDefault="00230406" w:rsidP="009F2349">
            <w:pPr>
              <w:spacing w:after="0" w:line="240" w:lineRule="auto"/>
              <w:jc w:val="right"/>
              <w:rPr>
                <w:rFonts w:ascii="Times New Roman" w:eastAsia="Times New Roman" w:hAnsi="Times New Roman" w:cs="Times New Roman"/>
                <w:sz w:val="18"/>
                <w:szCs w:val="18"/>
                <w:lang w:eastAsia="sk-SK"/>
              </w:rPr>
            </w:pPr>
            <w:r w:rsidRPr="008C2727">
              <w:rPr>
                <w:rFonts w:ascii="Times New Roman" w:eastAsia="Times New Roman" w:hAnsi="Times New Roman" w:cs="Times New Roman"/>
                <w:sz w:val="18"/>
                <w:szCs w:val="18"/>
                <w:lang w:eastAsia="sk-SK"/>
              </w:rPr>
              <w:t>1</w:t>
            </w:r>
          </w:p>
        </w:tc>
        <w:tc>
          <w:tcPr>
            <w:tcW w:w="1123" w:type="dxa"/>
            <w:tcBorders>
              <w:top w:val="single" w:sz="4" w:space="0" w:color="auto"/>
              <w:left w:val="nil"/>
              <w:bottom w:val="nil"/>
              <w:right w:val="single" w:sz="4" w:space="0" w:color="auto"/>
            </w:tcBorders>
            <w:shd w:val="clear" w:color="auto" w:fill="auto"/>
            <w:noWrap/>
            <w:vAlign w:val="bottom"/>
            <w:hideMark/>
          </w:tcPr>
          <w:p w:rsidR="00230406" w:rsidRPr="008C2727" w:rsidRDefault="00C56253" w:rsidP="009F2349">
            <w:pPr>
              <w:spacing w:after="0" w:line="240" w:lineRule="auto"/>
              <w:jc w:val="right"/>
              <w:rPr>
                <w:rFonts w:ascii="Times New Roman" w:eastAsia="Times New Roman" w:hAnsi="Times New Roman" w:cs="Times New Roman"/>
                <w:sz w:val="18"/>
                <w:szCs w:val="18"/>
                <w:lang w:eastAsia="sk-SK"/>
              </w:rPr>
            </w:pPr>
            <w:r>
              <w:rPr>
                <w:rFonts w:ascii="Times New Roman" w:eastAsia="Times New Roman" w:hAnsi="Times New Roman" w:cs="Times New Roman"/>
                <w:sz w:val="18"/>
                <w:szCs w:val="18"/>
                <w:lang w:eastAsia="sk-SK"/>
              </w:rPr>
              <w:t>56</w:t>
            </w:r>
          </w:p>
        </w:tc>
      </w:tr>
      <w:tr w:rsidR="00230406" w:rsidRPr="008C2727" w:rsidTr="009F2349">
        <w:trPr>
          <w:trHeight w:val="197"/>
        </w:trPr>
        <w:tc>
          <w:tcPr>
            <w:tcW w:w="1713" w:type="dxa"/>
            <w:tcBorders>
              <w:top w:val="nil"/>
              <w:left w:val="nil"/>
              <w:bottom w:val="nil"/>
            </w:tcBorders>
            <w:shd w:val="clear" w:color="auto" w:fill="auto"/>
            <w:noWrap/>
            <w:vAlign w:val="bottom"/>
          </w:tcPr>
          <w:p w:rsidR="00230406" w:rsidRPr="008C2727" w:rsidRDefault="00230406" w:rsidP="009F2349">
            <w:pPr>
              <w:spacing w:after="0" w:line="240" w:lineRule="auto"/>
              <w:rPr>
                <w:rFonts w:ascii="Times New Roman" w:eastAsia="Times New Roman" w:hAnsi="Times New Roman" w:cs="Times New Roman"/>
                <w:color w:val="000000"/>
                <w:sz w:val="18"/>
                <w:szCs w:val="18"/>
                <w:lang w:eastAsia="sk-SK"/>
              </w:rPr>
            </w:pPr>
          </w:p>
        </w:tc>
        <w:tc>
          <w:tcPr>
            <w:tcW w:w="3402" w:type="dxa"/>
            <w:tcBorders>
              <w:top w:val="nil"/>
              <w:left w:val="nil"/>
              <w:bottom w:val="nil"/>
              <w:right w:val="single" w:sz="4" w:space="0" w:color="auto"/>
            </w:tcBorders>
          </w:tcPr>
          <w:p w:rsidR="00230406" w:rsidRPr="008C2727" w:rsidRDefault="00230406" w:rsidP="009F2349">
            <w:pPr>
              <w:spacing w:after="0"/>
              <w:jc w:val="right"/>
              <w:rPr>
                <w:rFonts w:ascii="Times New Roman" w:hAnsi="Times New Roman" w:cs="Times New Roman"/>
                <w:sz w:val="18"/>
                <w:szCs w:val="18"/>
              </w:rPr>
            </w:pPr>
          </w:p>
        </w:tc>
        <w:tc>
          <w:tcPr>
            <w:tcW w:w="1122" w:type="dxa"/>
            <w:tcBorders>
              <w:top w:val="nil"/>
              <w:left w:val="single" w:sz="4" w:space="0" w:color="auto"/>
              <w:bottom w:val="single" w:sz="4" w:space="0" w:color="auto"/>
              <w:right w:val="single" w:sz="4" w:space="0" w:color="auto"/>
            </w:tcBorders>
            <w:shd w:val="clear" w:color="auto" w:fill="auto"/>
            <w:noWrap/>
            <w:vAlign w:val="bottom"/>
          </w:tcPr>
          <w:p w:rsidR="00230406" w:rsidRPr="008C2727" w:rsidRDefault="00230406" w:rsidP="009F2349">
            <w:pPr>
              <w:spacing w:after="0"/>
              <w:jc w:val="right"/>
              <w:rPr>
                <w:rFonts w:ascii="Times New Roman" w:hAnsi="Times New Roman" w:cs="Times New Roman"/>
                <w:sz w:val="18"/>
                <w:szCs w:val="18"/>
              </w:rPr>
            </w:pPr>
            <w:r w:rsidRPr="008C2727">
              <w:rPr>
                <w:rFonts w:ascii="Times New Roman" w:hAnsi="Times New Roman" w:cs="Times New Roman"/>
                <w:sz w:val="18"/>
                <w:szCs w:val="18"/>
              </w:rPr>
              <w:t>100%</w:t>
            </w:r>
          </w:p>
        </w:tc>
        <w:tc>
          <w:tcPr>
            <w:tcW w:w="1123" w:type="dxa"/>
            <w:tcBorders>
              <w:top w:val="nil"/>
              <w:left w:val="nil"/>
              <w:bottom w:val="single" w:sz="4" w:space="0" w:color="auto"/>
              <w:right w:val="single" w:sz="4" w:space="0" w:color="auto"/>
            </w:tcBorders>
            <w:shd w:val="clear" w:color="auto" w:fill="auto"/>
            <w:noWrap/>
            <w:vAlign w:val="bottom"/>
          </w:tcPr>
          <w:p w:rsidR="00230406" w:rsidRPr="008C2727" w:rsidRDefault="00E107E9" w:rsidP="009F2349">
            <w:pPr>
              <w:spacing w:after="0"/>
              <w:jc w:val="right"/>
              <w:rPr>
                <w:rFonts w:ascii="Times New Roman" w:hAnsi="Times New Roman" w:cs="Times New Roman"/>
                <w:sz w:val="18"/>
                <w:szCs w:val="18"/>
              </w:rPr>
            </w:pPr>
            <w:r>
              <w:rPr>
                <w:rFonts w:ascii="Times New Roman" w:hAnsi="Times New Roman" w:cs="Times New Roman"/>
                <w:sz w:val="18"/>
                <w:szCs w:val="18"/>
              </w:rPr>
              <w:t>41</w:t>
            </w:r>
            <w:r w:rsidR="00230406" w:rsidRPr="008C2727">
              <w:rPr>
                <w:rFonts w:ascii="Times New Roman" w:hAnsi="Times New Roman" w:cs="Times New Roman"/>
                <w:sz w:val="18"/>
                <w:szCs w:val="18"/>
              </w:rPr>
              <w:t>%</w:t>
            </w:r>
          </w:p>
        </w:tc>
        <w:tc>
          <w:tcPr>
            <w:tcW w:w="1123" w:type="dxa"/>
            <w:tcBorders>
              <w:top w:val="nil"/>
              <w:left w:val="nil"/>
              <w:bottom w:val="single" w:sz="4" w:space="0" w:color="auto"/>
              <w:right w:val="single" w:sz="4" w:space="0" w:color="auto"/>
            </w:tcBorders>
            <w:shd w:val="clear" w:color="auto" w:fill="auto"/>
            <w:noWrap/>
            <w:vAlign w:val="bottom"/>
          </w:tcPr>
          <w:p w:rsidR="00230406" w:rsidRPr="008C2727" w:rsidRDefault="00230406" w:rsidP="009F2349">
            <w:pPr>
              <w:spacing w:after="0"/>
              <w:jc w:val="right"/>
              <w:rPr>
                <w:rFonts w:ascii="Times New Roman" w:hAnsi="Times New Roman" w:cs="Times New Roman"/>
                <w:sz w:val="18"/>
                <w:szCs w:val="18"/>
              </w:rPr>
            </w:pPr>
            <w:r>
              <w:rPr>
                <w:rFonts w:ascii="Times New Roman" w:hAnsi="Times New Roman" w:cs="Times New Roman"/>
                <w:sz w:val="18"/>
                <w:szCs w:val="18"/>
              </w:rPr>
              <w:t>1</w:t>
            </w:r>
            <w:r w:rsidRPr="008C2727">
              <w:rPr>
                <w:rFonts w:ascii="Times New Roman" w:hAnsi="Times New Roman" w:cs="Times New Roman"/>
                <w:sz w:val="18"/>
                <w:szCs w:val="18"/>
              </w:rPr>
              <w:t>%</w:t>
            </w:r>
          </w:p>
        </w:tc>
        <w:tc>
          <w:tcPr>
            <w:tcW w:w="1123" w:type="dxa"/>
            <w:tcBorders>
              <w:top w:val="nil"/>
              <w:left w:val="nil"/>
              <w:bottom w:val="single" w:sz="4" w:space="0" w:color="auto"/>
              <w:right w:val="single" w:sz="4" w:space="0" w:color="auto"/>
            </w:tcBorders>
            <w:shd w:val="clear" w:color="auto" w:fill="auto"/>
            <w:noWrap/>
            <w:vAlign w:val="bottom"/>
          </w:tcPr>
          <w:p w:rsidR="00230406" w:rsidRPr="008C2727" w:rsidRDefault="00230406" w:rsidP="009F2349">
            <w:pPr>
              <w:spacing w:after="0"/>
              <w:jc w:val="right"/>
              <w:rPr>
                <w:rFonts w:ascii="Times New Roman" w:hAnsi="Times New Roman" w:cs="Times New Roman"/>
                <w:sz w:val="18"/>
                <w:szCs w:val="18"/>
              </w:rPr>
            </w:pPr>
            <w:r w:rsidRPr="008C2727">
              <w:rPr>
                <w:rFonts w:ascii="Times New Roman" w:hAnsi="Times New Roman" w:cs="Times New Roman"/>
                <w:sz w:val="18"/>
                <w:szCs w:val="18"/>
              </w:rPr>
              <w:t>58%</w:t>
            </w:r>
          </w:p>
        </w:tc>
      </w:tr>
    </w:tbl>
    <w:p w:rsidR="00D85425" w:rsidRDefault="00D85425" w:rsidP="00D85425">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Možno konštatovať, že ministerstvá </w:t>
      </w:r>
      <w:r w:rsidR="00647692">
        <w:rPr>
          <w:rFonts w:ascii="Times New Roman" w:eastAsia="Times New Roman" w:hAnsi="Times New Roman" w:cs="Times New Roman"/>
          <w:lang w:eastAsia="sk-SK"/>
        </w:rPr>
        <w:t>p</w:t>
      </w:r>
      <w:r>
        <w:rPr>
          <w:rFonts w:ascii="Times New Roman" w:eastAsia="Times New Roman" w:hAnsi="Times New Roman" w:cs="Times New Roman"/>
          <w:lang w:eastAsia="sk-SK"/>
        </w:rPr>
        <w:t xml:space="preserve">ri tých úlohách, ktoré </w:t>
      </w:r>
      <w:r w:rsidR="00647692">
        <w:rPr>
          <w:rFonts w:ascii="Times New Roman" w:eastAsia="Times New Roman" w:hAnsi="Times New Roman" w:cs="Times New Roman"/>
          <w:lang w:eastAsia="sk-SK"/>
        </w:rPr>
        <w:t>vyhodnotili</w:t>
      </w:r>
      <w:r>
        <w:rPr>
          <w:rFonts w:ascii="Times New Roman" w:eastAsia="Times New Roman" w:hAnsi="Times New Roman" w:cs="Times New Roman"/>
          <w:lang w:eastAsia="sk-SK"/>
        </w:rPr>
        <w:t xml:space="preserve">, plnenie prevažnej väčšiny z nich </w:t>
      </w:r>
      <w:r w:rsidR="00647692">
        <w:rPr>
          <w:rFonts w:ascii="Times New Roman" w:eastAsia="Times New Roman" w:hAnsi="Times New Roman" w:cs="Times New Roman"/>
          <w:lang w:eastAsia="sk-SK"/>
        </w:rPr>
        <w:t xml:space="preserve">hodnotia </w:t>
      </w:r>
      <w:r>
        <w:rPr>
          <w:rFonts w:ascii="Times New Roman" w:eastAsia="Times New Roman" w:hAnsi="Times New Roman" w:cs="Times New Roman"/>
          <w:lang w:eastAsia="sk-SK"/>
        </w:rPr>
        <w:t xml:space="preserve">kladne. </w:t>
      </w:r>
    </w:p>
    <w:p w:rsidR="00D85425" w:rsidRDefault="00D85425" w:rsidP="00D85425">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Záporne bola zhodnotená len jedna úloha (z 12) na úseku školstva.</w:t>
      </w:r>
    </w:p>
    <w:p w:rsidR="0026105C" w:rsidRDefault="0026105C" w:rsidP="00D85425">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V rámci prípravy súhrnnej správy bola vykonaná analýza, do akej miery je rezortné vnímanie kvality objektivizovateľné pomocou merateľných ukazovateľov kvality. Výsledky uvádza tabuľka nižšie:</w:t>
      </w:r>
    </w:p>
    <w:p w:rsidR="004B3CA1" w:rsidRPr="004B3CA1" w:rsidRDefault="004B3CA1" w:rsidP="004B3CA1">
      <w:pPr>
        <w:spacing w:before="120" w:after="60" w:line="240" w:lineRule="auto"/>
        <w:jc w:val="center"/>
        <w:rPr>
          <w:rFonts w:ascii="Times New Roman" w:eastAsia="Times New Roman" w:hAnsi="Times New Roman" w:cs="Times New Roman"/>
          <w:sz w:val="16"/>
          <w:szCs w:val="16"/>
          <w:lang w:eastAsia="sk-SK"/>
        </w:rPr>
      </w:pPr>
      <w:r>
        <w:rPr>
          <w:rFonts w:ascii="Times New Roman" w:eastAsia="Times New Roman" w:hAnsi="Times New Roman" w:cs="Times New Roman"/>
          <w:b/>
          <w:sz w:val="16"/>
          <w:szCs w:val="16"/>
          <w:lang w:eastAsia="sk-SK"/>
        </w:rPr>
        <w:t>Tabuľka 8</w:t>
      </w:r>
      <w:r w:rsidR="00B4425E">
        <w:rPr>
          <w:rFonts w:ascii="Times New Roman" w:eastAsia="Times New Roman" w:hAnsi="Times New Roman" w:cs="Times New Roman"/>
          <w:b/>
          <w:sz w:val="16"/>
          <w:szCs w:val="16"/>
          <w:lang w:eastAsia="sk-SK"/>
        </w:rPr>
        <w:t>:</w:t>
      </w:r>
      <w:r w:rsidRPr="004B3CA1">
        <w:rPr>
          <w:rFonts w:ascii="Times New Roman" w:eastAsia="Times New Roman" w:hAnsi="Times New Roman" w:cs="Times New Roman"/>
          <w:sz w:val="16"/>
          <w:szCs w:val="16"/>
          <w:lang w:eastAsia="sk-SK"/>
        </w:rPr>
        <w:t xml:space="preserve"> </w:t>
      </w:r>
      <w:r w:rsidR="00A04E37">
        <w:rPr>
          <w:rFonts w:ascii="Times New Roman" w:eastAsia="Times New Roman" w:hAnsi="Times New Roman" w:cs="Times New Roman"/>
          <w:sz w:val="16"/>
          <w:szCs w:val="16"/>
          <w:lang w:eastAsia="sk-SK"/>
        </w:rPr>
        <w:t>Zhodnotenie r</w:t>
      </w:r>
      <w:r w:rsidRPr="004B3CA1">
        <w:rPr>
          <w:rFonts w:ascii="Times New Roman" w:eastAsia="Times New Roman" w:hAnsi="Times New Roman" w:cs="Times New Roman"/>
          <w:sz w:val="16"/>
          <w:szCs w:val="16"/>
          <w:lang w:eastAsia="sk-SK"/>
        </w:rPr>
        <w:t>ezortné</w:t>
      </w:r>
      <w:r w:rsidR="00A04E37">
        <w:rPr>
          <w:rFonts w:ascii="Times New Roman" w:eastAsia="Times New Roman" w:hAnsi="Times New Roman" w:cs="Times New Roman"/>
          <w:sz w:val="16"/>
          <w:szCs w:val="16"/>
          <w:lang w:eastAsia="sk-SK"/>
        </w:rPr>
        <w:t>ho vnímania</w:t>
      </w:r>
      <w:r w:rsidRPr="004B3CA1">
        <w:rPr>
          <w:rFonts w:ascii="Times New Roman" w:eastAsia="Times New Roman" w:hAnsi="Times New Roman" w:cs="Times New Roman"/>
          <w:sz w:val="16"/>
          <w:szCs w:val="16"/>
          <w:lang w:eastAsia="sk-SK"/>
        </w:rPr>
        <w:t xml:space="preserve"> kvality </w:t>
      </w:r>
      <w:r w:rsidR="00A04E37">
        <w:rPr>
          <w:rFonts w:ascii="Times New Roman" w:eastAsia="Times New Roman" w:hAnsi="Times New Roman" w:cs="Times New Roman"/>
          <w:sz w:val="16"/>
          <w:szCs w:val="16"/>
          <w:lang w:eastAsia="sk-SK"/>
        </w:rPr>
        <w:t>výkonu pôsobností prenesených na samosprávne kraje</w:t>
      </w:r>
      <w:r w:rsidR="00B26489">
        <w:rPr>
          <w:rFonts w:ascii="Times New Roman" w:eastAsia="Times New Roman" w:hAnsi="Times New Roman" w:cs="Times New Roman"/>
          <w:sz w:val="16"/>
          <w:szCs w:val="16"/>
          <w:lang w:eastAsia="sk-SK"/>
        </w:rPr>
        <w:t xml:space="preserve"> podľa úsekov</w:t>
      </w:r>
    </w:p>
    <w:tbl>
      <w:tblPr>
        <w:tblW w:w="9609" w:type="dxa"/>
        <w:tblInd w:w="55" w:type="dxa"/>
        <w:tblCellMar>
          <w:left w:w="70" w:type="dxa"/>
          <w:right w:w="70" w:type="dxa"/>
        </w:tblCellMar>
        <w:tblLook w:val="04A0" w:firstRow="1" w:lastRow="0" w:firstColumn="1" w:lastColumn="0" w:noHBand="0" w:noVBand="1"/>
      </w:tblPr>
      <w:tblGrid>
        <w:gridCol w:w="1716"/>
        <w:gridCol w:w="2717"/>
        <w:gridCol w:w="760"/>
        <w:gridCol w:w="1000"/>
        <w:gridCol w:w="1370"/>
        <w:gridCol w:w="1023"/>
        <w:gridCol w:w="1023"/>
      </w:tblGrid>
      <w:tr w:rsidR="00642E5F" w:rsidRPr="008C2727" w:rsidTr="00C568EF">
        <w:trPr>
          <w:cantSplit/>
          <w:trHeight w:val="1117"/>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E5F" w:rsidRPr="00EA6438" w:rsidRDefault="00C568EF" w:rsidP="003E1A4A">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m</w:t>
            </w:r>
            <w:r w:rsidR="00EA6438" w:rsidRPr="00EA6438">
              <w:rPr>
                <w:rFonts w:ascii="Times New Roman" w:eastAsia="Times New Roman" w:hAnsi="Times New Roman" w:cs="Times New Roman"/>
                <w:bCs/>
                <w:color w:val="000000"/>
                <w:sz w:val="18"/>
                <w:szCs w:val="18"/>
                <w:lang w:eastAsia="sk-SK"/>
              </w:rPr>
              <w:t>inisterstv</w:t>
            </w:r>
            <w:r w:rsidR="003E1A4A">
              <w:rPr>
                <w:rFonts w:ascii="Times New Roman" w:eastAsia="Times New Roman" w:hAnsi="Times New Roman" w:cs="Times New Roman"/>
                <w:bCs/>
                <w:color w:val="000000"/>
                <w:sz w:val="18"/>
                <w:szCs w:val="18"/>
                <w:lang w:eastAsia="sk-SK"/>
              </w:rPr>
              <w:t>á</w:t>
            </w:r>
          </w:p>
        </w:tc>
        <w:tc>
          <w:tcPr>
            <w:tcW w:w="4085" w:type="dxa"/>
            <w:tcBorders>
              <w:top w:val="single" w:sz="4" w:space="0" w:color="auto"/>
              <w:left w:val="nil"/>
              <w:bottom w:val="single" w:sz="4" w:space="0" w:color="auto"/>
              <w:right w:val="single" w:sz="4" w:space="0" w:color="auto"/>
            </w:tcBorders>
            <w:vAlign w:val="center"/>
          </w:tcPr>
          <w:p w:rsidR="00642E5F" w:rsidRPr="00EA6438" w:rsidRDefault="00EA6438" w:rsidP="00C568EF">
            <w:pPr>
              <w:keepNext/>
              <w:spacing w:after="0" w:line="240" w:lineRule="auto"/>
              <w:rPr>
                <w:rFonts w:ascii="Times New Roman" w:eastAsia="Times New Roman" w:hAnsi="Times New Roman" w:cs="Times New Roman"/>
                <w:bCs/>
                <w:color w:val="000000"/>
                <w:sz w:val="18"/>
                <w:szCs w:val="18"/>
                <w:lang w:eastAsia="sk-SK"/>
              </w:rPr>
            </w:pPr>
            <w:r w:rsidRPr="00EA6438">
              <w:rPr>
                <w:rFonts w:ascii="Times New Roman" w:eastAsia="Times New Roman" w:hAnsi="Times New Roman" w:cs="Times New Roman"/>
                <w:bCs/>
                <w:color w:val="000000"/>
                <w:sz w:val="18"/>
                <w:szCs w:val="18"/>
                <w:lang w:eastAsia="sk-SK"/>
              </w:rPr>
              <w:t>úsek</w:t>
            </w:r>
            <w:r w:rsidR="003E1A4A">
              <w:rPr>
                <w:rFonts w:ascii="Times New Roman" w:eastAsia="Times New Roman" w:hAnsi="Times New Roman" w:cs="Times New Roman"/>
                <w:bCs/>
                <w:color w:val="000000"/>
                <w:sz w:val="18"/>
                <w:szCs w:val="18"/>
                <w:lang w:eastAsia="sk-SK"/>
              </w:rPr>
              <w:t>y</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2E5F" w:rsidRPr="00EA6438" w:rsidRDefault="00C568EF" w:rsidP="00C568EF">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42E5F" w:rsidRPr="00EA6438">
              <w:rPr>
                <w:rFonts w:ascii="Times New Roman" w:eastAsia="Times New Roman" w:hAnsi="Times New Roman" w:cs="Times New Roman"/>
                <w:bCs/>
                <w:color w:val="000000"/>
                <w:sz w:val="18"/>
                <w:szCs w:val="18"/>
                <w:lang w:eastAsia="sk-SK"/>
              </w:rPr>
              <w:t>očet úloh podľa katalógu</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642E5F" w:rsidRPr="00EA6438" w:rsidRDefault="00C568EF" w:rsidP="00C568EF">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42E5F" w:rsidRPr="00EA6438">
              <w:rPr>
                <w:rFonts w:ascii="Times New Roman" w:eastAsia="Times New Roman" w:hAnsi="Times New Roman" w:cs="Times New Roman"/>
                <w:bCs/>
                <w:color w:val="000000"/>
                <w:sz w:val="18"/>
                <w:szCs w:val="18"/>
                <w:lang w:eastAsia="sk-SK"/>
              </w:rPr>
              <w:t>odiel úloh s kladným slovným hodnotením</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642E5F" w:rsidRPr="00EA6438" w:rsidRDefault="00C568EF" w:rsidP="00C568EF">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42E5F" w:rsidRPr="00EA6438">
              <w:rPr>
                <w:rFonts w:ascii="Times New Roman" w:eastAsia="Times New Roman" w:hAnsi="Times New Roman" w:cs="Times New Roman"/>
                <w:bCs/>
                <w:color w:val="000000"/>
                <w:sz w:val="18"/>
                <w:szCs w:val="18"/>
                <w:lang w:eastAsia="sk-SK"/>
              </w:rPr>
              <w:t>odiel úloh s kvantifikovaným ukazovateľom kvality</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42E5F" w:rsidRPr="00EA6438" w:rsidRDefault="00C568EF" w:rsidP="00C568EF">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42E5F" w:rsidRPr="00EA6438">
              <w:rPr>
                <w:rFonts w:ascii="Times New Roman" w:eastAsia="Times New Roman" w:hAnsi="Times New Roman" w:cs="Times New Roman"/>
                <w:bCs/>
                <w:color w:val="000000"/>
                <w:sz w:val="18"/>
                <w:szCs w:val="18"/>
                <w:lang w:eastAsia="sk-SK"/>
              </w:rPr>
              <w:t>odiel úloh s vhodným zostavením ukazovateľa kvality</w:t>
            </w:r>
            <w:r>
              <w:rPr>
                <w:rFonts w:ascii="Times New Roman" w:eastAsia="Times New Roman" w:hAnsi="Times New Roman" w:cs="Times New Roman"/>
                <w:bCs/>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642E5F" w:rsidRPr="00EA6438" w:rsidRDefault="00C568EF" w:rsidP="00C568EF">
            <w:pPr>
              <w:keepNext/>
              <w:spacing w:after="0" w:line="240" w:lineRule="auto"/>
              <w:rPr>
                <w:rFonts w:ascii="Times New Roman" w:eastAsia="Times New Roman" w:hAnsi="Times New Roman" w:cs="Times New Roman"/>
                <w:bCs/>
                <w:color w:val="000000"/>
                <w:sz w:val="18"/>
                <w:szCs w:val="18"/>
                <w:lang w:eastAsia="sk-SK"/>
              </w:rPr>
            </w:pPr>
            <w:r>
              <w:rPr>
                <w:rFonts w:ascii="Times New Roman" w:eastAsia="Times New Roman" w:hAnsi="Times New Roman" w:cs="Times New Roman"/>
                <w:bCs/>
                <w:color w:val="000000"/>
                <w:sz w:val="18"/>
                <w:szCs w:val="18"/>
                <w:lang w:eastAsia="sk-SK"/>
              </w:rPr>
              <w:t>p</w:t>
            </w:r>
            <w:r w:rsidR="00642E5F" w:rsidRPr="00EA6438">
              <w:rPr>
                <w:rFonts w:ascii="Times New Roman" w:eastAsia="Times New Roman" w:hAnsi="Times New Roman" w:cs="Times New Roman"/>
                <w:bCs/>
                <w:color w:val="000000"/>
                <w:sz w:val="18"/>
                <w:szCs w:val="18"/>
                <w:lang w:eastAsia="sk-SK"/>
              </w:rPr>
              <w:t>odiel úloh s kladným výsledkom ukazovateľa kvality</w:t>
            </w:r>
            <w:r>
              <w:rPr>
                <w:rFonts w:ascii="Times New Roman" w:eastAsia="Times New Roman" w:hAnsi="Times New Roman" w:cs="Times New Roman"/>
                <w:bCs/>
                <w:color w:val="000000"/>
                <w:sz w:val="18"/>
                <w:szCs w:val="18"/>
                <w:lang w:eastAsia="sk-SK"/>
              </w:rPr>
              <w:t>**</w:t>
            </w:r>
          </w:p>
        </w:tc>
      </w:tr>
      <w:tr w:rsidR="00642E5F" w:rsidRPr="008C2727" w:rsidTr="00EA6438">
        <w:trPr>
          <w:trHeight w:val="204"/>
        </w:trPr>
        <w:tc>
          <w:tcPr>
            <w:tcW w:w="1716" w:type="dxa"/>
            <w:tcBorders>
              <w:top w:val="nil"/>
              <w:left w:val="single" w:sz="4" w:space="0" w:color="auto"/>
              <w:bottom w:val="single" w:sz="4" w:space="0" w:color="auto"/>
              <w:right w:val="single" w:sz="4" w:space="0" w:color="auto"/>
            </w:tcBorders>
            <w:shd w:val="clear" w:color="auto" w:fill="auto"/>
            <w:hideMark/>
          </w:tcPr>
          <w:p w:rsidR="00642E5F" w:rsidRPr="008C2727" w:rsidRDefault="00642E5F" w:rsidP="003A70EC">
            <w:pPr>
              <w:keepNext/>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a</w:t>
            </w:r>
          </w:p>
        </w:tc>
        <w:tc>
          <w:tcPr>
            <w:tcW w:w="4085" w:type="dxa"/>
            <w:tcBorders>
              <w:top w:val="nil"/>
              <w:left w:val="nil"/>
              <w:bottom w:val="single" w:sz="4" w:space="0" w:color="auto"/>
              <w:right w:val="single" w:sz="4" w:space="0" w:color="auto"/>
            </w:tcBorders>
          </w:tcPr>
          <w:p w:rsidR="00642E5F" w:rsidRPr="008C2727" w:rsidRDefault="00642E5F" w:rsidP="0056546C">
            <w:pPr>
              <w:keepNext/>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b</w:t>
            </w:r>
          </w:p>
        </w:tc>
        <w:tc>
          <w:tcPr>
            <w:tcW w:w="718" w:type="dxa"/>
            <w:tcBorders>
              <w:top w:val="nil"/>
              <w:left w:val="single" w:sz="4" w:space="0" w:color="auto"/>
              <w:bottom w:val="single" w:sz="4" w:space="0" w:color="auto"/>
              <w:right w:val="single" w:sz="4" w:space="0" w:color="auto"/>
            </w:tcBorders>
            <w:shd w:val="clear" w:color="auto" w:fill="auto"/>
          </w:tcPr>
          <w:p w:rsidR="00642E5F" w:rsidRPr="008C2727" w:rsidRDefault="00642E5F" w:rsidP="0056546C">
            <w:pPr>
              <w:keepNext/>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c</w:t>
            </w:r>
          </w:p>
        </w:tc>
        <w:tc>
          <w:tcPr>
            <w:tcW w:w="785" w:type="dxa"/>
            <w:tcBorders>
              <w:top w:val="nil"/>
              <w:left w:val="nil"/>
              <w:bottom w:val="single" w:sz="4" w:space="0" w:color="auto"/>
              <w:right w:val="single" w:sz="4" w:space="0" w:color="auto"/>
            </w:tcBorders>
            <w:shd w:val="clear" w:color="auto" w:fill="auto"/>
          </w:tcPr>
          <w:p w:rsidR="00642E5F" w:rsidRPr="008C2727" w:rsidRDefault="00642E5F" w:rsidP="0056546C">
            <w:pPr>
              <w:keepNext/>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d</w:t>
            </w:r>
          </w:p>
        </w:tc>
        <w:tc>
          <w:tcPr>
            <w:tcW w:w="785" w:type="dxa"/>
            <w:tcBorders>
              <w:top w:val="nil"/>
              <w:left w:val="nil"/>
              <w:bottom w:val="single" w:sz="4" w:space="0" w:color="auto"/>
              <w:right w:val="single" w:sz="4" w:space="0" w:color="auto"/>
            </w:tcBorders>
            <w:shd w:val="clear" w:color="auto" w:fill="auto"/>
          </w:tcPr>
          <w:p w:rsidR="00642E5F" w:rsidRPr="008C2727" w:rsidRDefault="00642E5F" w:rsidP="0056546C">
            <w:pPr>
              <w:keepNext/>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e</w:t>
            </w:r>
          </w:p>
        </w:tc>
        <w:tc>
          <w:tcPr>
            <w:tcW w:w="760" w:type="dxa"/>
            <w:tcBorders>
              <w:top w:val="nil"/>
              <w:left w:val="nil"/>
              <w:bottom w:val="single" w:sz="4" w:space="0" w:color="auto"/>
              <w:right w:val="single" w:sz="4" w:space="0" w:color="auto"/>
            </w:tcBorders>
            <w:shd w:val="clear" w:color="auto" w:fill="auto"/>
          </w:tcPr>
          <w:p w:rsidR="00642E5F" w:rsidRPr="008C2727" w:rsidRDefault="00642E5F" w:rsidP="0056546C">
            <w:pPr>
              <w:keepNext/>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f</w:t>
            </w:r>
          </w:p>
        </w:tc>
        <w:tc>
          <w:tcPr>
            <w:tcW w:w="760" w:type="dxa"/>
            <w:tcBorders>
              <w:top w:val="nil"/>
              <w:left w:val="nil"/>
              <w:bottom w:val="single" w:sz="4" w:space="0" w:color="auto"/>
              <w:right w:val="single" w:sz="4" w:space="0" w:color="auto"/>
            </w:tcBorders>
            <w:shd w:val="clear" w:color="auto" w:fill="auto"/>
          </w:tcPr>
          <w:p w:rsidR="00642E5F" w:rsidRPr="008C2727" w:rsidRDefault="00642E5F" w:rsidP="003A70EC">
            <w:pPr>
              <w:keepNext/>
              <w:spacing w:after="0" w:line="240" w:lineRule="auto"/>
              <w:jc w:val="center"/>
              <w:rPr>
                <w:rFonts w:ascii="Times New Roman" w:eastAsia="Times New Roman" w:hAnsi="Times New Roman" w:cs="Times New Roman"/>
                <w:i/>
                <w:iCs/>
                <w:color w:val="000000"/>
                <w:sz w:val="18"/>
                <w:szCs w:val="18"/>
                <w:lang w:eastAsia="sk-SK"/>
              </w:rPr>
            </w:pPr>
            <w:r w:rsidRPr="008C2727">
              <w:rPr>
                <w:rFonts w:ascii="Times New Roman" w:eastAsia="Times New Roman" w:hAnsi="Times New Roman" w:cs="Times New Roman"/>
                <w:i/>
                <w:iCs/>
                <w:color w:val="000000"/>
                <w:sz w:val="18"/>
                <w:szCs w:val="18"/>
                <w:lang w:eastAsia="sk-SK"/>
              </w:rPr>
              <w:t>g</w:t>
            </w:r>
          </w:p>
        </w:tc>
      </w:tr>
      <w:tr w:rsidR="00642E5F" w:rsidRPr="008C2727" w:rsidTr="00EA6438">
        <w:trPr>
          <w:trHeight w:val="204"/>
        </w:trPr>
        <w:tc>
          <w:tcPr>
            <w:tcW w:w="1716" w:type="dxa"/>
            <w:tcBorders>
              <w:top w:val="nil"/>
              <w:left w:val="single" w:sz="4" w:space="0" w:color="auto"/>
              <w:bottom w:val="single" w:sz="4" w:space="0" w:color="auto"/>
              <w:right w:val="single" w:sz="4" w:space="0" w:color="auto"/>
            </w:tcBorders>
            <w:shd w:val="clear" w:color="auto" w:fill="auto"/>
          </w:tcPr>
          <w:p w:rsidR="00642E5F" w:rsidRPr="008C2727" w:rsidRDefault="00642E5F"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MDVRR SR</w:t>
            </w:r>
          </w:p>
        </w:tc>
        <w:tc>
          <w:tcPr>
            <w:tcW w:w="4085" w:type="dxa"/>
            <w:tcBorders>
              <w:top w:val="nil"/>
              <w:left w:val="nil"/>
              <w:bottom w:val="single" w:sz="4" w:space="0" w:color="auto"/>
              <w:right w:val="single" w:sz="4" w:space="0" w:color="auto"/>
            </w:tcBorders>
          </w:tcPr>
          <w:p w:rsidR="00642E5F" w:rsidRPr="008C2727" w:rsidRDefault="00642E5F"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dráh</w:t>
            </w:r>
          </w:p>
        </w:tc>
        <w:tc>
          <w:tcPr>
            <w:tcW w:w="718" w:type="dxa"/>
            <w:tcBorders>
              <w:top w:val="nil"/>
              <w:left w:val="single" w:sz="4" w:space="0" w:color="auto"/>
              <w:bottom w:val="single" w:sz="4" w:space="0" w:color="auto"/>
              <w:right w:val="single" w:sz="4" w:space="0" w:color="auto"/>
            </w:tcBorders>
            <w:shd w:val="clear" w:color="auto" w:fill="auto"/>
            <w:hideMark/>
          </w:tcPr>
          <w:p w:rsidR="00642E5F" w:rsidRPr="008C2727" w:rsidRDefault="00642E5F" w:rsidP="00617C02">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11</w:t>
            </w:r>
          </w:p>
        </w:tc>
        <w:tc>
          <w:tcPr>
            <w:tcW w:w="785" w:type="dxa"/>
            <w:tcBorders>
              <w:top w:val="nil"/>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c>
          <w:tcPr>
            <w:tcW w:w="785" w:type="dxa"/>
            <w:tcBorders>
              <w:top w:val="nil"/>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c>
          <w:tcPr>
            <w:tcW w:w="760" w:type="dxa"/>
            <w:tcBorders>
              <w:top w:val="nil"/>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c>
          <w:tcPr>
            <w:tcW w:w="760" w:type="dxa"/>
            <w:tcBorders>
              <w:top w:val="nil"/>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r>
      <w:tr w:rsidR="00642E5F" w:rsidRPr="008C2727" w:rsidTr="00EA6438">
        <w:trPr>
          <w:trHeight w:val="204"/>
        </w:trPr>
        <w:tc>
          <w:tcPr>
            <w:tcW w:w="1716" w:type="dxa"/>
            <w:tcBorders>
              <w:top w:val="single" w:sz="4" w:space="0" w:color="auto"/>
              <w:left w:val="single" w:sz="4" w:space="0" w:color="auto"/>
              <w:bottom w:val="single" w:sz="4" w:space="0" w:color="auto"/>
              <w:right w:val="single" w:sz="4" w:space="0" w:color="auto"/>
            </w:tcBorders>
            <w:shd w:val="clear" w:color="auto" w:fill="auto"/>
          </w:tcPr>
          <w:p w:rsidR="00642E5F" w:rsidRPr="008C2727" w:rsidRDefault="00642E5F"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MH SR</w:t>
            </w:r>
          </w:p>
        </w:tc>
        <w:tc>
          <w:tcPr>
            <w:tcW w:w="4085" w:type="dxa"/>
            <w:tcBorders>
              <w:top w:val="single" w:sz="4" w:space="0" w:color="auto"/>
              <w:left w:val="nil"/>
              <w:bottom w:val="single" w:sz="4" w:space="0" w:color="auto"/>
              <w:right w:val="single" w:sz="4" w:space="0" w:color="auto"/>
            </w:tcBorders>
          </w:tcPr>
          <w:p w:rsidR="00642E5F" w:rsidRPr="008C2727" w:rsidRDefault="00642E5F"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hospodárskej mobilizácie</w:t>
            </w:r>
          </w:p>
        </w:tc>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642E5F" w:rsidRPr="008C2727" w:rsidRDefault="00642E5F" w:rsidP="00617C02">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3</w:t>
            </w:r>
          </w:p>
        </w:tc>
        <w:tc>
          <w:tcPr>
            <w:tcW w:w="785" w:type="dxa"/>
            <w:tcBorders>
              <w:top w:val="single" w:sz="4" w:space="0" w:color="auto"/>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100</w:t>
            </w:r>
            <w:r w:rsidR="00642E5F" w:rsidRPr="008C2727">
              <w:rPr>
                <w:rFonts w:ascii="Times New Roman" w:eastAsia="Times New Roman" w:hAnsi="Times New Roman" w:cs="Times New Roman"/>
                <w:color w:val="000000"/>
                <w:sz w:val="18"/>
                <w:szCs w:val="18"/>
                <w:lang w:eastAsia="sk-SK"/>
              </w:rPr>
              <w:t>%</w:t>
            </w:r>
          </w:p>
        </w:tc>
        <w:tc>
          <w:tcPr>
            <w:tcW w:w="785" w:type="dxa"/>
            <w:tcBorders>
              <w:top w:val="single" w:sz="4" w:space="0" w:color="auto"/>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r>
      <w:tr w:rsidR="00642E5F" w:rsidRPr="008C2727" w:rsidTr="00EA6438">
        <w:trPr>
          <w:trHeight w:val="192"/>
        </w:trPr>
        <w:tc>
          <w:tcPr>
            <w:tcW w:w="1716" w:type="dxa"/>
            <w:tcBorders>
              <w:top w:val="single" w:sz="4" w:space="0" w:color="auto"/>
              <w:left w:val="single" w:sz="4" w:space="0" w:color="auto"/>
              <w:bottom w:val="single" w:sz="4" w:space="0" w:color="auto"/>
              <w:right w:val="single" w:sz="4" w:space="0" w:color="auto"/>
            </w:tcBorders>
            <w:shd w:val="clear" w:color="auto" w:fill="auto"/>
          </w:tcPr>
          <w:p w:rsidR="00642E5F" w:rsidRPr="008C2727" w:rsidRDefault="00D50484" w:rsidP="00617C02">
            <w:pPr>
              <w:spacing w:after="0" w:line="240" w:lineRule="auto"/>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MŠVV</w:t>
            </w:r>
            <w:r w:rsidR="00642E5F" w:rsidRPr="008C2727">
              <w:rPr>
                <w:rFonts w:ascii="Times New Roman" w:eastAsia="Times New Roman" w:hAnsi="Times New Roman" w:cs="Times New Roman"/>
                <w:color w:val="000000"/>
                <w:sz w:val="18"/>
                <w:szCs w:val="18"/>
                <w:lang w:eastAsia="sk-SK"/>
              </w:rPr>
              <w:t>Š SR</w:t>
            </w:r>
          </w:p>
        </w:tc>
        <w:tc>
          <w:tcPr>
            <w:tcW w:w="4085" w:type="dxa"/>
            <w:tcBorders>
              <w:top w:val="single" w:sz="4" w:space="0" w:color="auto"/>
              <w:left w:val="nil"/>
              <w:bottom w:val="single" w:sz="4" w:space="0" w:color="auto"/>
              <w:right w:val="single" w:sz="4" w:space="0" w:color="auto"/>
            </w:tcBorders>
          </w:tcPr>
          <w:p w:rsidR="00642E5F" w:rsidRPr="008C2727" w:rsidRDefault="00642E5F"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školstva (zriaďovateľská pôsobnosť vo vzťahu k stredným školám a strediskám praktického vyučovania)</w:t>
            </w:r>
          </w:p>
        </w:tc>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642E5F" w:rsidRPr="008C2727" w:rsidRDefault="00642E5F" w:rsidP="00230406">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1</w:t>
            </w:r>
            <w:r w:rsidR="00230406">
              <w:rPr>
                <w:rFonts w:ascii="Times New Roman" w:eastAsia="Times New Roman" w:hAnsi="Times New Roman" w:cs="Times New Roman"/>
                <w:color w:val="000000"/>
                <w:sz w:val="18"/>
                <w:szCs w:val="18"/>
                <w:lang w:eastAsia="sk-SK"/>
              </w:rPr>
              <w:t>0</w:t>
            </w:r>
          </w:p>
        </w:tc>
        <w:tc>
          <w:tcPr>
            <w:tcW w:w="785" w:type="dxa"/>
            <w:tcBorders>
              <w:top w:val="single" w:sz="4" w:space="0" w:color="auto"/>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90</w:t>
            </w:r>
            <w:r w:rsidR="00642E5F" w:rsidRPr="008C2727">
              <w:rPr>
                <w:rFonts w:ascii="Times New Roman" w:eastAsia="Times New Roman" w:hAnsi="Times New Roman" w:cs="Times New Roman"/>
                <w:color w:val="000000"/>
                <w:sz w:val="18"/>
                <w:szCs w:val="18"/>
                <w:lang w:eastAsia="sk-SK"/>
              </w:rPr>
              <w:t>%</w:t>
            </w:r>
          </w:p>
        </w:tc>
        <w:tc>
          <w:tcPr>
            <w:tcW w:w="785" w:type="dxa"/>
            <w:tcBorders>
              <w:top w:val="single" w:sz="4" w:space="0" w:color="auto"/>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100</w:t>
            </w:r>
            <w:r w:rsidR="00642E5F"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42E5F"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42E5F" w:rsidRPr="008C2727" w:rsidRDefault="00637248"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90</w:t>
            </w:r>
            <w:r w:rsidR="00642E5F" w:rsidRPr="008C2727">
              <w:rPr>
                <w:rFonts w:ascii="Times New Roman" w:eastAsia="Times New Roman" w:hAnsi="Times New Roman" w:cs="Times New Roman"/>
                <w:color w:val="000000"/>
                <w:sz w:val="18"/>
                <w:szCs w:val="18"/>
                <w:lang w:eastAsia="sk-SK"/>
              </w:rPr>
              <w:t>%</w:t>
            </w:r>
          </w:p>
        </w:tc>
      </w:tr>
      <w:tr w:rsidR="00617C02" w:rsidRPr="008C2727" w:rsidTr="00EA6438">
        <w:trPr>
          <w:trHeight w:val="408"/>
        </w:trPr>
        <w:tc>
          <w:tcPr>
            <w:tcW w:w="1716" w:type="dxa"/>
            <w:vMerge w:val="restart"/>
            <w:tcBorders>
              <w:top w:val="single" w:sz="4" w:space="0" w:color="auto"/>
              <w:left w:val="single" w:sz="4" w:space="0" w:color="auto"/>
              <w:right w:val="single" w:sz="4" w:space="0" w:color="auto"/>
            </w:tcBorders>
            <w:shd w:val="clear" w:color="auto" w:fill="auto"/>
          </w:tcPr>
          <w:p w:rsidR="00617C02" w:rsidRPr="008C2727" w:rsidRDefault="00617C02"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MZ SR</w:t>
            </w:r>
          </w:p>
        </w:tc>
        <w:tc>
          <w:tcPr>
            <w:tcW w:w="4085" w:type="dxa"/>
            <w:tcBorders>
              <w:top w:val="single" w:sz="4" w:space="0" w:color="auto"/>
              <w:left w:val="nil"/>
              <w:bottom w:val="single" w:sz="4" w:space="0" w:color="auto"/>
              <w:right w:val="single" w:sz="4" w:space="0" w:color="auto"/>
            </w:tcBorders>
          </w:tcPr>
          <w:p w:rsidR="00617C02" w:rsidRPr="008C2727" w:rsidRDefault="00617C02"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zdravotníctva (+ PVŠS pri posudzovaní a kontrole hluku vo vonkajšom prostredí)</w:t>
            </w:r>
          </w:p>
        </w:tc>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617C02" w:rsidRPr="008C2727" w:rsidRDefault="00617C02" w:rsidP="00617C02">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35</w:t>
            </w:r>
          </w:p>
        </w:tc>
        <w:tc>
          <w:tcPr>
            <w:tcW w:w="785"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77</w:t>
            </w:r>
            <w:r w:rsidR="00617C02" w:rsidRPr="008C2727">
              <w:rPr>
                <w:rFonts w:ascii="Times New Roman" w:eastAsia="Times New Roman" w:hAnsi="Times New Roman" w:cs="Times New Roman"/>
                <w:color w:val="000000"/>
                <w:sz w:val="18"/>
                <w:szCs w:val="18"/>
                <w:lang w:eastAsia="sk-SK"/>
              </w:rPr>
              <w:t>%</w:t>
            </w:r>
          </w:p>
        </w:tc>
        <w:tc>
          <w:tcPr>
            <w:tcW w:w="785"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77</w:t>
            </w:r>
            <w:r w:rsidR="00617C02"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17C02"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77</w:t>
            </w:r>
            <w:r w:rsidR="00617C02" w:rsidRPr="008C2727">
              <w:rPr>
                <w:rFonts w:ascii="Times New Roman" w:eastAsia="Times New Roman" w:hAnsi="Times New Roman" w:cs="Times New Roman"/>
                <w:color w:val="000000"/>
                <w:sz w:val="18"/>
                <w:szCs w:val="18"/>
                <w:lang w:eastAsia="sk-SK"/>
              </w:rPr>
              <w:t>%</w:t>
            </w:r>
          </w:p>
        </w:tc>
      </w:tr>
      <w:tr w:rsidR="00617C02" w:rsidRPr="008C2727" w:rsidTr="00EA6438">
        <w:trPr>
          <w:trHeight w:val="408"/>
        </w:trPr>
        <w:tc>
          <w:tcPr>
            <w:tcW w:w="1716" w:type="dxa"/>
            <w:vMerge/>
            <w:tcBorders>
              <w:left w:val="single" w:sz="4" w:space="0" w:color="auto"/>
              <w:bottom w:val="single" w:sz="4" w:space="0" w:color="auto"/>
              <w:right w:val="single" w:sz="4" w:space="0" w:color="auto"/>
            </w:tcBorders>
            <w:shd w:val="clear" w:color="auto" w:fill="auto"/>
          </w:tcPr>
          <w:p w:rsidR="00617C02" w:rsidRPr="008C2727" w:rsidRDefault="00617C02" w:rsidP="00617C02">
            <w:pPr>
              <w:spacing w:after="0" w:line="240" w:lineRule="auto"/>
              <w:rPr>
                <w:rFonts w:ascii="Times New Roman" w:eastAsia="Times New Roman" w:hAnsi="Times New Roman" w:cs="Times New Roman"/>
                <w:color w:val="000000"/>
                <w:sz w:val="18"/>
                <w:szCs w:val="18"/>
                <w:lang w:eastAsia="sk-SK"/>
              </w:rPr>
            </w:pPr>
          </w:p>
        </w:tc>
        <w:tc>
          <w:tcPr>
            <w:tcW w:w="4085" w:type="dxa"/>
            <w:tcBorders>
              <w:top w:val="single" w:sz="4" w:space="0" w:color="auto"/>
              <w:left w:val="nil"/>
              <w:bottom w:val="single" w:sz="4" w:space="0" w:color="auto"/>
              <w:right w:val="single" w:sz="4" w:space="0" w:color="auto"/>
            </w:tcBorders>
          </w:tcPr>
          <w:p w:rsidR="00617C02" w:rsidRPr="008C2727" w:rsidRDefault="00617C02" w:rsidP="00617C02">
            <w:pPr>
              <w:spacing w:after="0" w:line="240" w:lineRule="auto"/>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úsek humánnej farmácie (+ PVŠS na úseku psychotropných a omamných látkach)</w:t>
            </w:r>
          </w:p>
        </w:tc>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617C02" w:rsidRPr="008C2727" w:rsidRDefault="00631CA9"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37</w:t>
            </w:r>
          </w:p>
        </w:tc>
        <w:tc>
          <w:tcPr>
            <w:tcW w:w="785"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17C02" w:rsidRPr="008C2727">
              <w:rPr>
                <w:rFonts w:ascii="Times New Roman" w:eastAsia="Times New Roman" w:hAnsi="Times New Roman" w:cs="Times New Roman"/>
                <w:color w:val="000000"/>
                <w:sz w:val="18"/>
                <w:szCs w:val="18"/>
                <w:lang w:eastAsia="sk-SK"/>
              </w:rPr>
              <w:t>%</w:t>
            </w:r>
          </w:p>
        </w:tc>
        <w:tc>
          <w:tcPr>
            <w:tcW w:w="785"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17C02"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17C02"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hideMark/>
          </w:tcPr>
          <w:p w:rsidR="00617C02" w:rsidRPr="008C2727" w:rsidRDefault="00EB37FE" w:rsidP="00617C02">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17C02" w:rsidRPr="008C2727">
              <w:rPr>
                <w:rFonts w:ascii="Times New Roman" w:eastAsia="Times New Roman" w:hAnsi="Times New Roman" w:cs="Times New Roman"/>
                <w:color w:val="000000"/>
                <w:sz w:val="18"/>
                <w:szCs w:val="18"/>
                <w:lang w:eastAsia="sk-SK"/>
              </w:rPr>
              <w:t>%</w:t>
            </w:r>
          </w:p>
        </w:tc>
      </w:tr>
      <w:tr w:rsidR="00642E5F" w:rsidRPr="008C2727" w:rsidTr="00EA6438">
        <w:trPr>
          <w:trHeight w:val="204"/>
        </w:trPr>
        <w:tc>
          <w:tcPr>
            <w:tcW w:w="1716" w:type="dxa"/>
            <w:tcBorders>
              <w:top w:val="single" w:sz="4" w:space="0" w:color="auto"/>
              <w:left w:val="nil"/>
              <w:bottom w:val="nil"/>
              <w:right w:val="nil"/>
            </w:tcBorders>
            <w:shd w:val="clear" w:color="auto" w:fill="auto"/>
            <w:noWrap/>
            <w:vAlign w:val="bottom"/>
            <w:hideMark/>
          </w:tcPr>
          <w:p w:rsidR="00642E5F" w:rsidRPr="008C2727" w:rsidRDefault="00642E5F" w:rsidP="003A70EC">
            <w:pPr>
              <w:spacing w:after="0" w:line="240" w:lineRule="auto"/>
              <w:rPr>
                <w:rFonts w:ascii="Times New Roman" w:eastAsia="Times New Roman" w:hAnsi="Times New Roman" w:cs="Times New Roman"/>
                <w:color w:val="000000"/>
                <w:sz w:val="18"/>
                <w:szCs w:val="18"/>
                <w:lang w:eastAsia="sk-SK"/>
              </w:rPr>
            </w:pPr>
          </w:p>
        </w:tc>
        <w:tc>
          <w:tcPr>
            <w:tcW w:w="4085" w:type="dxa"/>
            <w:tcBorders>
              <w:top w:val="single" w:sz="4" w:space="0" w:color="auto"/>
              <w:left w:val="single" w:sz="4" w:space="0" w:color="auto"/>
              <w:bottom w:val="single" w:sz="4" w:space="0" w:color="auto"/>
              <w:right w:val="single" w:sz="4" w:space="0" w:color="auto"/>
            </w:tcBorders>
          </w:tcPr>
          <w:p w:rsidR="00642E5F" w:rsidRPr="008C2727" w:rsidRDefault="00642E5F" w:rsidP="00642E5F">
            <w:pPr>
              <w:spacing w:after="0" w:line="240" w:lineRule="auto"/>
              <w:rPr>
                <w:rFonts w:ascii="Times New Roman" w:eastAsia="Times New Roman" w:hAnsi="Times New Roman" w:cs="Times New Roman"/>
                <w:color w:val="000000"/>
                <w:sz w:val="18"/>
                <w:szCs w:val="18"/>
                <w:lang w:eastAsia="sk-SK"/>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2E5F" w:rsidRPr="008C2727" w:rsidRDefault="00642E5F" w:rsidP="00631CA9">
            <w:pPr>
              <w:spacing w:after="0" w:line="240" w:lineRule="auto"/>
              <w:jc w:val="right"/>
              <w:rPr>
                <w:rFonts w:ascii="Times New Roman" w:eastAsia="Times New Roman" w:hAnsi="Times New Roman" w:cs="Times New Roman"/>
                <w:color w:val="000000"/>
                <w:sz w:val="18"/>
                <w:szCs w:val="18"/>
                <w:lang w:eastAsia="sk-SK"/>
              </w:rPr>
            </w:pPr>
            <w:r w:rsidRPr="008C2727">
              <w:rPr>
                <w:rFonts w:ascii="Times New Roman" w:eastAsia="Times New Roman" w:hAnsi="Times New Roman" w:cs="Times New Roman"/>
                <w:color w:val="000000"/>
                <w:sz w:val="18"/>
                <w:szCs w:val="18"/>
                <w:lang w:eastAsia="sk-SK"/>
              </w:rPr>
              <w:t>9</w:t>
            </w:r>
            <w:r w:rsidR="00230406">
              <w:rPr>
                <w:rFonts w:ascii="Times New Roman" w:eastAsia="Times New Roman" w:hAnsi="Times New Roman" w:cs="Times New Roman"/>
                <w:color w:val="000000"/>
                <w:sz w:val="18"/>
                <w:szCs w:val="18"/>
                <w:lang w:eastAsia="sk-SK"/>
              </w:rPr>
              <w:t>6</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642E5F" w:rsidRPr="008C2727" w:rsidRDefault="00E107E9" w:rsidP="00631CA9">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41</w:t>
            </w:r>
            <w:r w:rsidR="00474678">
              <w:rPr>
                <w:rFonts w:ascii="Times New Roman" w:eastAsia="Times New Roman" w:hAnsi="Times New Roman" w:cs="Times New Roman"/>
                <w:color w:val="000000"/>
                <w:sz w:val="18"/>
                <w:szCs w:val="18"/>
                <w:lang w:eastAsia="sk-SK"/>
              </w:rPr>
              <w:t>%</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642E5F" w:rsidRPr="008C2727" w:rsidRDefault="00E107E9" w:rsidP="003A70EC">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39</w:t>
            </w:r>
            <w:r w:rsidR="00637248">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642E5F" w:rsidRPr="008C2727" w:rsidRDefault="00EB37FE" w:rsidP="003A70EC">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0</w:t>
            </w:r>
            <w:r w:rsidR="00642E5F" w:rsidRPr="008C2727">
              <w:rPr>
                <w:rFonts w:ascii="Times New Roman" w:eastAsia="Times New Roman" w:hAnsi="Times New Roman" w:cs="Times New Roman"/>
                <w:color w:val="000000"/>
                <w:sz w:val="18"/>
                <w:szCs w:val="18"/>
                <w:lang w:eastAsia="sk-SK"/>
              </w:rPr>
              <w:t>%</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642E5F" w:rsidRPr="008C2727" w:rsidRDefault="00E107E9" w:rsidP="003A70EC">
            <w:pPr>
              <w:spacing w:after="0" w:line="240" w:lineRule="auto"/>
              <w:jc w:val="right"/>
              <w:rPr>
                <w:rFonts w:ascii="Times New Roman" w:eastAsia="Times New Roman" w:hAnsi="Times New Roman" w:cs="Times New Roman"/>
                <w:color w:val="000000"/>
                <w:sz w:val="18"/>
                <w:szCs w:val="18"/>
                <w:lang w:eastAsia="sk-SK"/>
              </w:rPr>
            </w:pPr>
            <w:r>
              <w:rPr>
                <w:rFonts w:ascii="Times New Roman" w:eastAsia="Times New Roman" w:hAnsi="Times New Roman" w:cs="Times New Roman"/>
                <w:color w:val="000000"/>
                <w:sz w:val="18"/>
                <w:szCs w:val="18"/>
                <w:lang w:eastAsia="sk-SK"/>
              </w:rPr>
              <w:t>38</w:t>
            </w:r>
            <w:r w:rsidR="00637248">
              <w:rPr>
                <w:rFonts w:ascii="Times New Roman" w:eastAsia="Times New Roman" w:hAnsi="Times New Roman" w:cs="Times New Roman"/>
                <w:color w:val="000000"/>
                <w:sz w:val="18"/>
                <w:szCs w:val="18"/>
                <w:lang w:eastAsia="sk-SK"/>
              </w:rPr>
              <w:t>%</w:t>
            </w:r>
          </w:p>
        </w:tc>
      </w:tr>
    </w:tbl>
    <w:p w:rsidR="00C568EF" w:rsidRPr="00E81087" w:rsidRDefault="00C568EF" w:rsidP="00C568EF">
      <w:pPr>
        <w:tabs>
          <w:tab w:val="left" w:pos="284"/>
        </w:tabs>
        <w:spacing w:before="60" w:after="0" w:line="240" w:lineRule="auto"/>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Vysvetlivky</w:t>
      </w:r>
      <w:r w:rsidR="00E81087" w:rsidRPr="00E81087">
        <w:rPr>
          <w:rFonts w:ascii="Times New Roman" w:eastAsia="Times New Roman" w:hAnsi="Times New Roman" w:cs="Times New Roman"/>
          <w:sz w:val="16"/>
          <w:szCs w:val="16"/>
          <w:lang w:eastAsia="cs-CZ"/>
        </w:rPr>
        <w:t xml:space="preserve"> k tabuľke</w:t>
      </w:r>
      <w:r w:rsidRPr="00E81087">
        <w:rPr>
          <w:rFonts w:ascii="Times New Roman" w:eastAsia="Times New Roman" w:hAnsi="Times New Roman" w:cs="Times New Roman"/>
          <w:sz w:val="16"/>
          <w:szCs w:val="16"/>
          <w:lang w:eastAsia="cs-CZ"/>
        </w:rPr>
        <w:t>:</w:t>
      </w:r>
    </w:p>
    <w:p w:rsidR="00C568EF" w:rsidRPr="00E81087" w:rsidRDefault="00C568EF" w:rsidP="00C568EF">
      <w:pPr>
        <w:tabs>
          <w:tab w:val="left" w:pos="284"/>
        </w:tabs>
        <w:spacing w:after="0" w:line="240" w:lineRule="auto"/>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w:t>
      </w:r>
      <w:r w:rsidRPr="00E81087">
        <w:rPr>
          <w:rFonts w:ascii="Times New Roman" w:eastAsia="Times New Roman" w:hAnsi="Times New Roman" w:cs="Times New Roman"/>
          <w:sz w:val="16"/>
          <w:szCs w:val="16"/>
          <w:lang w:eastAsia="cs-CZ"/>
        </w:rPr>
        <w:tab/>
        <w:t>Zostavenie ukazovateľa kvality bolo pre účel tejto analýzy považované za vhodné vtedy, keď ukazovateľ vyjadroval nejaký kvalitatívny aspekt pôsobnosti a jeho definícia bola dostatočná pre jednoznačné vyčíslenie. V rámci prípravy súhrnnej správy nebola posudzovaná vhodnosť ukazovateľa z hľadiska jeho schopnosti komplexne vyjadriť kvalitu plnenia úlohy.</w:t>
      </w:r>
    </w:p>
    <w:p w:rsidR="00C568EF" w:rsidRPr="00E81087" w:rsidRDefault="00C568EF" w:rsidP="00C568EF">
      <w:pPr>
        <w:tabs>
          <w:tab w:val="left" w:pos="284"/>
        </w:tabs>
        <w:spacing w:after="0" w:line="240" w:lineRule="auto"/>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w:t>
      </w:r>
      <w:r w:rsidRPr="00E81087">
        <w:rPr>
          <w:rFonts w:ascii="Times New Roman" w:eastAsia="Times New Roman" w:hAnsi="Times New Roman" w:cs="Times New Roman"/>
          <w:sz w:val="16"/>
          <w:szCs w:val="16"/>
          <w:lang w:eastAsia="cs-CZ"/>
        </w:rPr>
        <w:tab/>
        <w:t>Existuje rozdiel medzi slovným hodnotením kvality a hodnotením kvality použitím ukazovateľa. V stĺpci d boli kladne vykázané úlohy, kde rezort ohodnotil plnenie úlohy kladne, či už použitím ukazovateľa alebo bez neho. V stĺpci g boli kladne vykázané úlohy, kde rezort navrhol ukazovateľ a vykázal jeho hodnotu indikujúcu kladné plnenie.</w:t>
      </w:r>
    </w:p>
    <w:p w:rsidR="00160F31" w:rsidRPr="001153A0" w:rsidRDefault="00160F31" w:rsidP="001153A0">
      <w:pPr>
        <w:keepNext/>
        <w:spacing w:before="120" w:after="0" w:line="240" w:lineRule="auto"/>
        <w:ind w:firstLine="709"/>
        <w:jc w:val="both"/>
        <w:rPr>
          <w:rFonts w:ascii="Times New Roman" w:hAnsi="Times New Roman" w:cs="Times New Roman"/>
          <w:i/>
          <w:u w:val="single"/>
        </w:rPr>
      </w:pPr>
      <w:bookmarkStart w:id="12" w:name="SuhrnneHodnoteniePrenesene"/>
      <w:r w:rsidRPr="001153A0">
        <w:rPr>
          <w:rFonts w:ascii="Times New Roman" w:hAnsi="Times New Roman" w:cs="Times New Roman"/>
          <w:i/>
          <w:u w:val="single"/>
        </w:rPr>
        <w:t xml:space="preserve">Súhrnné </w:t>
      </w:r>
      <w:r w:rsidR="001153A0" w:rsidRPr="001153A0">
        <w:rPr>
          <w:rFonts w:ascii="Times New Roman" w:hAnsi="Times New Roman" w:cs="Times New Roman"/>
          <w:i/>
          <w:u w:val="single"/>
        </w:rPr>
        <w:t>z</w:t>
      </w:r>
      <w:r w:rsidRPr="001153A0">
        <w:rPr>
          <w:rFonts w:ascii="Times New Roman" w:hAnsi="Times New Roman" w:cs="Times New Roman"/>
          <w:i/>
          <w:u w:val="single"/>
        </w:rPr>
        <w:t>hodnotenie kvality výkonu prenesených pôsobností</w:t>
      </w:r>
    </w:p>
    <w:bookmarkEnd w:id="12"/>
    <w:p w:rsidR="00160F31" w:rsidRDefault="0017223A" w:rsidP="0080095D">
      <w:pPr>
        <w:spacing w:before="120" w:after="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S</w:t>
      </w:r>
      <w:r w:rsidR="00160F31">
        <w:rPr>
          <w:rFonts w:ascii="Times New Roman" w:eastAsia="Times New Roman" w:hAnsi="Times New Roman" w:cs="Times New Roman"/>
          <w:lang w:eastAsia="cs-CZ"/>
        </w:rPr>
        <w:t xml:space="preserve">právy </w:t>
      </w:r>
      <w:r>
        <w:rPr>
          <w:rFonts w:ascii="Times New Roman" w:eastAsia="Times New Roman" w:hAnsi="Times New Roman" w:cs="Times New Roman"/>
          <w:lang w:eastAsia="cs-CZ"/>
        </w:rPr>
        <w:t>o audite v časti týkajúcej sa zhodnotenia kvality</w:t>
      </w:r>
      <w:r w:rsidR="00160F31">
        <w:rPr>
          <w:rFonts w:ascii="Times New Roman" w:eastAsia="Times New Roman" w:hAnsi="Times New Roman" w:cs="Times New Roman"/>
          <w:lang w:eastAsia="cs-CZ"/>
        </w:rPr>
        <w:t xml:space="preserve"> vykazujú predovšetkým tieto spoločné črty:</w:t>
      </w:r>
    </w:p>
    <w:p w:rsidR="00CD18E3" w:rsidRPr="00CD18E3" w:rsidRDefault="00160F31" w:rsidP="00CD18E3">
      <w:pPr>
        <w:pStyle w:val="Odsekzoznamu"/>
        <w:numPr>
          <w:ilvl w:val="0"/>
          <w:numId w:val="21"/>
        </w:numPr>
        <w:tabs>
          <w:tab w:val="clear" w:pos="340"/>
        </w:tabs>
        <w:spacing w:before="60" w:after="0" w:line="240" w:lineRule="auto"/>
        <w:ind w:left="426"/>
        <w:jc w:val="both"/>
        <w:rPr>
          <w:rFonts w:ascii="Times New Roman" w:hAnsi="Times New Roman" w:cs="Times New Roman"/>
        </w:rPr>
      </w:pPr>
      <w:r>
        <w:rPr>
          <w:rFonts w:ascii="Times New Roman" w:hAnsi="Times New Roman" w:cs="Times New Roman"/>
        </w:rPr>
        <w:t xml:space="preserve">Úroveň spokojnosti </w:t>
      </w:r>
      <w:r w:rsidR="00631CA9">
        <w:rPr>
          <w:rFonts w:ascii="Times New Roman" w:hAnsi="Times New Roman" w:cs="Times New Roman"/>
        </w:rPr>
        <w:t>ministerstiev</w:t>
      </w:r>
      <w:r>
        <w:rPr>
          <w:rFonts w:ascii="Times New Roman" w:hAnsi="Times New Roman" w:cs="Times New Roman"/>
        </w:rPr>
        <w:t xml:space="preserve"> s plnením </w:t>
      </w:r>
      <w:r w:rsidR="004828E6">
        <w:rPr>
          <w:rFonts w:ascii="Times New Roman" w:hAnsi="Times New Roman" w:cs="Times New Roman"/>
        </w:rPr>
        <w:t>prenesených pôsobností obcí a samosprávnych krajov</w:t>
      </w:r>
      <w:r>
        <w:rPr>
          <w:rFonts w:ascii="Times New Roman" w:hAnsi="Times New Roman" w:cs="Times New Roman"/>
        </w:rPr>
        <w:t xml:space="preserve"> </w:t>
      </w:r>
      <w:r w:rsidR="003E1A4A">
        <w:rPr>
          <w:rFonts w:ascii="Times New Roman" w:hAnsi="Times New Roman" w:cs="Times New Roman"/>
        </w:rPr>
        <w:t xml:space="preserve">(tých, pri ktorých hodnotenie poskytli) </w:t>
      </w:r>
      <w:r>
        <w:rPr>
          <w:rFonts w:ascii="Times New Roman" w:hAnsi="Times New Roman" w:cs="Times New Roman"/>
        </w:rPr>
        <w:t xml:space="preserve">je </w:t>
      </w:r>
      <w:r w:rsidR="0017223A">
        <w:rPr>
          <w:rFonts w:ascii="Times New Roman" w:hAnsi="Times New Roman" w:cs="Times New Roman"/>
        </w:rPr>
        <w:t>vysoká</w:t>
      </w:r>
      <w:r>
        <w:rPr>
          <w:rFonts w:ascii="Times New Roman" w:hAnsi="Times New Roman" w:cs="Times New Roman"/>
        </w:rPr>
        <w:t>;</w:t>
      </w:r>
    </w:p>
    <w:p w:rsidR="00160F31" w:rsidRDefault="00631CA9" w:rsidP="00160F31">
      <w:pPr>
        <w:pStyle w:val="Odsekzoznamu"/>
        <w:numPr>
          <w:ilvl w:val="0"/>
          <w:numId w:val="21"/>
        </w:numPr>
        <w:tabs>
          <w:tab w:val="clear" w:pos="340"/>
        </w:tabs>
        <w:spacing w:before="60" w:after="0" w:line="240" w:lineRule="auto"/>
        <w:ind w:left="426"/>
        <w:jc w:val="both"/>
        <w:rPr>
          <w:rFonts w:ascii="Times New Roman" w:hAnsi="Times New Roman" w:cs="Times New Roman"/>
        </w:rPr>
      </w:pPr>
      <w:r>
        <w:rPr>
          <w:rFonts w:ascii="Times New Roman" w:hAnsi="Times New Roman" w:cs="Times New Roman"/>
        </w:rPr>
        <w:t>Ministerstvá</w:t>
      </w:r>
      <w:r w:rsidR="00160F31">
        <w:rPr>
          <w:rFonts w:ascii="Times New Roman" w:hAnsi="Times New Roman" w:cs="Times New Roman"/>
        </w:rPr>
        <w:t xml:space="preserve"> môžu subjektívne vnímať plnenie úloh ako kvalitné, čo však vo väčšine prípadov nemožno podporiť vhodne zostaveným merateľným ukazovateľom;</w:t>
      </w:r>
    </w:p>
    <w:p w:rsidR="003E1A4A" w:rsidRDefault="003E1A4A" w:rsidP="003E1A4A">
      <w:pPr>
        <w:pStyle w:val="Odsekzoznamu"/>
        <w:numPr>
          <w:ilvl w:val="0"/>
          <w:numId w:val="21"/>
        </w:numPr>
        <w:tabs>
          <w:tab w:val="clear" w:pos="340"/>
        </w:tabs>
        <w:spacing w:after="0" w:line="240" w:lineRule="auto"/>
        <w:ind w:left="425"/>
        <w:contextualSpacing w:val="0"/>
        <w:jc w:val="both"/>
        <w:rPr>
          <w:rFonts w:ascii="Times New Roman" w:hAnsi="Times New Roman" w:cs="Times New Roman"/>
        </w:rPr>
      </w:pPr>
      <w:r>
        <w:rPr>
          <w:rFonts w:ascii="Times New Roman" w:hAnsi="Times New Roman" w:cs="Times New Roman"/>
        </w:rPr>
        <w:t>Podiel úloh s vhodne zostaveným ukazovateľom kvality je mimoriadne nízky, čo naznačuje,</w:t>
      </w:r>
      <w:r w:rsidRPr="00D47B3E">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že ministerstvá nie sú dostatočne oboznámené s technikou objektívneho merania kvality pomocou ukazovateľov a nie sú v dostatočnej miere schopné definovať vhodné ukazovatele kvality. Z toho vyplýva</w:t>
      </w:r>
      <w:r>
        <w:rPr>
          <w:rFonts w:ascii="Times New Roman" w:hAnsi="Times New Roman" w:cs="Times New Roman"/>
        </w:rPr>
        <w:t xml:space="preserve"> potreba prijať opatrenia na zvýšenie porozumenia problematiky merania kvality;</w:t>
      </w:r>
    </w:p>
    <w:p w:rsidR="00160F31" w:rsidRDefault="003E1A4A" w:rsidP="003E1A4A">
      <w:pPr>
        <w:pStyle w:val="Odsekzoznamu"/>
        <w:numPr>
          <w:ilvl w:val="0"/>
          <w:numId w:val="21"/>
        </w:numPr>
        <w:tabs>
          <w:tab w:val="clear" w:pos="340"/>
        </w:tabs>
        <w:spacing w:after="0" w:line="240" w:lineRule="auto"/>
        <w:ind w:left="426"/>
        <w:jc w:val="both"/>
        <w:rPr>
          <w:rFonts w:ascii="Times New Roman" w:hAnsi="Times New Roman" w:cs="Times New Roman"/>
        </w:rPr>
      </w:pPr>
      <w:r>
        <w:rPr>
          <w:rFonts w:ascii="Times New Roman" w:hAnsi="Times New Roman" w:cs="Times New Roman"/>
        </w:rPr>
        <w:t xml:space="preserve">Podiel úloh s kvantifikovaným ukazovateľom kvality je za ministerstvá ako celok nízky, čo odráža o. i. skutočnosť, že ak aj rezorty sú schopné definovať ukazovatele kvality, nie sú schopné ich vyčísliť resp. zmerať. To poukazuje </w:t>
      </w:r>
      <w:r w:rsidR="00647692">
        <w:rPr>
          <w:rFonts w:ascii="Times New Roman" w:hAnsi="Times New Roman" w:cs="Times New Roman"/>
        </w:rPr>
        <w:t xml:space="preserve">na </w:t>
      </w:r>
      <w:r>
        <w:rPr>
          <w:rFonts w:ascii="Times New Roman" w:hAnsi="Times New Roman" w:cs="Times New Roman"/>
        </w:rPr>
        <w:t>neuspokojivý stav poznania verejnej správy z hľadiska preukazného merania vývoja kvality</w:t>
      </w:r>
      <w:r w:rsidR="0017223A">
        <w:rPr>
          <w:rFonts w:ascii="Times New Roman" w:hAnsi="Times New Roman" w:cs="Times New Roman"/>
        </w:rPr>
        <w:t>.</w:t>
      </w:r>
    </w:p>
    <w:p w:rsidR="00160F31" w:rsidRPr="00346F37" w:rsidRDefault="00346F37" w:rsidP="003D37C0">
      <w:pPr>
        <w:pStyle w:val="tla3"/>
        <w:keepNext/>
        <w:rPr>
          <w:lang w:eastAsia="cs-CZ"/>
        </w:rPr>
      </w:pPr>
      <w:bookmarkStart w:id="13" w:name="_Toc373740548"/>
      <w:r w:rsidRPr="00346F37">
        <w:rPr>
          <w:lang w:eastAsia="cs-CZ"/>
        </w:rPr>
        <w:t>Financovanie výkonu prenesených pôsobností</w:t>
      </w:r>
      <w:bookmarkEnd w:id="13"/>
    </w:p>
    <w:p w:rsidR="00617C02" w:rsidRDefault="00617C02" w:rsidP="009F2349">
      <w:pPr>
        <w:spacing w:before="120" w:after="120" w:line="240" w:lineRule="auto"/>
        <w:ind w:firstLine="709"/>
        <w:jc w:val="both"/>
        <w:rPr>
          <w:rFonts w:ascii="Times New Roman" w:eastAsia="Times New Roman" w:hAnsi="Times New Roman" w:cs="Times New Roman"/>
          <w:lang w:eastAsia="cs-CZ"/>
        </w:rPr>
      </w:pPr>
      <w:bookmarkStart w:id="14" w:name="SuhrnneFinancovaniePreneseneObce"/>
      <w:r>
        <w:rPr>
          <w:rFonts w:ascii="Times New Roman" w:eastAsia="Times New Roman" w:hAnsi="Times New Roman" w:cs="Times New Roman"/>
          <w:lang w:eastAsia="cs-CZ"/>
        </w:rPr>
        <w:t xml:space="preserve">Všetky ministerstvá predložili údaje o financovaní výkonu prenesených pôsobností na úrovni obcí a na úrovni samosprávnych krajov v predpísanom tabuľkovom formáte, avšak vo viacerých prípadoch boli údaje neúplné. </w:t>
      </w:r>
    </w:p>
    <w:p w:rsidR="0017223A" w:rsidRDefault="0017223A" w:rsidP="0017223A">
      <w:pPr>
        <w:spacing w:before="120" w:after="12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lastRenderedPageBreak/>
        <w:t>Skutočnosť, že viaceré rezorty neboli schopné poskytnúť údaje k financovaniu úsekov ani za posledné sledované obdobie</w:t>
      </w:r>
      <w:r w:rsidR="004C19A9">
        <w:rPr>
          <w:rFonts w:ascii="Times New Roman" w:eastAsia="Times New Roman" w:hAnsi="Times New Roman" w:cs="Times New Roman"/>
          <w:lang w:eastAsia="cs-CZ"/>
        </w:rPr>
        <w:t>,</w:t>
      </w:r>
      <w:r>
        <w:rPr>
          <w:rFonts w:ascii="Times New Roman" w:eastAsia="Times New Roman" w:hAnsi="Times New Roman" w:cs="Times New Roman"/>
          <w:lang w:eastAsia="cs-CZ"/>
        </w:rPr>
        <w:t xml:space="preserve"> poukazuje na neuspokojivý </w:t>
      </w:r>
      <w:r w:rsidR="00E161AC">
        <w:rPr>
          <w:rFonts w:ascii="Times New Roman" w:eastAsia="Times New Roman" w:hAnsi="Times New Roman" w:cs="Times New Roman"/>
          <w:lang w:eastAsia="cs-CZ"/>
        </w:rPr>
        <w:t xml:space="preserve">stav </w:t>
      </w:r>
      <w:r>
        <w:rPr>
          <w:rFonts w:ascii="Times New Roman" w:eastAsia="Times New Roman" w:hAnsi="Times New Roman" w:cs="Times New Roman"/>
          <w:lang w:eastAsia="cs-CZ"/>
        </w:rPr>
        <w:t>poznania úsekov</w:t>
      </w:r>
      <w:r w:rsidR="00E161AC">
        <w:rPr>
          <w:rFonts w:ascii="Times New Roman" w:eastAsia="Times New Roman" w:hAnsi="Times New Roman" w:cs="Times New Roman"/>
          <w:lang w:eastAsia="cs-CZ"/>
        </w:rPr>
        <w:t>.</w:t>
      </w:r>
      <w:r>
        <w:rPr>
          <w:rFonts w:ascii="Times New Roman" w:eastAsia="Times New Roman" w:hAnsi="Times New Roman" w:cs="Times New Roman"/>
          <w:lang w:eastAsia="cs-CZ"/>
        </w:rPr>
        <w:t xml:space="preserve"> </w:t>
      </w:r>
    </w:p>
    <w:p w:rsidR="004132BC" w:rsidRDefault="004132BC" w:rsidP="00617C02">
      <w:pPr>
        <w:keepNext/>
        <w:spacing w:before="120" w:after="120" w:line="240" w:lineRule="auto"/>
        <w:ind w:firstLine="709"/>
        <w:jc w:val="both"/>
        <w:rPr>
          <w:rFonts w:ascii="Times New Roman" w:hAnsi="Times New Roman" w:cs="Times New Roman"/>
          <w:i/>
          <w:u w:val="single"/>
        </w:rPr>
      </w:pPr>
      <w:r w:rsidRPr="00617C02">
        <w:rPr>
          <w:rFonts w:ascii="Times New Roman" w:hAnsi="Times New Roman" w:cs="Times New Roman"/>
          <w:i/>
          <w:u w:val="single"/>
        </w:rPr>
        <w:t xml:space="preserve">Sumárne údaje o financovaní pôsobností </w:t>
      </w:r>
      <w:r w:rsidR="00DF63C8">
        <w:rPr>
          <w:rFonts w:ascii="Times New Roman" w:hAnsi="Times New Roman" w:cs="Times New Roman"/>
          <w:i/>
          <w:u w:val="single"/>
        </w:rPr>
        <w:t xml:space="preserve">prenesených </w:t>
      </w:r>
      <w:r w:rsidR="00617C02" w:rsidRPr="00617C02">
        <w:rPr>
          <w:rFonts w:ascii="Times New Roman" w:hAnsi="Times New Roman" w:cs="Times New Roman"/>
          <w:i/>
          <w:u w:val="single"/>
        </w:rPr>
        <w:t>na obce</w:t>
      </w:r>
    </w:p>
    <w:p w:rsidR="00DE3E2C" w:rsidRPr="007D020B" w:rsidRDefault="00B6328A" w:rsidP="007D020B">
      <w:pPr>
        <w:keepNext/>
        <w:spacing w:before="120" w:after="60" w:line="240" w:lineRule="auto"/>
        <w:jc w:val="center"/>
        <w:rPr>
          <w:rFonts w:ascii="Times New Roman" w:hAnsi="Times New Roman" w:cs="Times New Roman"/>
          <w:sz w:val="16"/>
          <w:szCs w:val="16"/>
        </w:rPr>
      </w:pPr>
      <w:r w:rsidRPr="007D020B">
        <w:rPr>
          <w:rFonts w:ascii="Times New Roman" w:hAnsi="Times New Roman" w:cs="Times New Roman"/>
          <w:b/>
          <w:sz w:val="16"/>
          <w:szCs w:val="16"/>
        </w:rPr>
        <w:t>Tabuľka 9</w:t>
      </w:r>
      <w:r w:rsidR="00FB72B4">
        <w:rPr>
          <w:rFonts w:ascii="Times New Roman" w:hAnsi="Times New Roman" w:cs="Times New Roman"/>
          <w:b/>
          <w:sz w:val="16"/>
          <w:szCs w:val="16"/>
        </w:rPr>
        <w:t>:</w:t>
      </w:r>
      <w:r w:rsidRPr="007D020B">
        <w:rPr>
          <w:rFonts w:ascii="Times New Roman" w:hAnsi="Times New Roman" w:cs="Times New Roman"/>
          <w:sz w:val="16"/>
          <w:szCs w:val="16"/>
        </w:rPr>
        <w:t xml:space="preserve"> </w:t>
      </w:r>
      <w:r w:rsidR="007D020B" w:rsidRPr="007D020B">
        <w:rPr>
          <w:rFonts w:ascii="Times New Roman" w:hAnsi="Times New Roman" w:cs="Times New Roman"/>
          <w:sz w:val="16"/>
          <w:szCs w:val="16"/>
        </w:rPr>
        <w:t>Údaje o financovaní úsekov pôsobností prenesených na obce</w:t>
      </w:r>
    </w:p>
    <w:tbl>
      <w:tblPr>
        <w:tblStyle w:val="Mriekatabuky"/>
        <w:tblW w:w="0" w:type="auto"/>
        <w:tblLook w:val="04A0" w:firstRow="1" w:lastRow="0" w:firstColumn="1" w:lastColumn="0" w:noHBand="0" w:noVBand="1"/>
      </w:tblPr>
      <w:tblGrid>
        <w:gridCol w:w="1380"/>
        <w:gridCol w:w="4540"/>
        <w:gridCol w:w="1228"/>
        <w:gridCol w:w="1229"/>
        <w:gridCol w:w="1229"/>
      </w:tblGrid>
      <w:tr w:rsidR="0024508E" w:rsidRPr="008C2727" w:rsidTr="004828E6">
        <w:tc>
          <w:tcPr>
            <w:tcW w:w="1380" w:type="dxa"/>
            <w:vMerge w:val="restart"/>
            <w:vAlign w:val="center"/>
          </w:tcPr>
          <w:bookmarkEnd w:id="14"/>
          <w:p w:rsidR="00A140F7" w:rsidRPr="003E1A4A" w:rsidRDefault="003E1A4A" w:rsidP="003E1A4A">
            <w:pPr>
              <w:keepNext/>
              <w:spacing w:after="0" w:line="240" w:lineRule="auto"/>
              <w:jc w:val="center"/>
              <w:rPr>
                <w:rFonts w:ascii="Times New Roman" w:eastAsia="Times New Roman" w:hAnsi="Times New Roman" w:cs="Times New Roman"/>
                <w:sz w:val="18"/>
                <w:szCs w:val="18"/>
                <w:lang w:eastAsia="cs-CZ"/>
              </w:rPr>
            </w:pPr>
            <w:r w:rsidRPr="003E1A4A">
              <w:rPr>
                <w:rFonts w:ascii="Times New Roman" w:hAnsi="Times New Roman" w:cs="Times New Roman"/>
                <w:bCs/>
                <w:color w:val="000000"/>
                <w:sz w:val="18"/>
                <w:szCs w:val="18"/>
              </w:rPr>
              <w:t>m</w:t>
            </w:r>
            <w:r w:rsidR="0024508E" w:rsidRPr="003E1A4A">
              <w:rPr>
                <w:rFonts w:ascii="Times New Roman" w:hAnsi="Times New Roman" w:cs="Times New Roman"/>
                <w:bCs/>
                <w:color w:val="000000"/>
                <w:sz w:val="18"/>
                <w:szCs w:val="18"/>
              </w:rPr>
              <w:t>inisterstv</w:t>
            </w:r>
            <w:r w:rsidRPr="003E1A4A">
              <w:rPr>
                <w:rFonts w:ascii="Times New Roman" w:hAnsi="Times New Roman" w:cs="Times New Roman"/>
                <w:bCs/>
                <w:color w:val="000000"/>
                <w:sz w:val="18"/>
                <w:szCs w:val="18"/>
              </w:rPr>
              <w:t>á</w:t>
            </w:r>
          </w:p>
        </w:tc>
        <w:tc>
          <w:tcPr>
            <w:tcW w:w="4540" w:type="dxa"/>
            <w:vMerge w:val="restart"/>
            <w:vAlign w:val="center"/>
          </w:tcPr>
          <w:p w:rsidR="00A140F7" w:rsidRPr="003E1A4A" w:rsidRDefault="003E1A4A" w:rsidP="003E1A4A">
            <w:pPr>
              <w:keepNext/>
              <w:spacing w:after="0" w:line="240" w:lineRule="auto"/>
              <w:jc w:val="center"/>
              <w:rPr>
                <w:rFonts w:ascii="Times New Roman" w:eastAsia="Times New Roman" w:hAnsi="Times New Roman" w:cs="Times New Roman"/>
                <w:sz w:val="18"/>
                <w:szCs w:val="18"/>
                <w:lang w:eastAsia="cs-CZ"/>
              </w:rPr>
            </w:pPr>
            <w:r w:rsidRPr="003E1A4A">
              <w:rPr>
                <w:rFonts w:ascii="Times New Roman" w:hAnsi="Times New Roman" w:cs="Times New Roman"/>
                <w:bCs/>
                <w:color w:val="000000"/>
                <w:sz w:val="18"/>
                <w:szCs w:val="18"/>
              </w:rPr>
              <w:t>ú</w:t>
            </w:r>
            <w:r w:rsidR="0024508E" w:rsidRPr="003E1A4A">
              <w:rPr>
                <w:rFonts w:ascii="Times New Roman" w:hAnsi="Times New Roman" w:cs="Times New Roman"/>
                <w:bCs/>
                <w:color w:val="000000"/>
                <w:sz w:val="18"/>
                <w:szCs w:val="18"/>
              </w:rPr>
              <w:t>seky štátnej správy prenesené na obce</w:t>
            </w:r>
            <w:r w:rsidR="006643F6" w:rsidRPr="003E1A4A">
              <w:rPr>
                <w:rFonts w:ascii="Times New Roman" w:hAnsi="Times New Roman" w:cs="Times New Roman"/>
                <w:bCs/>
                <w:color w:val="000000"/>
                <w:sz w:val="18"/>
                <w:szCs w:val="18"/>
              </w:rPr>
              <w:t>**</w:t>
            </w:r>
          </w:p>
        </w:tc>
        <w:tc>
          <w:tcPr>
            <w:tcW w:w="3686" w:type="dxa"/>
            <w:gridSpan w:val="3"/>
            <w:vAlign w:val="center"/>
          </w:tcPr>
          <w:p w:rsidR="00A140F7" w:rsidRPr="003E1A4A" w:rsidRDefault="003E1A4A" w:rsidP="003E1A4A">
            <w:pPr>
              <w:keepNext/>
              <w:spacing w:after="0" w:line="240" w:lineRule="auto"/>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o</w:t>
            </w:r>
            <w:r w:rsidR="0024508E" w:rsidRPr="003E1A4A">
              <w:rPr>
                <w:rFonts w:ascii="Times New Roman" w:hAnsi="Times New Roman" w:cs="Times New Roman"/>
                <w:bCs/>
                <w:color w:val="000000"/>
                <w:sz w:val="18"/>
                <w:szCs w:val="18"/>
              </w:rPr>
              <w:t>bce (v tis. EUR)</w:t>
            </w:r>
          </w:p>
        </w:tc>
      </w:tr>
      <w:tr w:rsidR="0024508E" w:rsidRPr="008C2727" w:rsidTr="004828E6">
        <w:tc>
          <w:tcPr>
            <w:tcW w:w="1380" w:type="dxa"/>
            <w:vMerge/>
            <w:vAlign w:val="center"/>
          </w:tcPr>
          <w:p w:rsidR="00A140F7" w:rsidRPr="003E1A4A" w:rsidRDefault="00A140F7" w:rsidP="003E1A4A">
            <w:pPr>
              <w:keepNext/>
              <w:spacing w:after="0" w:line="240" w:lineRule="auto"/>
              <w:jc w:val="center"/>
              <w:rPr>
                <w:rFonts w:ascii="Times New Roman" w:hAnsi="Times New Roman" w:cs="Times New Roman"/>
                <w:bCs/>
                <w:color w:val="000000"/>
                <w:sz w:val="18"/>
                <w:szCs w:val="18"/>
              </w:rPr>
            </w:pPr>
          </w:p>
        </w:tc>
        <w:tc>
          <w:tcPr>
            <w:tcW w:w="4540" w:type="dxa"/>
            <w:vMerge/>
            <w:vAlign w:val="center"/>
          </w:tcPr>
          <w:p w:rsidR="00A140F7" w:rsidRPr="003E1A4A" w:rsidRDefault="00A140F7" w:rsidP="003E1A4A">
            <w:pPr>
              <w:keepNext/>
              <w:spacing w:after="0" w:line="240" w:lineRule="auto"/>
              <w:jc w:val="center"/>
              <w:rPr>
                <w:rFonts w:ascii="Times New Roman" w:hAnsi="Times New Roman" w:cs="Times New Roman"/>
                <w:bCs/>
                <w:color w:val="000000"/>
                <w:sz w:val="18"/>
                <w:szCs w:val="18"/>
              </w:rPr>
            </w:pPr>
          </w:p>
        </w:tc>
        <w:tc>
          <w:tcPr>
            <w:tcW w:w="1228" w:type="dxa"/>
            <w:vAlign w:val="center"/>
          </w:tcPr>
          <w:p w:rsidR="00A140F7" w:rsidRPr="003E1A4A" w:rsidRDefault="0024508E" w:rsidP="003E1A4A">
            <w:pPr>
              <w:keepNext/>
              <w:spacing w:after="0" w:line="240" w:lineRule="auto"/>
              <w:jc w:val="center"/>
              <w:rPr>
                <w:rFonts w:ascii="Times New Roman" w:hAnsi="Times New Roman" w:cs="Times New Roman"/>
                <w:bCs/>
                <w:color w:val="000000"/>
                <w:sz w:val="18"/>
                <w:szCs w:val="18"/>
              </w:rPr>
            </w:pPr>
            <w:r w:rsidRPr="003E1A4A">
              <w:rPr>
                <w:rFonts w:ascii="Times New Roman" w:hAnsi="Times New Roman" w:cs="Times New Roman"/>
                <w:bCs/>
                <w:color w:val="000000"/>
                <w:sz w:val="18"/>
                <w:szCs w:val="18"/>
              </w:rPr>
              <w:t>2001</w:t>
            </w:r>
          </w:p>
        </w:tc>
        <w:tc>
          <w:tcPr>
            <w:tcW w:w="1229" w:type="dxa"/>
            <w:vAlign w:val="center"/>
          </w:tcPr>
          <w:p w:rsidR="00A140F7" w:rsidRPr="003E1A4A" w:rsidRDefault="0024508E" w:rsidP="003E1A4A">
            <w:pPr>
              <w:keepNext/>
              <w:spacing w:after="0" w:line="240" w:lineRule="auto"/>
              <w:jc w:val="center"/>
              <w:rPr>
                <w:rFonts w:ascii="Times New Roman" w:hAnsi="Times New Roman" w:cs="Times New Roman"/>
                <w:bCs/>
                <w:color w:val="000000"/>
                <w:sz w:val="18"/>
                <w:szCs w:val="18"/>
              </w:rPr>
            </w:pPr>
            <w:r w:rsidRPr="003E1A4A">
              <w:rPr>
                <w:rFonts w:ascii="Times New Roman" w:hAnsi="Times New Roman" w:cs="Times New Roman"/>
                <w:bCs/>
                <w:color w:val="000000"/>
                <w:sz w:val="18"/>
                <w:szCs w:val="18"/>
              </w:rPr>
              <w:t>2005</w:t>
            </w:r>
          </w:p>
        </w:tc>
        <w:tc>
          <w:tcPr>
            <w:tcW w:w="1229" w:type="dxa"/>
            <w:vAlign w:val="center"/>
          </w:tcPr>
          <w:p w:rsidR="00A140F7" w:rsidRPr="003E1A4A" w:rsidRDefault="0024508E" w:rsidP="003E1A4A">
            <w:pPr>
              <w:keepNext/>
              <w:spacing w:after="0" w:line="240" w:lineRule="auto"/>
              <w:jc w:val="center"/>
              <w:rPr>
                <w:rFonts w:ascii="Times New Roman" w:hAnsi="Times New Roman" w:cs="Times New Roman"/>
                <w:bCs/>
                <w:color w:val="000000"/>
                <w:sz w:val="18"/>
                <w:szCs w:val="18"/>
              </w:rPr>
            </w:pPr>
            <w:r w:rsidRPr="003E1A4A">
              <w:rPr>
                <w:rFonts w:ascii="Times New Roman" w:hAnsi="Times New Roman" w:cs="Times New Roman"/>
                <w:bCs/>
                <w:color w:val="000000"/>
                <w:sz w:val="18"/>
                <w:szCs w:val="18"/>
              </w:rPr>
              <w:t>2011</w:t>
            </w:r>
          </w:p>
        </w:tc>
      </w:tr>
      <w:tr w:rsidR="0024508E" w:rsidRPr="008C2727" w:rsidTr="004828E6">
        <w:tc>
          <w:tcPr>
            <w:tcW w:w="1380" w:type="dxa"/>
            <w:vMerge w:val="restart"/>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r w:rsidRPr="008C2727">
              <w:rPr>
                <w:rFonts w:ascii="Times New Roman" w:eastAsia="Times New Roman" w:hAnsi="Times New Roman" w:cs="Times New Roman"/>
                <w:sz w:val="18"/>
                <w:szCs w:val="18"/>
                <w:lang w:eastAsia="cs-CZ"/>
              </w:rPr>
              <w:t>MDVRR SR</w:t>
            </w: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miestnych a účelových komunikácií</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12,54</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39,44</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139,35</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špeciálneho stavebného úradu pre miestne a účelové komunikácie</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88,04</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3 966,29</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4 263,12</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stavebného poriadku</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3 857,45</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5 425,90</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bývania</w:t>
            </w:r>
          </w:p>
        </w:tc>
        <w:tc>
          <w:tcPr>
            <w:tcW w:w="1228" w:type="dxa"/>
            <w:vAlign w:val="center"/>
          </w:tcPr>
          <w:p w:rsidR="0024508E" w:rsidRPr="008C2727" w:rsidRDefault="00964266"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918,06</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1 139,09</w:t>
            </w:r>
          </w:p>
        </w:tc>
      </w:tr>
      <w:tr w:rsidR="0024508E" w:rsidRPr="008C2727" w:rsidTr="004828E6">
        <w:tc>
          <w:tcPr>
            <w:tcW w:w="1380" w:type="dxa"/>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r w:rsidRPr="008C2727">
              <w:rPr>
                <w:rFonts w:ascii="Times New Roman" w:eastAsia="Times New Roman" w:hAnsi="Times New Roman" w:cs="Times New Roman"/>
                <w:sz w:val="18"/>
                <w:szCs w:val="18"/>
                <w:lang w:eastAsia="cs-CZ"/>
              </w:rPr>
              <w:t>MH SR</w:t>
            </w: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hospodárskej mobilizácie</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r>
      <w:tr w:rsidR="0024508E" w:rsidRPr="008C2727" w:rsidTr="004828E6">
        <w:tc>
          <w:tcPr>
            <w:tcW w:w="1380" w:type="dxa"/>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r w:rsidRPr="008C2727">
              <w:rPr>
                <w:rFonts w:ascii="Times New Roman" w:eastAsia="Times New Roman" w:hAnsi="Times New Roman" w:cs="Times New Roman"/>
                <w:sz w:val="18"/>
                <w:szCs w:val="18"/>
                <w:lang w:eastAsia="cs-CZ"/>
              </w:rPr>
              <w:t>MŠVVŠ SR</w:t>
            </w: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školstva (zriaďovateľská pôsobnosť vo vzťahu k základným školám)</w:t>
            </w:r>
          </w:p>
        </w:tc>
        <w:tc>
          <w:tcPr>
            <w:tcW w:w="1228" w:type="dxa"/>
            <w:vAlign w:val="center"/>
          </w:tcPr>
          <w:p w:rsidR="0024508E" w:rsidRPr="008C2727" w:rsidRDefault="00731FC9" w:rsidP="00E8108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471 720,00</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611 901,00</w:t>
            </w:r>
          </w:p>
        </w:tc>
      </w:tr>
      <w:tr w:rsidR="0024508E" w:rsidRPr="008C2727" w:rsidTr="004828E6">
        <w:tc>
          <w:tcPr>
            <w:tcW w:w="1380" w:type="dxa"/>
            <w:vMerge w:val="restart"/>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r w:rsidRPr="008C2727">
              <w:rPr>
                <w:rFonts w:ascii="Times New Roman" w:eastAsia="Times New Roman" w:hAnsi="Times New Roman" w:cs="Times New Roman"/>
                <w:sz w:val="18"/>
                <w:szCs w:val="18"/>
                <w:lang w:eastAsia="cs-CZ"/>
              </w:rPr>
              <w:t>MV SR</w:t>
            </w: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matrík</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FB72B4" w:rsidP="00E8108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4 658,38</w:t>
            </w:r>
          </w:p>
        </w:tc>
        <w:tc>
          <w:tcPr>
            <w:tcW w:w="1229" w:type="dxa"/>
            <w:vAlign w:val="center"/>
          </w:tcPr>
          <w:p w:rsidR="0024508E" w:rsidRPr="008C2727" w:rsidRDefault="00AB5BEC" w:rsidP="00E8108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5 830,48</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hlásenia pobytu a registra obyvateľov</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1 790,</w:t>
            </w:r>
            <w:r w:rsidR="00617C02" w:rsidRPr="008C2727">
              <w:rPr>
                <w:rFonts w:ascii="Times New Roman" w:hAnsi="Times New Roman" w:cs="Times New Roman"/>
                <w:color w:val="000000"/>
                <w:sz w:val="18"/>
                <w:szCs w:val="18"/>
              </w:rPr>
              <w:t>17</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ochrany pred požiarmi</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volieb a referenda</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r>
      <w:tr w:rsidR="0024508E" w:rsidRPr="008C2727" w:rsidTr="004828E6">
        <w:tc>
          <w:tcPr>
            <w:tcW w:w="1380" w:type="dxa"/>
            <w:vMerge w:val="restart"/>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r w:rsidRPr="008C2727">
              <w:rPr>
                <w:rFonts w:ascii="Times New Roman" w:eastAsia="Times New Roman" w:hAnsi="Times New Roman" w:cs="Times New Roman"/>
                <w:sz w:val="18"/>
                <w:szCs w:val="18"/>
                <w:lang w:eastAsia="cs-CZ"/>
              </w:rPr>
              <w:t>MŽP SR</w:t>
            </w: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ochrany ovzdušia</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119,52</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111,34</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ochrany pred povodňami</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212,48</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197,94</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ochrany krajiny a prírody</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179,28</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167,01</w:t>
            </w:r>
          </w:p>
        </w:tc>
      </w:tr>
      <w:tr w:rsidR="0024508E" w:rsidRPr="008C2727" w:rsidTr="004828E6">
        <w:tc>
          <w:tcPr>
            <w:tcW w:w="1380" w:type="dxa"/>
            <w:vMerge/>
            <w:vAlign w:val="center"/>
          </w:tcPr>
          <w:p w:rsidR="0024508E" w:rsidRPr="008C2727" w:rsidRDefault="0024508E" w:rsidP="0024508E">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24508E" w:rsidRPr="008C2727" w:rsidRDefault="0024508E" w:rsidP="0024508E">
            <w:pPr>
              <w:spacing w:after="0" w:line="240" w:lineRule="auto"/>
              <w:rPr>
                <w:rFonts w:ascii="Times New Roman" w:eastAsia="Times New Roman" w:hAnsi="Times New Roman" w:cs="Times New Roman"/>
                <w:sz w:val="18"/>
                <w:szCs w:val="18"/>
                <w:lang w:eastAsia="cs-CZ"/>
              </w:rPr>
            </w:pPr>
            <w:r w:rsidRPr="008C2727">
              <w:rPr>
                <w:rFonts w:ascii="Times New Roman" w:hAnsi="Times New Roman" w:cs="Times New Roman"/>
                <w:color w:val="000000"/>
                <w:sz w:val="18"/>
                <w:szCs w:val="18"/>
              </w:rPr>
              <w:t>úsek št. vodnej správy</w:t>
            </w:r>
          </w:p>
        </w:tc>
        <w:tc>
          <w:tcPr>
            <w:tcW w:w="1228"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152,72</w:t>
            </w:r>
          </w:p>
        </w:tc>
        <w:tc>
          <w:tcPr>
            <w:tcW w:w="1229" w:type="dxa"/>
            <w:vAlign w:val="center"/>
          </w:tcPr>
          <w:p w:rsidR="0024508E" w:rsidRPr="008C2727" w:rsidRDefault="0024508E" w:rsidP="00E81087">
            <w:pPr>
              <w:spacing w:after="0" w:line="240" w:lineRule="auto"/>
              <w:jc w:val="center"/>
              <w:rPr>
                <w:rFonts w:ascii="Times New Roman" w:hAnsi="Times New Roman" w:cs="Times New Roman"/>
                <w:color w:val="000000"/>
                <w:sz w:val="18"/>
                <w:szCs w:val="18"/>
              </w:rPr>
            </w:pPr>
            <w:r w:rsidRPr="008C2727">
              <w:rPr>
                <w:rFonts w:ascii="Times New Roman" w:hAnsi="Times New Roman" w:cs="Times New Roman"/>
                <w:color w:val="000000"/>
                <w:sz w:val="18"/>
                <w:szCs w:val="18"/>
              </w:rPr>
              <w:t>142,27</w:t>
            </w:r>
          </w:p>
        </w:tc>
      </w:tr>
    </w:tbl>
    <w:p w:rsidR="003E1A4A" w:rsidRPr="00E81087" w:rsidRDefault="003E1A4A" w:rsidP="003E1A4A">
      <w:pPr>
        <w:pStyle w:val="Odsekzoznamu"/>
        <w:tabs>
          <w:tab w:val="left" w:pos="284"/>
        </w:tabs>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Vysvetlivky</w:t>
      </w:r>
      <w:r w:rsidR="00E81087">
        <w:rPr>
          <w:rFonts w:ascii="Times New Roman" w:eastAsia="Times New Roman" w:hAnsi="Times New Roman" w:cs="Times New Roman"/>
          <w:sz w:val="16"/>
          <w:szCs w:val="16"/>
          <w:lang w:eastAsia="cs-CZ"/>
        </w:rPr>
        <w:t xml:space="preserve"> k tabuľke</w:t>
      </w:r>
      <w:r w:rsidRPr="00E81087">
        <w:rPr>
          <w:rFonts w:ascii="Times New Roman" w:eastAsia="Times New Roman" w:hAnsi="Times New Roman" w:cs="Times New Roman"/>
          <w:sz w:val="16"/>
          <w:szCs w:val="16"/>
          <w:lang w:eastAsia="cs-CZ"/>
        </w:rPr>
        <w:t>:</w:t>
      </w:r>
    </w:p>
    <w:p w:rsidR="0024508E" w:rsidRPr="00E81087" w:rsidRDefault="0024508E" w:rsidP="003E1A4A">
      <w:pPr>
        <w:pStyle w:val="Odsekzoznamu"/>
        <w:tabs>
          <w:tab w:val="left" w:pos="284"/>
        </w:tabs>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 xml:space="preserve">* </w:t>
      </w:r>
      <w:r w:rsidR="003E1A4A" w:rsidRPr="00E81087">
        <w:rPr>
          <w:rFonts w:ascii="Times New Roman" w:eastAsia="Times New Roman" w:hAnsi="Times New Roman" w:cs="Times New Roman"/>
          <w:sz w:val="16"/>
          <w:szCs w:val="16"/>
          <w:lang w:eastAsia="cs-CZ"/>
        </w:rPr>
        <w:tab/>
      </w:r>
      <w:r w:rsidRPr="00E81087">
        <w:rPr>
          <w:rFonts w:ascii="Times New Roman" w:eastAsia="Times New Roman" w:hAnsi="Times New Roman" w:cs="Times New Roman"/>
          <w:sz w:val="16"/>
          <w:szCs w:val="16"/>
          <w:lang w:eastAsia="cs-CZ"/>
        </w:rPr>
        <w:t xml:space="preserve">Nebolo možné vyčísliť nakoľko </w:t>
      </w:r>
      <w:r w:rsidR="004828E6">
        <w:rPr>
          <w:rFonts w:ascii="Times New Roman" w:eastAsia="Times New Roman" w:hAnsi="Times New Roman" w:cs="Times New Roman"/>
          <w:sz w:val="16"/>
          <w:szCs w:val="16"/>
          <w:lang w:eastAsia="cs-CZ"/>
        </w:rPr>
        <w:t>ministerstvo nemá údaje k dispozícii</w:t>
      </w:r>
      <w:r w:rsidRPr="00E81087">
        <w:rPr>
          <w:rFonts w:ascii="Times New Roman" w:eastAsia="Times New Roman" w:hAnsi="Times New Roman" w:cs="Times New Roman"/>
          <w:sz w:val="16"/>
          <w:szCs w:val="16"/>
          <w:lang w:eastAsia="cs-CZ"/>
        </w:rPr>
        <w:t>.</w:t>
      </w:r>
    </w:p>
    <w:p w:rsidR="006643F6" w:rsidRPr="00E81087" w:rsidRDefault="006643F6" w:rsidP="003E1A4A">
      <w:pPr>
        <w:pStyle w:val="Odsekzoznamu"/>
        <w:tabs>
          <w:tab w:val="left" w:pos="284"/>
        </w:tabs>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 xml:space="preserve">** </w:t>
      </w:r>
      <w:r w:rsidR="003E1A4A" w:rsidRPr="00E81087">
        <w:rPr>
          <w:rFonts w:ascii="Times New Roman" w:eastAsia="Times New Roman" w:hAnsi="Times New Roman" w:cs="Times New Roman"/>
          <w:sz w:val="16"/>
          <w:szCs w:val="16"/>
          <w:lang w:eastAsia="cs-CZ"/>
        </w:rPr>
        <w:tab/>
      </w:r>
      <w:r w:rsidR="00F12DF8" w:rsidRPr="00E81087">
        <w:rPr>
          <w:rFonts w:ascii="Times New Roman" w:eastAsia="Times New Roman" w:hAnsi="Times New Roman" w:cs="Times New Roman"/>
          <w:sz w:val="16"/>
          <w:szCs w:val="16"/>
          <w:lang w:eastAsia="cs-CZ"/>
        </w:rPr>
        <w:t>Údaje o financovaní rozčlenené podľa klasifikácie jednotlivých obcí sú uvedené v </w:t>
      </w:r>
      <w:r w:rsidRPr="00E81087">
        <w:rPr>
          <w:rFonts w:ascii="Times New Roman" w:eastAsia="Times New Roman" w:hAnsi="Times New Roman" w:cs="Times New Roman"/>
          <w:sz w:val="16"/>
          <w:szCs w:val="16"/>
          <w:lang w:eastAsia="cs-CZ"/>
        </w:rPr>
        <w:t>prílohe</w:t>
      </w:r>
      <w:r w:rsidR="00F12DF8" w:rsidRPr="00E81087">
        <w:rPr>
          <w:rFonts w:ascii="Times New Roman" w:eastAsia="Times New Roman" w:hAnsi="Times New Roman" w:cs="Times New Roman"/>
          <w:sz w:val="16"/>
          <w:szCs w:val="16"/>
          <w:lang w:eastAsia="cs-CZ"/>
        </w:rPr>
        <w:t xml:space="preserve"> tejto správy.</w:t>
      </w:r>
    </w:p>
    <w:p w:rsidR="0024508E" w:rsidRDefault="0024508E" w:rsidP="00874C83">
      <w:pPr>
        <w:keepNext/>
        <w:widowControl w:val="0"/>
        <w:spacing w:before="120" w:after="12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V rámci jednotlivých rezortov bol</w:t>
      </w:r>
      <w:r w:rsidR="00CD2B72">
        <w:rPr>
          <w:rFonts w:ascii="Times New Roman" w:eastAsia="Times New Roman" w:hAnsi="Times New Roman" w:cs="Times New Roman"/>
          <w:lang w:eastAsia="cs-CZ"/>
        </w:rPr>
        <w:t>a</w:t>
      </w:r>
      <w:r>
        <w:rPr>
          <w:rFonts w:ascii="Times New Roman" w:eastAsia="Times New Roman" w:hAnsi="Times New Roman" w:cs="Times New Roman"/>
          <w:lang w:eastAsia="cs-CZ"/>
        </w:rPr>
        <w:t xml:space="preserve"> pozorovan</w:t>
      </w:r>
      <w:r w:rsidR="00CD2B72">
        <w:rPr>
          <w:rFonts w:ascii="Times New Roman" w:eastAsia="Times New Roman" w:hAnsi="Times New Roman" w:cs="Times New Roman"/>
          <w:lang w:eastAsia="cs-CZ"/>
        </w:rPr>
        <w:t>á</w:t>
      </w:r>
      <w:r>
        <w:rPr>
          <w:rFonts w:ascii="Times New Roman" w:eastAsia="Times New Roman" w:hAnsi="Times New Roman" w:cs="Times New Roman"/>
          <w:lang w:eastAsia="cs-CZ"/>
        </w:rPr>
        <w:t xml:space="preserve"> nasledujúc</w:t>
      </w:r>
      <w:r w:rsidR="00CD2B72">
        <w:rPr>
          <w:rFonts w:ascii="Times New Roman" w:eastAsia="Times New Roman" w:hAnsi="Times New Roman" w:cs="Times New Roman"/>
          <w:lang w:eastAsia="cs-CZ"/>
        </w:rPr>
        <w:t>a</w:t>
      </w:r>
      <w:r>
        <w:rPr>
          <w:rFonts w:ascii="Times New Roman" w:eastAsia="Times New Roman" w:hAnsi="Times New Roman" w:cs="Times New Roman"/>
          <w:lang w:eastAsia="cs-CZ"/>
        </w:rPr>
        <w:t xml:space="preserve"> </w:t>
      </w:r>
      <w:r w:rsidR="00CD2B72">
        <w:rPr>
          <w:rFonts w:ascii="Times New Roman" w:eastAsia="Times New Roman" w:hAnsi="Times New Roman" w:cs="Times New Roman"/>
          <w:lang w:eastAsia="cs-CZ"/>
        </w:rPr>
        <w:t xml:space="preserve">korelácia </w:t>
      </w:r>
      <w:r>
        <w:rPr>
          <w:rFonts w:ascii="Times New Roman" w:eastAsia="Times New Roman" w:hAnsi="Times New Roman" w:cs="Times New Roman"/>
          <w:lang w:eastAsia="cs-CZ"/>
        </w:rPr>
        <w:t>výdavkov (v EUR) na priemernú jednotku výstupu jednotlivých úsekov</w:t>
      </w:r>
      <w:r w:rsidR="00CD2B72">
        <w:rPr>
          <w:rFonts w:ascii="Times New Roman" w:eastAsia="Times New Roman" w:hAnsi="Times New Roman" w:cs="Times New Roman"/>
          <w:lang w:eastAsia="cs-CZ"/>
        </w:rPr>
        <w:t xml:space="preserve"> s veľkosťou obce</w:t>
      </w:r>
      <w:r w:rsidR="005910A5">
        <w:rPr>
          <w:rFonts w:ascii="Times New Roman" w:eastAsia="Times New Roman" w:hAnsi="Times New Roman" w:cs="Times New Roman"/>
          <w:lang w:eastAsia="cs-CZ"/>
        </w:rPr>
        <w:t xml:space="preserve"> za rok 2011</w:t>
      </w:r>
      <w:r>
        <w:rPr>
          <w:rFonts w:ascii="Times New Roman" w:eastAsia="Times New Roman" w:hAnsi="Times New Roman" w:cs="Times New Roman"/>
          <w:lang w:eastAsia="cs-CZ"/>
        </w:rPr>
        <w:t>:</w:t>
      </w:r>
    </w:p>
    <w:p w:rsidR="007D020B" w:rsidRPr="007D020B" w:rsidRDefault="007D020B" w:rsidP="007D020B">
      <w:pPr>
        <w:keepNext/>
        <w:widowControl w:val="0"/>
        <w:spacing w:before="120" w:after="60" w:line="240" w:lineRule="auto"/>
        <w:jc w:val="center"/>
        <w:rPr>
          <w:rFonts w:ascii="Times New Roman" w:eastAsia="Times New Roman" w:hAnsi="Times New Roman" w:cs="Times New Roman"/>
          <w:sz w:val="16"/>
          <w:szCs w:val="16"/>
          <w:lang w:eastAsia="cs-CZ"/>
        </w:rPr>
      </w:pPr>
      <w:r w:rsidRPr="007D020B">
        <w:rPr>
          <w:rFonts w:ascii="Times New Roman" w:eastAsia="Times New Roman" w:hAnsi="Times New Roman" w:cs="Times New Roman"/>
          <w:b/>
          <w:sz w:val="16"/>
          <w:szCs w:val="16"/>
          <w:lang w:eastAsia="cs-CZ"/>
        </w:rPr>
        <w:t>Tabuľka 10</w:t>
      </w:r>
      <w:r w:rsidR="00B91F97">
        <w:rPr>
          <w:rFonts w:ascii="Times New Roman" w:eastAsia="Times New Roman" w:hAnsi="Times New Roman" w:cs="Times New Roman"/>
          <w:b/>
          <w:sz w:val="16"/>
          <w:szCs w:val="16"/>
          <w:lang w:eastAsia="cs-CZ"/>
        </w:rPr>
        <w:t>:</w:t>
      </w:r>
      <w:r w:rsidRPr="007D020B">
        <w:rPr>
          <w:rFonts w:ascii="Times New Roman" w:eastAsia="Times New Roman" w:hAnsi="Times New Roman" w:cs="Times New Roman"/>
          <w:sz w:val="16"/>
          <w:szCs w:val="16"/>
          <w:lang w:eastAsia="cs-CZ"/>
        </w:rPr>
        <w:t xml:space="preserve"> Výdavky na priemernú jednotku výstupu</w:t>
      </w:r>
      <w:r>
        <w:rPr>
          <w:rFonts w:ascii="Times New Roman" w:eastAsia="Times New Roman" w:hAnsi="Times New Roman" w:cs="Times New Roman"/>
          <w:sz w:val="16"/>
          <w:szCs w:val="16"/>
          <w:lang w:eastAsia="cs-CZ"/>
        </w:rPr>
        <w:t xml:space="preserve"> </w:t>
      </w:r>
      <w:r w:rsidR="00A04E37">
        <w:rPr>
          <w:rFonts w:ascii="Times New Roman" w:eastAsia="Times New Roman" w:hAnsi="Times New Roman" w:cs="Times New Roman"/>
          <w:sz w:val="16"/>
          <w:szCs w:val="16"/>
          <w:lang w:eastAsia="cs-CZ"/>
        </w:rPr>
        <w:t xml:space="preserve">výkonu na úsekoch prenesených pôsobností </w:t>
      </w:r>
      <w:r>
        <w:rPr>
          <w:rFonts w:ascii="Times New Roman" w:eastAsia="Times New Roman" w:hAnsi="Times New Roman" w:cs="Times New Roman"/>
          <w:sz w:val="16"/>
          <w:szCs w:val="16"/>
          <w:lang w:eastAsia="cs-CZ"/>
        </w:rPr>
        <w:t>podľa veľkostných kategórií</w:t>
      </w:r>
      <w:r w:rsidR="00A04E37">
        <w:rPr>
          <w:rFonts w:ascii="Times New Roman" w:eastAsia="Times New Roman" w:hAnsi="Times New Roman" w:cs="Times New Roman"/>
          <w:sz w:val="16"/>
          <w:szCs w:val="16"/>
          <w:lang w:eastAsia="cs-CZ"/>
        </w:rPr>
        <w:t xml:space="preserve"> obcí</w:t>
      </w:r>
    </w:p>
    <w:tbl>
      <w:tblPr>
        <w:tblStyle w:val="Mriekatabuky"/>
        <w:tblW w:w="0" w:type="auto"/>
        <w:tblLook w:val="04A0" w:firstRow="1" w:lastRow="0" w:firstColumn="1" w:lastColumn="0" w:noHBand="0" w:noVBand="1"/>
      </w:tblPr>
      <w:tblGrid>
        <w:gridCol w:w="1380"/>
        <w:gridCol w:w="1989"/>
        <w:gridCol w:w="1275"/>
        <w:gridCol w:w="1276"/>
        <w:gridCol w:w="1276"/>
        <w:gridCol w:w="1276"/>
        <w:gridCol w:w="1192"/>
      </w:tblGrid>
      <w:tr w:rsidR="00CD2B72" w:rsidRPr="00F109FF" w:rsidTr="00923A0F">
        <w:tc>
          <w:tcPr>
            <w:tcW w:w="1380" w:type="dxa"/>
            <w:tcBorders>
              <w:top w:val="nil"/>
              <w:left w:val="nil"/>
              <w:right w:val="nil"/>
            </w:tcBorders>
            <w:vAlign w:val="bottom"/>
          </w:tcPr>
          <w:p w:rsidR="00A140F7" w:rsidRDefault="00A140F7">
            <w:pPr>
              <w:keepNext/>
              <w:spacing w:after="0" w:line="240" w:lineRule="auto"/>
              <w:jc w:val="center"/>
              <w:rPr>
                <w:rFonts w:ascii="Times New Roman" w:hAnsi="Times New Roman" w:cs="Times New Roman"/>
                <w:b/>
                <w:bCs/>
                <w:color w:val="000000"/>
                <w:sz w:val="18"/>
                <w:szCs w:val="18"/>
              </w:rPr>
            </w:pPr>
          </w:p>
        </w:tc>
        <w:tc>
          <w:tcPr>
            <w:tcW w:w="1989" w:type="dxa"/>
            <w:tcBorders>
              <w:top w:val="nil"/>
              <w:left w:val="nil"/>
            </w:tcBorders>
            <w:vAlign w:val="bottom"/>
          </w:tcPr>
          <w:p w:rsidR="00A140F7" w:rsidRDefault="00A140F7">
            <w:pPr>
              <w:keepNext/>
              <w:spacing w:after="0" w:line="240" w:lineRule="auto"/>
              <w:jc w:val="center"/>
              <w:rPr>
                <w:rFonts w:ascii="Times New Roman" w:hAnsi="Times New Roman" w:cs="Times New Roman"/>
                <w:b/>
                <w:bCs/>
                <w:color w:val="000000"/>
                <w:sz w:val="18"/>
                <w:szCs w:val="18"/>
              </w:rPr>
            </w:pPr>
          </w:p>
        </w:tc>
        <w:tc>
          <w:tcPr>
            <w:tcW w:w="6295" w:type="dxa"/>
            <w:gridSpan w:val="5"/>
            <w:vAlign w:val="bottom"/>
          </w:tcPr>
          <w:p w:rsidR="00A140F7" w:rsidRDefault="00CD2B72">
            <w:pPr>
              <w:keepNext/>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Výdavky na priemernú jednotku výstupu v EUR</w:t>
            </w:r>
          </w:p>
        </w:tc>
      </w:tr>
      <w:tr w:rsidR="0024508E" w:rsidRPr="00F109FF" w:rsidTr="00923A0F">
        <w:tc>
          <w:tcPr>
            <w:tcW w:w="1380" w:type="dxa"/>
            <w:vAlign w:val="center"/>
          </w:tcPr>
          <w:p w:rsidR="00A140F7" w:rsidRPr="009037A3" w:rsidRDefault="009037A3" w:rsidP="009037A3">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m</w:t>
            </w:r>
            <w:r w:rsidR="0024508E" w:rsidRPr="009037A3">
              <w:rPr>
                <w:rFonts w:ascii="Times New Roman" w:hAnsi="Times New Roman" w:cs="Times New Roman"/>
                <w:bCs/>
                <w:color w:val="000000"/>
                <w:sz w:val="18"/>
                <w:szCs w:val="18"/>
              </w:rPr>
              <w:t>inisterstv</w:t>
            </w:r>
            <w:r>
              <w:rPr>
                <w:rFonts w:ascii="Times New Roman" w:hAnsi="Times New Roman" w:cs="Times New Roman"/>
                <w:bCs/>
                <w:color w:val="000000"/>
                <w:sz w:val="18"/>
                <w:szCs w:val="18"/>
              </w:rPr>
              <w:t>á</w:t>
            </w:r>
          </w:p>
        </w:tc>
        <w:tc>
          <w:tcPr>
            <w:tcW w:w="1989" w:type="dxa"/>
            <w:vAlign w:val="center"/>
          </w:tcPr>
          <w:p w:rsidR="00A140F7" w:rsidRPr="009037A3" w:rsidRDefault="009037A3" w:rsidP="009037A3">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ú</w:t>
            </w:r>
            <w:r w:rsidR="0024508E" w:rsidRPr="009037A3">
              <w:rPr>
                <w:rFonts w:ascii="Times New Roman" w:hAnsi="Times New Roman" w:cs="Times New Roman"/>
                <w:bCs/>
                <w:color w:val="000000"/>
                <w:sz w:val="18"/>
                <w:szCs w:val="18"/>
              </w:rPr>
              <w:t>seky štátnej správy prenesené na obce</w:t>
            </w:r>
          </w:p>
        </w:tc>
        <w:tc>
          <w:tcPr>
            <w:tcW w:w="1275" w:type="dxa"/>
            <w:vAlign w:val="center"/>
          </w:tcPr>
          <w:p w:rsidR="00A140F7" w:rsidRPr="009037A3" w:rsidRDefault="009037A3" w:rsidP="009037A3">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0024508E" w:rsidRPr="009037A3">
              <w:rPr>
                <w:rFonts w:ascii="Times New Roman" w:hAnsi="Times New Roman" w:cs="Times New Roman"/>
                <w:bCs/>
                <w:color w:val="000000"/>
                <w:sz w:val="18"/>
                <w:szCs w:val="18"/>
              </w:rPr>
              <w:t>bce do 500 obyvateľov</w:t>
            </w:r>
          </w:p>
        </w:tc>
        <w:tc>
          <w:tcPr>
            <w:tcW w:w="1276" w:type="dxa"/>
            <w:vAlign w:val="center"/>
          </w:tcPr>
          <w:p w:rsidR="00A140F7" w:rsidRPr="009037A3" w:rsidRDefault="009037A3" w:rsidP="009037A3">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0024508E" w:rsidRPr="009037A3">
              <w:rPr>
                <w:rFonts w:ascii="Times New Roman" w:hAnsi="Times New Roman" w:cs="Times New Roman"/>
                <w:bCs/>
                <w:color w:val="000000"/>
                <w:sz w:val="18"/>
                <w:szCs w:val="18"/>
              </w:rPr>
              <w:t>bce od 501 - 1000 obyvateľov</w:t>
            </w:r>
          </w:p>
        </w:tc>
        <w:tc>
          <w:tcPr>
            <w:tcW w:w="1276" w:type="dxa"/>
            <w:vAlign w:val="center"/>
          </w:tcPr>
          <w:p w:rsidR="00A140F7" w:rsidRPr="009037A3" w:rsidRDefault="009037A3" w:rsidP="009037A3">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0024508E" w:rsidRPr="009037A3">
              <w:rPr>
                <w:rFonts w:ascii="Times New Roman" w:hAnsi="Times New Roman" w:cs="Times New Roman"/>
                <w:bCs/>
                <w:color w:val="000000"/>
                <w:sz w:val="18"/>
                <w:szCs w:val="18"/>
              </w:rPr>
              <w:t>bce od 1001 - 5000 obyvateľov</w:t>
            </w:r>
          </w:p>
        </w:tc>
        <w:tc>
          <w:tcPr>
            <w:tcW w:w="1276" w:type="dxa"/>
            <w:vAlign w:val="center"/>
          </w:tcPr>
          <w:p w:rsidR="00A140F7" w:rsidRPr="009037A3" w:rsidRDefault="009037A3" w:rsidP="009037A3">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o</w:t>
            </w:r>
            <w:r w:rsidR="0024508E" w:rsidRPr="009037A3">
              <w:rPr>
                <w:rFonts w:ascii="Times New Roman" w:hAnsi="Times New Roman" w:cs="Times New Roman"/>
                <w:bCs/>
                <w:color w:val="000000"/>
                <w:sz w:val="18"/>
                <w:szCs w:val="18"/>
              </w:rPr>
              <w:t>bce nad 5000 obyvateľov</w:t>
            </w:r>
          </w:p>
        </w:tc>
        <w:tc>
          <w:tcPr>
            <w:tcW w:w="1192" w:type="dxa"/>
            <w:vAlign w:val="center"/>
          </w:tcPr>
          <w:p w:rsidR="00A140F7" w:rsidRPr="009037A3" w:rsidRDefault="009037A3" w:rsidP="009037A3">
            <w:pPr>
              <w:keepNext/>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bCs/>
                <w:color w:val="000000"/>
                <w:sz w:val="18"/>
                <w:szCs w:val="18"/>
              </w:rPr>
              <w:t>p</w:t>
            </w:r>
            <w:r w:rsidR="0024508E" w:rsidRPr="009037A3">
              <w:rPr>
                <w:rFonts w:ascii="Times New Roman" w:hAnsi="Times New Roman" w:cs="Times New Roman"/>
                <w:bCs/>
                <w:color w:val="000000"/>
                <w:sz w:val="18"/>
                <w:szCs w:val="18"/>
              </w:rPr>
              <w:t>riemerné jednotkové výdavky</w:t>
            </w:r>
          </w:p>
        </w:tc>
      </w:tr>
      <w:tr w:rsidR="00874C83" w:rsidRPr="00F109FF" w:rsidTr="00923A0F">
        <w:tc>
          <w:tcPr>
            <w:tcW w:w="1380" w:type="dxa"/>
            <w:vMerge w:val="restart"/>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MDVRR SR</w:t>
            </w: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miestnych a účelových komunikácií</w:t>
            </w:r>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1,90</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13,95</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9,23</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4,58</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7,41</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špeciálneho stavebného úradu pre miestne a účelové komunikácie</w:t>
            </w:r>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80,33</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66,39</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51,49</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83237D">
              <w:rPr>
                <w:rFonts w:ascii="Times New Roman" w:hAnsi="Times New Roman" w:cs="Times New Roman"/>
                <w:color w:val="000000"/>
                <w:sz w:val="18"/>
                <w:szCs w:val="18"/>
              </w:rPr>
              <w:t>1074,98</w:t>
            </w:r>
            <w:r w:rsidR="00731FC9" w:rsidRPr="0083237D">
              <w:rPr>
                <w:rFonts w:ascii="Times New Roman" w:hAnsi="Times New Roman" w:cs="Times New Roman"/>
                <w:color w:val="000000"/>
                <w:sz w:val="18"/>
                <w:szCs w:val="18"/>
              </w:rPr>
              <w:t>**</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318,30</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stavebného poriadku</w:t>
            </w:r>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23,74</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23,77</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33,08</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31,89</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28,12</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bývania</w:t>
            </w:r>
          </w:p>
        </w:tc>
        <w:tc>
          <w:tcPr>
            <w:tcW w:w="1275" w:type="dxa"/>
            <w:vAlign w:val="center"/>
          </w:tcPr>
          <w:p w:rsidR="00874C83" w:rsidRDefault="00A335A6"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w:t>
            </w:r>
          </w:p>
        </w:tc>
        <w:tc>
          <w:tcPr>
            <w:tcW w:w="1276" w:type="dxa"/>
            <w:vAlign w:val="center"/>
          </w:tcPr>
          <w:p w:rsidR="00874C83" w:rsidRDefault="00A335A6"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w:t>
            </w:r>
          </w:p>
        </w:tc>
        <w:tc>
          <w:tcPr>
            <w:tcW w:w="1276" w:type="dxa"/>
            <w:vAlign w:val="center"/>
          </w:tcPr>
          <w:p w:rsidR="00874C83" w:rsidRDefault="00A335A6"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w:t>
            </w:r>
          </w:p>
        </w:tc>
        <w:tc>
          <w:tcPr>
            <w:tcW w:w="1276" w:type="dxa"/>
            <w:vAlign w:val="center"/>
          </w:tcPr>
          <w:p w:rsidR="00874C83" w:rsidRDefault="00A335A6" w:rsidP="00874C83">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w:t>
            </w:r>
          </w:p>
        </w:tc>
        <w:tc>
          <w:tcPr>
            <w:tcW w:w="1192" w:type="dxa"/>
            <w:vAlign w:val="center"/>
          </w:tcPr>
          <w:p w:rsidR="00874C83" w:rsidRDefault="00A335A6" w:rsidP="00874C83">
            <w:pPr>
              <w:spacing w:after="0" w:line="240" w:lineRule="auto"/>
              <w:jc w:val="center"/>
              <w:rPr>
                <w:rFonts w:ascii="Times New Roman" w:eastAsia="Times New Roman" w:hAnsi="Times New Roman" w:cs="Times New Roman"/>
                <w:sz w:val="18"/>
                <w:szCs w:val="18"/>
                <w:lang w:eastAsia="cs-CZ"/>
              </w:rPr>
            </w:pPr>
            <w:r>
              <w:rPr>
                <w:rFonts w:ascii="Times New Roman" w:hAnsi="Times New Roman" w:cs="Times New Roman"/>
                <w:color w:val="000000"/>
                <w:sz w:val="18"/>
                <w:szCs w:val="18"/>
              </w:rPr>
              <w:t>48,60</w:t>
            </w:r>
          </w:p>
        </w:tc>
      </w:tr>
      <w:tr w:rsidR="00874C83" w:rsidRPr="00F109FF" w:rsidTr="00923A0F">
        <w:tc>
          <w:tcPr>
            <w:tcW w:w="1380" w:type="dxa"/>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MH SR</w:t>
            </w: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hospodárskej mobilizácie</w:t>
            </w:r>
          </w:p>
        </w:tc>
        <w:tc>
          <w:tcPr>
            <w:tcW w:w="1275"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192" w:type="dxa"/>
            <w:shd w:val="clear" w:color="auto" w:fill="auto"/>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r>
      <w:tr w:rsidR="00874C83" w:rsidRPr="00F109FF" w:rsidTr="00923A0F">
        <w:tc>
          <w:tcPr>
            <w:tcW w:w="1380" w:type="dxa"/>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MŠVVŠ SR</w:t>
            </w: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školstva (zriaďovateľská pôsobnosť vo vzťahu k základným školám)</w:t>
            </w:r>
          </w:p>
        </w:tc>
        <w:tc>
          <w:tcPr>
            <w:tcW w:w="1275" w:type="dxa"/>
            <w:shd w:val="clear" w:color="auto" w:fill="auto"/>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32,80</w:t>
            </w:r>
          </w:p>
        </w:tc>
        <w:tc>
          <w:tcPr>
            <w:tcW w:w="1276" w:type="dxa"/>
            <w:shd w:val="clear" w:color="auto" w:fill="auto"/>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23,43</w:t>
            </w:r>
          </w:p>
        </w:tc>
        <w:tc>
          <w:tcPr>
            <w:tcW w:w="1276" w:type="dxa"/>
            <w:shd w:val="clear" w:color="auto" w:fill="auto"/>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26,23</w:t>
            </w:r>
          </w:p>
        </w:tc>
        <w:tc>
          <w:tcPr>
            <w:tcW w:w="1276" w:type="dxa"/>
            <w:shd w:val="clear" w:color="auto" w:fill="auto"/>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12,71</w:t>
            </w:r>
          </w:p>
        </w:tc>
        <w:tc>
          <w:tcPr>
            <w:tcW w:w="1192" w:type="dxa"/>
            <w:shd w:val="clear" w:color="auto" w:fill="auto"/>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23,79</w:t>
            </w:r>
          </w:p>
        </w:tc>
      </w:tr>
      <w:tr w:rsidR="00874C83" w:rsidRPr="00F109FF" w:rsidTr="00923A0F">
        <w:tc>
          <w:tcPr>
            <w:tcW w:w="1380" w:type="dxa"/>
            <w:vMerge w:val="restart"/>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MV SR</w:t>
            </w: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matrík</w:t>
            </w:r>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61,89</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47,80</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27,77</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7,96</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36,35</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bookmarkStart w:id="15" w:name="_Hlk366509153"/>
            <w:r w:rsidRPr="00F109FF">
              <w:rPr>
                <w:rFonts w:ascii="Times New Roman" w:hAnsi="Times New Roman" w:cs="Times New Roman"/>
                <w:color w:val="000000"/>
                <w:sz w:val="18"/>
                <w:szCs w:val="18"/>
              </w:rPr>
              <w:t>úsek hlásenia pobytu a registra obyvateľov</w:t>
            </w:r>
            <w:bookmarkEnd w:id="15"/>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3,52</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3,40</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3,59</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2,82</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3,33</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ochrany pred požiarmi</w:t>
            </w:r>
          </w:p>
        </w:tc>
        <w:tc>
          <w:tcPr>
            <w:tcW w:w="1275"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192"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volieb a referenda</w:t>
            </w:r>
          </w:p>
        </w:tc>
        <w:tc>
          <w:tcPr>
            <w:tcW w:w="1275"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192"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r>
      <w:tr w:rsidR="00874C83" w:rsidRPr="00F109FF" w:rsidTr="00923A0F">
        <w:tc>
          <w:tcPr>
            <w:tcW w:w="1380" w:type="dxa"/>
            <w:vMerge w:val="restart"/>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MŽP SR</w:t>
            </w: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ochrany ovzdušia</w:t>
            </w:r>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17,55</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18,13</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20,28</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24,47</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20,11</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ochrany pred povodňami</w:t>
            </w:r>
          </w:p>
        </w:tc>
        <w:tc>
          <w:tcPr>
            <w:tcW w:w="1275"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276"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c>
          <w:tcPr>
            <w:tcW w:w="1192" w:type="dxa"/>
            <w:vAlign w:val="center"/>
          </w:tcPr>
          <w:p w:rsidR="00874C83" w:rsidRPr="00F109FF"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ochrany krajiny a prírody</w:t>
            </w:r>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6,33</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7,46</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9,13</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8,64</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7,89</w:t>
            </w:r>
          </w:p>
        </w:tc>
      </w:tr>
      <w:tr w:rsidR="00874C83" w:rsidRPr="00F109FF" w:rsidTr="00923A0F">
        <w:tc>
          <w:tcPr>
            <w:tcW w:w="1380" w:type="dxa"/>
            <w:vMerge/>
            <w:vAlign w:val="center"/>
          </w:tcPr>
          <w:p w:rsidR="00874C83" w:rsidRPr="00F109FF" w:rsidRDefault="00874C83" w:rsidP="0024508E">
            <w:pPr>
              <w:spacing w:after="0" w:line="240" w:lineRule="auto"/>
              <w:jc w:val="center"/>
              <w:rPr>
                <w:rFonts w:ascii="Times New Roman" w:eastAsia="Times New Roman" w:hAnsi="Times New Roman" w:cs="Times New Roman"/>
                <w:sz w:val="18"/>
                <w:szCs w:val="18"/>
                <w:lang w:eastAsia="cs-CZ"/>
              </w:rPr>
            </w:pPr>
          </w:p>
        </w:tc>
        <w:tc>
          <w:tcPr>
            <w:tcW w:w="1989" w:type="dxa"/>
            <w:vAlign w:val="center"/>
          </w:tcPr>
          <w:p w:rsidR="00874C83" w:rsidRPr="00F109FF" w:rsidRDefault="00874C83" w:rsidP="0024508E">
            <w:pPr>
              <w:spacing w:after="0" w:line="240" w:lineRule="auto"/>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úsek št. vodnej správy</w:t>
            </w:r>
          </w:p>
        </w:tc>
        <w:tc>
          <w:tcPr>
            <w:tcW w:w="1275"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210,59</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150,98</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258,44</w:t>
            </w:r>
          </w:p>
        </w:tc>
        <w:tc>
          <w:tcPr>
            <w:tcW w:w="1276"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569,92</w:t>
            </w:r>
          </w:p>
        </w:tc>
        <w:tc>
          <w:tcPr>
            <w:tcW w:w="1192" w:type="dxa"/>
            <w:vAlign w:val="center"/>
          </w:tcPr>
          <w:p w:rsidR="00874C83" w:rsidRDefault="00874C83" w:rsidP="00874C83">
            <w:pPr>
              <w:spacing w:after="0" w:line="240" w:lineRule="auto"/>
              <w:jc w:val="center"/>
              <w:rPr>
                <w:rFonts w:ascii="Times New Roman" w:eastAsia="Times New Roman" w:hAnsi="Times New Roman" w:cs="Times New Roman"/>
                <w:sz w:val="18"/>
                <w:szCs w:val="18"/>
                <w:lang w:eastAsia="cs-CZ"/>
              </w:rPr>
            </w:pPr>
            <w:r w:rsidRPr="00F109FF">
              <w:rPr>
                <w:rFonts w:ascii="Times New Roman" w:hAnsi="Times New Roman" w:cs="Times New Roman"/>
                <w:color w:val="000000"/>
                <w:sz w:val="18"/>
                <w:szCs w:val="18"/>
              </w:rPr>
              <w:t>297,48</w:t>
            </w:r>
          </w:p>
        </w:tc>
      </w:tr>
    </w:tbl>
    <w:p w:rsidR="00731FC9" w:rsidRDefault="00731FC9" w:rsidP="0024508E">
      <w:pPr>
        <w:pStyle w:val="Odsekzoznamu"/>
        <w:spacing w:after="0" w:line="240" w:lineRule="auto"/>
        <w:ind w:left="0"/>
        <w:jc w:val="both"/>
        <w:rPr>
          <w:rFonts w:ascii="Times New Roman" w:eastAsia="Times New Roman" w:hAnsi="Times New Roman" w:cs="Times New Roman"/>
          <w:sz w:val="16"/>
          <w:szCs w:val="16"/>
          <w:lang w:eastAsia="cs-CZ"/>
        </w:rPr>
      </w:pPr>
      <w:r>
        <w:rPr>
          <w:rFonts w:ascii="Times New Roman" w:eastAsia="Times New Roman" w:hAnsi="Times New Roman" w:cs="Times New Roman"/>
          <w:sz w:val="16"/>
          <w:szCs w:val="16"/>
          <w:lang w:eastAsia="cs-CZ"/>
        </w:rPr>
        <w:t>Vysvetlivky k tabuľke:</w:t>
      </w:r>
    </w:p>
    <w:p w:rsidR="0024508E" w:rsidRDefault="0024508E" w:rsidP="00731FC9">
      <w:pPr>
        <w:pStyle w:val="Odsekzoznamu"/>
        <w:tabs>
          <w:tab w:val="left" w:pos="284"/>
        </w:tabs>
        <w:spacing w:after="0" w:line="240" w:lineRule="auto"/>
        <w:ind w:left="0"/>
        <w:jc w:val="both"/>
        <w:rPr>
          <w:rFonts w:ascii="Times New Roman" w:eastAsia="Times New Roman" w:hAnsi="Times New Roman" w:cs="Times New Roman"/>
          <w:sz w:val="16"/>
          <w:szCs w:val="16"/>
          <w:lang w:eastAsia="cs-CZ"/>
        </w:rPr>
      </w:pPr>
      <w:r w:rsidRPr="004828E6">
        <w:rPr>
          <w:rFonts w:ascii="Times New Roman" w:eastAsia="Times New Roman" w:hAnsi="Times New Roman" w:cs="Times New Roman"/>
          <w:sz w:val="16"/>
          <w:szCs w:val="16"/>
          <w:lang w:eastAsia="cs-CZ"/>
        </w:rPr>
        <w:t xml:space="preserve">* </w:t>
      </w:r>
      <w:r w:rsidR="00731FC9">
        <w:rPr>
          <w:rFonts w:ascii="Times New Roman" w:eastAsia="Times New Roman" w:hAnsi="Times New Roman" w:cs="Times New Roman"/>
          <w:sz w:val="16"/>
          <w:szCs w:val="16"/>
          <w:lang w:eastAsia="cs-CZ"/>
        </w:rPr>
        <w:tab/>
      </w:r>
      <w:r w:rsidRPr="004828E6">
        <w:rPr>
          <w:rFonts w:ascii="Times New Roman" w:eastAsia="Times New Roman" w:hAnsi="Times New Roman" w:cs="Times New Roman"/>
          <w:sz w:val="16"/>
          <w:szCs w:val="16"/>
          <w:lang w:eastAsia="cs-CZ"/>
        </w:rPr>
        <w:t xml:space="preserve">Nebolo možné vyčísliť nakoľko </w:t>
      </w:r>
      <w:r w:rsidR="004828E6" w:rsidRPr="004828E6">
        <w:rPr>
          <w:rFonts w:ascii="Times New Roman" w:eastAsia="Times New Roman" w:hAnsi="Times New Roman" w:cs="Times New Roman"/>
          <w:sz w:val="16"/>
          <w:szCs w:val="16"/>
          <w:lang w:eastAsia="cs-CZ"/>
        </w:rPr>
        <w:t>ministerstvo nemá údaje k dispozícii</w:t>
      </w:r>
      <w:r w:rsidRPr="004828E6">
        <w:rPr>
          <w:rFonts w:ascii="Times New Roman" w:eastAsia="Times New Roman" w:hAnsi="Times New Roman" w:cs="Times New Roman"/>
          <w:sz w:val="16"/>
          <w:szCs w:val="16"/>
          <w:lang w:eastAsia="cs-CZ"/>
        </w:rPr>
        <w:t>.</w:t>
      </w:r>
    </w:p>
    <w:p w:rsidR="00731FC9" w:rsidRPr="004828E6" w:rsidRDefault="00731FC9" w:rsidP="00731FC9">
      <w:pPr>
        <w:pStyle w:val="Odsekzoznamu"/>
        <w:tabs>
          <w:tab w:val="left" w:pos="284"/>
        </w:tabs>
        <w:spacing w:after="0" w:line="240" w:lineRule="auto"/>
        <w:ind w:left="0"/>
        <w:jc w:val="both"/>
        <w:rPr>
          <w:rFonts w:ascii="Times New Roman" w:eastAsia="Times New Roman" w:hAnsi="Times New Roman" w:cs="Times New Roman"/>
          <w:sz w:val="16"/>
          <w:szCs w:val="16"/>
          <w:lang w:eastAsia="cs-CZ"/>
        </w:rPr>
      </w:pPr>
      <w:r w:rsidRPr="0083237D">
        <w:rPr>
          <w:rFonts w:ascii="Times New Roman" w:eastAsia="Times New Roman" w:hAnsi="Times New Roman" w:cs="Times New Roman"/>
          <w:sz w:val="16"/>
          <w:szCs w:val="16"/>
          <w:lang w:eastAsia="cs-CZ"/>
        </w:rPr>
        <w:t>*</w:t>
      </w:r>
      <w:r w:rsidR="00926B0A" w:rsidRPr="0083237D">
        <w:rPr>
          <w:rFonts w:ascii="Times New Roman" w:eastAsia="Times New Roman" w:hAnsi="Times New Roman" w:cs="Times New Roman"/>
          <w:sz w:val="16"/>
          <w:szCs w:val="16"/>
          <w:lang w:eastAsia="cs-CZ"/>
        </w:rPr>
        <w:t xml:space="preserve">* </w:t>
      </w:r>
      <w:r w:rsidR="00926B0A" w:rsidRPr="0083237D">
        <w:rPr>
          <w:rFonts w:ascii="Times New Roman" w:eastAsia="Times New Roman" w:hAnsi="Times New Roman" w:cs="Times New Roman"/>
          <w:sz w:val="16"/>
          <w:szCs w:val="16"/>
          <w:lang w:eastAsia="cs-CZ"/>
        </w:rPr>
        <w:tab/>
      </w:r>
      <w:r w:rsidR="009A5D63" w:rsidRPr="0083237D">
        <w:rPr>
          <w:rFonts w:ascii="Times New Roman" w:eastAsia="Times New Roman" w:hAnsi="Times New Roman" w:cs="Times New Roman"/>
          <w:sz w:val="16"/>
          <w:szCs w:val="16"/>
          <w:lang w:eastAsia="cs-CZ"/>
        </w:rPr>
        <w:t>Číslo je vo vzťahu k ostatným neprimerane vysoké</w:t>
      </w:r>
      <w:r w:rsidR="00926B0A" w:rsidRPr="0083237D">
        <w:rPr>
          <w:rFonts w:ascii="Times New Roman" w:eastAsia="Times New Roman" w:hAnsi="Times New Roman" w:cs="Times New Roman"/>
          <w:sz w:val="16"/>
          <w:szCs w:val="16"/>
          <w:lang w:eastAsia="cs-CZ"/>
        </w:rPr>
        <w:t>, možno predpokladať, že ide o</w:t>
      </w:r>
      <w:r w:rsidR="00267641" w:rsidRPr="0083237D">
        <w:rPr>
          <w:rFonts w:ascii="Times New Roman" w:eastAsia="Times New Roman" w:hAnsi="Times New Roman" w:cs="Times New Roman"/>
          <w:sz w:val="16"/>
          <w:szCs w:val="16"/>
          <w:lang w:eastAsia="cs-CZ"/>
        </w:rPr>
        <w:t> </w:t>
      </w:r>
      <w:r w:rsidR="00926B0A" w:rsidRPr="0083237D">
        <w:rPr>
          <w:rFonts w:ascii="Times New Roman" w:eastAsia="Times New Roman" w:hAnsi="Times New Roman" w:cs="Times New Roman"/>
          <w:sz w:val="16"/>
          <w:szCs w:val="16"/>
          <w:lang w:eastAsia="cs-CZ"/>
        </w:rPr>
        <w:t>chybu</w:t>
      </w:r>
      <w:r w:rsidR="00267641" w:rsidRPr="0083237D">
        <w:rPr>
          <w:rFonts w:ascii="Times New Roman" w:eastAsia="Times New Roman" w:hAnsi="Times New Roman" w:cs="Times New Roman"/>
          <w:sz w:val="16"/>
          <w:szCs w:val="16"/>
          <w:lang w:eastAsia="cs-CZ"/>
        </w:rPr>
        <w:t xml:space="preserve"> v podkladoch, ktoré zaslali obce</w:t>
      </w:r>
      <w:r w:rsidR="00926B0A" w:rsidRPr="0083237D">
        <w:rPr>
          <w:rFonts w:ascii="Times New Roman" w:eastAsia="Times New Roman" w:hAnsi="Times New Roman" w:cs="Times New Roman"/>
          <w:sz w:val="16"/>
          <w:szCs w:val="16"/>
          <w:lang w:eastAsia="cs-CZ"/>
        </w:rPr>
        <w:t>.</w:t>
      </w:r>
    </w:p>
    <w:p w:rsidR="00CD2B72" w:rsidRDefault="00CD2B72" w:rsidP="0024508E">
      <w:pPr>
        <w:spacing w:before="120" w:after="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Zistená korelácia nepotvrdzuje všeobecné očakávanie, že s veľkosťou obce</w:t>
      </w:r>
      <w:r w:rsidR="00DD5CA5">
        <w:rPr>
          <w:rFonts w:ascii="Times New Roman" w:eastAsia="Times New Roman" w:hAnsi="Times New Roman" w:cs="Times New Roman"/>
          <w:lang w:eastAsia="cs-CZ"/>
        </w:rPr>
        <w:t xml:space="preserve"> sa zvyšuje </w:t>
      </w:r>
      <w:r w:rsidR="001D4B5E">
        <w:rPr>
          <w:rFonts w:ascii="Times New Roman" w:eastAsia="Times New Roman" w:hAnsi="Times New Roman" w:cs="Times New Roman"/>
          <w:lang w:eastAsia="cs-CZ"/>
        </w:rPr>
        <w:t xml:space="preserve">nákladová </w:t>
      </w:r>
      <w:r w:rsidR="00DD5CA5">
        <w:rPr>
          <w:rFonts w:ascii="Times New Roman" w:eastAsia="Times New Roman" w:hAnsi="Times New Roman" w:cs="Times New Roman"/>
          <w:lang w:eastAsia="cs-CZ"/>
        </w:rPr>
        <w:t xml:space="preserve">efektívnosť plnenia úloh. Priemerné jednotkové výdavky klesajú iba na úseku matrík  a s istým výkyvom aj </w:t>
      </w:r>
      <w:r w:rsidR="00DD5CA5">
        <w:rPr>
          <w:rFonts w:ascii="Times New Roman" w:eastAsia="Times New Roman" w:hAnsi="Times New Roman" w:cs="Times New Roman"/>
          <w:lang w:eastAsia="cs-CZ"/>
        </w:rPr>
        <w:lastRenderedPageBreak/>
        <w:t xml:space="preserve">na úseku školstva a </w:t>
      </w:r>
      <w:r w:rsidR="00DD5CA5" w:rsidRPr="00DD5CA5">
        <w:rPr>
          <w:rFonts w:ascii="Times New Roman" w:eastAsia="Times New Roman" w:hAnsi="Times New Roman" w:cs="Times New Roman"/>
          <w:lang w:eastAsia="cs-CZ"/>
        </w:rPr>
        <w:t>úsek</w:t>
      </w:r>
      <w:r w:rsidR="00DD5CA5">
        <w:rPr>
          <w:rFonts w:ascii="Times New Roman" w:eastAsia="Times New Roman" w:hAnsi="Times New Roman" w:cs="Times New Roman"/>
          <w:lang w:eastAsia="cs-CZ"/>
        </w:rPr>
        <w:t>u</w:t>
      </w:r>
      <w:r w:rsidR="00DD5CA5" w:rsidRPr="00DD5CA5">
        <w:rPr>
          <w:rFonts w:ascii="Times New Roman" w:eastAsia="Times New Roman" w:hAnsi="Times New Roman" w:cs="Times New Roman"/>
          <w:lang w:eastAsia="cs-CZ"/>
        </w:rPr>
        <w:t xml:space="preserve"> hlásenia pobytu a registra obyvateľov</w:t>
      </w:r>
      <w:r w:rsidR="00DD5CA5">
        <w:rPr>
          <w:rFonts w:ascii="Times New Roman" w:eastAsia="Times New Roman" w:hAnsi="Times New Roman" w:cs="Times New Roman"/>
          <w:lang w:eastAsia="cs-CZ"/>
        </w:rPr>
        <w:t xml:space="preserve">. Na ostatných úsekoch stúpajú výdavky na priemernú jednotku výstupu </w:t>
      </w:r>
      <w:r w:rsidR="001D4B5E">
        <w:rPr>
          <w:rFonts w:ascii="Times New Roman" w:eastAsia="Times New Roman" w:hAnsi="Times New Roman" w:cs="Times New Roman"/>
          <w:lang w:eastAsia="cs-CZ"/>
        </w:rPr>
        <w:t xml:space="preserve">spolu </w:t>
      </w:r>
      <w:r w:rsidR="00DD5CA5">
        <w:rPr>
          <w:rFonts w:ascii="Times New Roman" w:eastAsia="Times New Roman" w:hAnsi="Times New Roman" w:cs="Times New Roman"/>
          <w:lang w:eastAsia="cs-CZ"/>
        </w:rPr>
        <w:t>s veľkosťou obce.</w:t>
      </w:r>
    </w:p>
    <w:p w:rsidR="00A140F7" w:rsidRDefault="003F50FD">
      <w:pPr>
        <w:spacing w:before="120" w:after="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Zistená závislosť </w:t>
      </w:r>
      <w:r w:rsidR="0024508E">
        <w:rPr>
          <w:rFonts w:ascii="Times New Roman" w:eastAsia="Times New Roman" w:hAnsi="Times New Roman" w:cs="Times New Roman"/>
          <w:lang w:eastAsia="cs-CZ"/>
        </w:rPr>
        <w:t>môže o.</w:t>
      </w:r>
      <w:r w:rsidR="0017223A">
        <w:rPr>
          <w:rFonts w:ascii="Times New Roman" w:eastAsia="Times New Roman" w:hAnsi="Times New Roman" w:cs="Times New Roman"/>
          <w:lang w:eastAsia="cs-CZ"/>
        </w:rPr>
        <w:t xml:space="preserve"> </w:t>
      </w:r>
      <w:r w:rsidR="0024508E">
        <w:rPr>
          <w:rFonts w:ascii="Times New Roman" w:eastAsia="Times New Roman" w:hAnsi="Times New Roman" w:cs="Times New Roman"/>
          <w:lang w:eastAsia="cs-CZ"/>
        </w:rPr>
        <w:t xml:space="preserve">i. poukazovať na rezervy v nákladovej efektívnosti plnenia úloh väčšími obcami, ale práve tak môže poukazovať aj na kapacitnú </w:t>
      </w:r>
      <w:proofErr w:type="spellStart"/>
      <w:r w:rsidR="0024508E">
        <w:rPr>
          <w:rFonts w:ascii="Times New Roman" w:eastAsia="Times New Roman" w:hAnsi="Times New Roman" w:cs="Times New Roman"/>
          <w:lang w:eastAsia="cs-CZ"/>
        </w:rPr>
        <w:t>poddimenzovanosť</w:t>
      </w:r>
      <w:proofErr w:type="spellEnd"/>
      <w:r w:rsidR="0024508E">
        <w:rPr>
          <w:rFonts w:ascii="Times New Roman" w:eastAsia="Times New Roman" w:hAnsi="Times New Roman" w:cs="Times New Roman"/>
          <w:lang w:eastAsia="cs-CZ"/>
        </w:rPr>
        <w:t xml:space="preserve"> a z toho vyplývajúcu zníženú kvalitu plnenia úloh malými obcami. Tento aspekt možno vyhodnotiť len v spojitosti so sledovaním ukazovateľov kvality, čo je úlohou budúceho nastavenia systému.</w:t>
      </w:r>
      <w:r>
        <w:rPr>
          <w:rFonts w:ascii="Times New Roman" w:eastAsia="Times New Roman" w:hAnsi="Times New Roman" w:cs="Times New Roman"/>
          <w:lang w:eastAsia="cs-CZ"/>
        </w:rPr>
        <w:t xml:space="preserve"> Rovnako môže byť ovplyvnená </w:t>
      </w:r>
      <w:r w:rsidR="00874C83">
        <w:rPr>
          <w:rFonts w:ascii="Times New Roman" w:eastAsia="Times New Roman" w:hAnsi="Times New Roman" w:cs="Times New Roman"/>
          <w:lang w:eastAsia="cs-CZ"/>
        </w:rPr>
        <w:t xml:space="preserve">prípadným </w:t>
      </w:r>
      <w:r>
        <w:rPr>
          <w:rFonts w:ascii="Times New Roman" w:eastAsia="Times New Roman" w:hAnsi="Times New Roman" w:cs="Times New Roman"/>
          <w:lang w:eastAsia="cs-CZ"/>
        </w:rPr>
        <w:t>nekonzistentným vykazovaním vedúcim k nesp</w:t>
      </w:r>
      <w:r w:rsidR="00874C83">
        <w:rPr>
          <w:rFonts w:ascii="Times New Roman" w:eastAsia="Times New Roman" w:hAnsi="Times New Roman" w:cs="Times New Roman"/>
          <w:lang w:eastAsia="cs-CZ"/>
        </w:rPr>
        <w:t>oľahlivosti vykázaných údajov.</w:t>
      </w:r>
    </w:p>
    <w:p w:rsidR="00780104" w:rsidRDefault="00780104" w:rsidP="00780104">
      <w:pPr>
        <w:keepNext/>
        <w:spacing w:before="120" w:after="120" w:line="240" w:lineRule="auto"/>
        <w:ind w:firstLine="709"/>
        <w:jc w:val="both"/>
        <w:rPr>
          <w:rFonts w:ascii="Times New Roman" w:hAnsi="Times New Roman" w:cs="Times New Roman"/>
          <w:i/>
          <w:u w:val="single"/>
        </w:rPr>
      </w:pPr>
      <w:r w:rsidRPr="00617C02">
        <w:rPr>
          <w:rFonts w:ascii="Times New Roman" w:hAnsi="Times New Roman" w:cs="Times New Roman"/>
          <w:i/>
          <w:u w:val="single"/>
        </w:rPr>
        <w:t xml:space="preserve">Sumárne údaje o financovaní pôsobností prenesených  na </w:t>
      </w:r>
      <w:r>
        <w:rPr>
          <w:rFonts w:ascii="Times New Roman" w:hAnsi="Times New Roman" w:cs="Times New Roman"/>
          <w:i/>
          <w:u w:val="single"/>
        </w:rPr>
        <w:t>samosprávne kraje</w:t>
      </w:r>
    </w:p>
    <w:p w:rsidR="007D020B" w:rsidRPr="007D020B" w:rsidRDefault="007D020B" w:rsidP="007D020B">
      <w:pPr>
        <w:keepNext/>
        <w:spacing w:before="120" w:after="60" w:line="240" w:lineRule="auto"/>
        <w:jc w:val="center"/>
        <w:rPr>
          <w:rFonts w:ascii="Times New Roman" w:hAnsi="Times New Roman" w:cs="Times New Roman"/>
          <w:sz w:val="16"/>
          <w:szCs w:val="16"/>
        </w:rPr>
      </w:pPr>
      <w:r>
        <w:rPr>
          <w:rFonts w:ascii="Times New Roman" w:hAnsi="Times New Roman" w:cs="Times New Roman"/>
          <w:b/>
          <w:sz w:val="16"/>
          <w:szCs w:val="16"/>
        </w:rPr>
        <w:t>Tabuľka 11</w:t>
      </w:r>
      <w:r w:rsidR="00B91F97">
        <w:rPr>
          <w:rFonts w:ascii="Times New Roman" w:hAnsi="Times New Roman" w:cs="Times New Roman"/>
          <w:b/>
          <w:sz w:val="16"/>
          <w:szCs w:val="16"/>
        </w:rPr>
        <w:t>:</w:t>
      </w:r>
      <w:r w:rsidRPr="007D020B">
        <w:rPr>
          <w:rFonts w:ascii="Times New Roman" w:hAnsi="Times New Roman" w:cs="Times New Roman"/>
          <w:sz w:val="16"/>
          <w:szCs w:val="16"/>
        </w:rPr>
        <w:t xml:space="preserve"> Údaje o financovaní úsekov pôsobností prenesených na </w:t>
      </w:r>
      <w:r>
        <w:rPr>
          <w:rFonts w:ascii="Times New Roman" w:hAnsi="Times New Roman" w:cs="Times New Roman"/>
          <w:sz w:val="16"/>
          <w:szCs w:val="16"/>
        </w:rPr>
        <w:t>samosprávne kraje</w:t>
      </w:r>
    </w:p>
    <w:tbl>
      <w:tblPr>
        <w:tblStyle w:val="Mriekatabuky"/>
        <w:tblW w:w="0" w:type="auto"/>
        <w:tblLayout w:type="fixed"/>
        <w:tblLook w:val="04A0" w:firstRow="1" w:lastRow="0" w:firstColumn="1" w:lastColumn="0" w:noHBand="0" w:noVBand="1"/>
      </w:tblPr>
      <w:tblGrid>
        <w:gridCol w:w="1380"/>
        <w:gridCol w:w="4540"/>
        <w:gridCol w:w="1228"/>
        <w:gridCol w:w="1229"/>
        <w:gridCol w:w="1229"/>
      </w:tblGrid>
      <w:tr w:rsidR="00780104" w:rsidRPr="00F109FF" w:rsidTr="00591484">
        <w:tc>
          <w:tcPr>
            <w:tcW w:w="1380" w:type="dxa"/>
            <w:vMerge w:val="restart"/>
            <w:vAlign w:val="center"/>
          </w:tcPr>
          <w:p w:rsidR="00780104" w:rsidRPr="003E1A4A" w:rsidRDefault="00780104" w:rsidP="00591484">
            <w:pPr>
              <w:keepNext/>
              <w:spacing w:after="0" w:line="240" w:lineRule="auto"/>
              <w:jc w:val="center"/>
              <w:rPr>
                <w:rFonts w:ascii="Times New Roman" w:eastAsia="Times New Roman" w:hAnsi="Times New Roman" w:cs="Times New Roman"/>
                <w:sz w:val="18"/>
                <w:szCs w:val="18"/>
                <w:lang w:eastAsia="cs-CZ"/>
              </w:rPr>
            </w:pPr>
            <w:r w:rsidRPr="003E1A4A">
              <w:rPr>
                <w:rFonts w:ascii="Times New Roman" w:hAnsi="Times New Roman" w:cs="Times New Roman"/>
                <w:bCs/>
                <w:color w:val="000000"/>
                <w:sz w:val="18"/>
                <w:szCs w:val="18"/>
              </w:rPr>
              <w:t>m</w:t>
            </w:r>
            <w:r>
              <w:rPr>
                <w:rFonts w:ascii="Times New Roman" w:hAnsi="Times New Roman" w:cs="Times New Roman"/>
                <w:bCs/>
                <w:color w:val="000000"/>
                <w:sz w:val="18"/>
                <w:szCs w:val="18"/>
              </w:rPr>
              <w:t>i</w:t>
            </w:r>
            <w:r w:rsidRPr="003E1A4A">
              <w:rPr>
                <w:rFonts w:ascii="Times New Roman" w:hAnsi="Times New Roman" w:cs="Times New Roman"/>
                <w:bCs/>
                <w:color w:val="000000"/>
                <w:sz w:val="18"/>
                <w:szCs w:val="18"/>
              </w:rPr>
              <w:t>nisterstvá</w:t>
            </w:r>
          </w:p>
        </w:tc>
        <w:tc>
          <w:tcPr>
            <w:tcW w:w="4540" w:type="dxa"/>
            <w:vMerge w:val="restart"/>
            <w:vAlign w:val="center"/>
          </w:tcPr>
          <w:p w:rsidR="00780104" w:rsidRPr="003E1A4A" w:rsidRDefault="00780104" w:rsidP="00591484">
            <w:pPr>
              <w:keepNext/>
              <w:spacing w:after="0" w:line="240" w:lineRule="auto"/>
              <w:jc w:val="center"/>
              <w:rPr>
                <w:rFonts w:ascii="Times New Roman" w:eastAsia="Times New Roman" w:hAnsi="Times New Roman" w:cs="Times New Roman"/>
                <w:sz w:val="18"/>
                <w:szCs w:val="18"/>
                <w:lang w:eastAsia="cs-CZ"/>
              </w:rPr>
            </w:pPr>
            <w:r w:rsidRPr="003E1A4A">
              <w:rPr>
                <w:rFonts w:ascii="Times New Roman" w:hAnsi="Times New Roman" w:cs="Times New Roman"/>
                <w:bCs/>
                <w:color w:val="000000"/>
                <w:sz w:val="18"/>
                <w:szCs w:val="18"/>
              </w:rPr>
              <w:t>úseky štátnej správy prenesené na samosprávne kraje</w:t>
            </w:r>
          </w:p>
        </w:tc>
        <w:tc>
          <w:tcPr>
            <w:tcW w:w="3686" w:type="dxa"/>
            <w:gridSpan w:val="3"/>
            <w:vAlign w:val="center"/>
          </w:tcPr>
          <w:p w:rsidR="00780104" w:rsidRPr="003E1A4A" w:rsidRDefault="00780104" w:rsidP="00591484">
            <w:pPr>
              <w:keepNext/>
              <w:spacing w:after="0" w:line="240" w:lineRule="auto"/>
              <w:jc w:val="center"/>
              <w:rPr>
                <w:rFonts w:ascii="Times New Roman" w:hAnsi="Times New Roman" w:cs="Times New Roman"/>
                <w:bCs/>
                <w:color w:val="000000"/>
                <w:sz w:val="18"/>
                <w:szCs w:val="18"/>
              </w:rPr>
            </w:pPr>
            <w:r w:rsidRPr="003E1A4A">
              <w:rPr>
                <w:rFonts w:ascii="Times New Roman" w:hAnsi="Times New Roman" w:cs="Times New Roman"/>
                <w:bCs/>
                <w:color w:val="000000"/>
                <w:sz w:val="18"/>
                <w:szCs w:val="18"/>
              </w:rPr>
              <w:t>samosprávne kraje (v tis. EUR)</w:t>
            </w:r>
          </w:p>
        </w:tc>
      </w:tr>
      <w:tr w:rsidR="00780104" w:rsidRPr="00F109FF" w:rsidTr="00591484">
        <w:tc>
          <w:tcPr>
            <w:tcW w:w="1380" w:type="dxa"/>
            <w:vMerge/>
            <w:vAlign w:val="center"/>
          </w:tcPr>
          <w:p w:rsidR="00780104" w:rsidRPr="003E1A4A" w:rsidRDefault="00780104" w:rsidP="00591484">
            <w:pPr>
              <w:keepNext/>
              <w:spacing w:after="0" w:line="240" w:lineRule="auto"/>
              <w:jc w:val="center"/>
              <w:rPr>
                <w:rFonts w:ascii="Times New Roman" w:hAnsi="Times New Roman" w:cs="Times New Roman"/>
                <w:bCs/>
                <w:color w:val="000000"/>
                <w:sz w:val="18"/>
                <w:szCs w:val="18"/>
              </w:rPr>
            </w:pPr>
          </w:p>
        </w:tc>
        <w:tc>
          <w:tcPr>
            <w:tcW w:w="4540" w:type="dxa"/>
            <w:vMerge/>
            <w:vAlign w:val="center"/>
          </w:tcPr>
          <w:p w:rsidR="00780104" w:rsidRPr="003E1A4A" w:rsidRDefault="00780104" w:rsidP="00591484">
            <w:pPr>
              <w:keepNext/>
              <w:spacing w:after="0" w:line="240" w:lineRule="auto"/>
              <w:jc w:val="center"/>
              <w:rPr>
                <w:rFonts w:ascii="Times New Roman" w:hAnsi="Times New Roman" w:cs="Times New Roman"/>
                <w:bCs/>
                <w:color w:val="000000"/>
                <w:sz w:val="18"/>
                <w:szCs w:val="18"/>
              </w:rPr>
            </w:pPr>
          </w:p>
        </w:tc>
        <w:tc>
          <w:tcPr>
            <w:tcW w:w="1228" w:type="dxa"/>
            <w:vAlign w:val="center"/>
          </w:tcPr>
          <w:p w:rsidR="00780104" w:rsidRPr="003E1A4A" w:rsidRDefault="00780104" w:rsidP="00591484">
            <w:pPr>
              <w:keepNext/>
              <w:spacing w:after="0" w:line="240" w:lineRule="auto"/>
              <w:jc w:val="center"/>
              <w:rPr>
                <w:rFonts w:ascii="Times New Roman" w:hAnsi="Times New Roman" w:cs="Times New Roman"/>
                <w:bCs/>
                <w:color w:val="000000"/>
                <w:sz w:val="18"/>
                <w:szCs w:val="18"/>
              </w:rPr>
            </w:pPr>
            <w:r w:rsidRPr="003E1A4A">
              <w:rPr>
                <w:rFonts w:ascii="Times New Roman" w:hAnsi="Times New Roman" w:cs="Times New Roman"/>
                <w:bCs/>
                <w:color w:val="000000"/>
                <w:sz w:val="18"/>
                <w:szCs w:val="18"/>
              </w:rPr>
              <w:t>2001</w:t>
            </w:r>
          </w:p>
        </w:tc>
        <w:tc>
          <w:tcPr>
            <w:tcW w:w="1229" w:type="dxa"/>
            <w:vAlign w:val="center"/>
          </w:tcPr>
          <w:p w:rsidR="00780104" w:rsidRPr="003E1A4A" w:rsidRDefault="00780104" w:rsidP="00591484">
            <w:pPr>
              <w:keepNext/>
              <w:spacing w:after="0" w:line="240" w:lineRule="auto"/>
              <w:jc w:val="center"/>
              <w:rPr>
                <w:rFonts w:ascii="Times New Roman" w:hAnsi="Times New Roman" w:cs="Times New Roman"/>
                <w:bCs/>
                <w:color w:val="000000"/>
                <w:sz w:val="18"/>
                <w:szCs w:val="18"/>
              </w:rPr>
            </w:pPr>
            <w:r w:rsidRPr="003E1A4A">
              <w:rPr>
                <w:rFonts w:ascii="Times New Roman" w:hAnsi="Times New Roman" w:cs="Times New Roman"/>
                <w:bCs/>
                <w:color w:val="000000"/>
                <w:sz w:val="18"/>
                <w:szCs w:val="18"/>
              </w:rPr>
              <w:t>2005</w:t>
            </w:r>
          </w:p>
        </w:tc>
        <w:tc>
          <w:tcPr>
            <w:tcW w:w="1229" w:type="dxa"/>
            <w:vAlign w:val="center"/>
          </w:tcPr>
          <w:p w:rsidR="00780104" w:rsidRPr="003E1A4A" w:rsidRDefault="00780104" w:rsidP="00591484">
            <w:pPr>
              <w:keepNext/>
              <w:spacing w:after="0" w:line="240" w:lineRule="auto"/>
              <w:jc w:val="center"/>
              <w:rPr>
                <w:rFonts w:ascii="Times New Roman" w:hAnsi="Times New Roman" w:cs="Times New Roman"/>
                <w:bCs/>
                <w:color w:val="000000"/>
                <w:sz w:val="18"/>
                <w:szCs w:val="18"/>
              </w:rPr>
            </w:pPr>
            <w:r w:rsidRPr="003E1A4A">
              <w:rPr>
                <w:rFonts w:ascii="Times New Roman" w:hAnsi="Times New Roman" w:cs="Times New Roman"/>
                <w:bCs/>
                <w:color w:val="000000"/>
                <w:sz w:val="18"/>
                <w:szCs w:val="18"/>
              </w:rPr>
              <w:t>2011</w:t>
            </w:r>
          </w:p>
        </w:tc>
      </w:tr>
      <w:tr w:rsidR="00780104" w:rsidRPr="00F109FF" w:rsidTr="00591484">
        <w:tc>
          <w:tcPr>
            <w:tcW w:w="1380" w:type="dxa"/>
            <w:vAlign w:val="center"/>
          </w:tcPr>
          <w:p w:rsidR="00780104" w:rsidRPr="00F109FF" w:rsidRDefault="00780104" w:rsidP="00591484">
            <w:pPr>
              <w:keepNext/>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MDVRR SR</w:t>
            </w:r>
          </w:p>
        </w:tc>
        <w:tc>
          <w:tcPr>
            <w:tcW w:w="4540" w:type="dxa"/>
            <w:vAlign w:val="center"/>
          </w:tcPr>
          <w:p w:rsidR="00780104" w:rsidRPr="000E592C" w:rsidRDefault="00780104" w:rsidP="00591484">
            <w:pPr>
              <w:keepNext/>
              <w:spacing w:after="0" w:line="240" w:lineRule="auto"/>
              <w:rPr>
                <w:rFonts w:ascii="Times New Roman" w:hAnsi="Times New Roman" w:cs="Times New Roman"/>
                <w:color w:val="000000"/>
                <w:sz w:val="18"/>
                <w:szCs w:val="18"/>
              </w:rPr>
            </w:pPr>
            <w:r w:rsidRPr="000E592C">
              <w:rPr>
                <w:rFonts w:ascii="Times New Roman" w:hAnsi="Times New Roman" w:cs="Times New Roman"/>
                <w:color w:val="000000"/>
                <w:sz w:val="18"/>
                <w:szCs w:val="18"/>
              </w:rPr>
              <w:t>úsek dráh</w:t>
            </w:r>
          </w:p>
        </w:tc>
        <w:tc>
          <w:tcPr>
            <w:tcW w:w="1228" w:type="dxa"/>
            <w:vAlign w:val="center"/>
          </w:tcPr>
          <w:p w:rsidR="00780104" w:rsidRPr="000E592C" w:rsidRDefault="00780104" w:rsidP="00591484">
            <w:pPr>
              <w:keepNext/>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229" w:type="dxa"/>
            <w:vAlign w:val="center"/>
          </w:tcPr>
          <w:p w:rsidR="00780104" w:rsidRPr="000E592C" w:rsidRDefault="00780104" w:rsidP="00591484">
            <w:pPr>
              <w:keepNext/>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38,07</w:t>
            </w:r>
          </w:p>
        </w:tc>
        <w:tc>
          <w:tcPr>
            <w:tcW w:w="1229" w:type="dxa"/>
            <w:vAlign w:val="center"/>
          </w:tcPr>
          <w:p w:rsidR="00780104" w:rsidRPr="000E592C" w:rsidRDefault="00780104" w:rsidP="00591484">
            <w:pPr>
              <w:keepNext/>
              <w:spacing w:after="0" w:line="240" w:lineRule="auto"/>
              <w:jc w:val="center"/>
              <w:rPr>
                <w:rFonts w:ascii="Times New Roman" w:hAnsi="Times New Roman" w:cs="Times New Roman"/>
                <w:color w:val="000000"/>
                <w:sz w:val="18"/>
                <w:szCs w:val="18"/>
              </w:rPr>
            </w:pPr>
            <w:r w:rsidRPr="000E592C">
              <w:rPr>
                <w:rFonts w:ascii="Times New Roman" w:hAnsi="Times New Roman" w:cs="Times New Roman"/>
                <w:color w:val="000000"/>
                <w:sz w:val="18"/>
                <w:szCs w:val="18"/>
              </w:rPr>
              <w:t>45,92</w:t>
            </w:r>
          </w:p>
        </w:tc>
      </w:tr>
      <w:tr w:rsidR="00780104" w:rsidRPr="00F109FF" w:rsidTr="00591484">
        <w:tc>
          <w:tcPr>
            <w:tcW w:w="1380" w:type="dxa"/>
            <w:vAlign w:val="center"/>
          </w:tcPr>
          <w:p w:rsidR="00780104" w:rsidRPr="00F109FF" w:rsidRDefault="00780104" w:rsidP="00591484">
            <w:pPr>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MH SR</w:t>
            </w:r>
          </w:p>
        </w:tc>
        <w:tc>
          <w:tcPr>
            <w:tcW w:w="4540" w:type="dxa"/>
            <w:vAlign w:val="center"/>
          </w:tcPr>
          <w:p w:rsidR="00780104" w:rsidRPr="000E592C" w:rsidRDefault="00780104" w:rsidP="00591484">
            <w:pPr>
              <w:spacing w:after="0" w:line="240" w:lineRule="auto"/>
              <w:rPr>
                <w:rFonts w:ascii="Times New Roman" w:hAnsi="Times New Roman" w:cs="Times New Roman"/>
                <w:color w:val="000000"/>
                <w:sz w:val="18"/>
                <w:szCs w:val="18"/>
              </w:rPr>
            </w:pPr>
            <w:r w:rsidRPr="000E592C">
              <w:rPr>
                <w:rFonts w:ascii="Times New Roman" w:hAnsi="Times New Roman" w:cs="Times New Roman"/>
                <w:color w:val="000000"/>
                <w:sz w:val="18"/>
                <w:szCs w:val="18"/>
              </w:rPr>
              <w:t>úsek hospodárskej mobilizácie</w:t>
            </w:r>
          </w:p>
        </w:tc>
        <w:tc>
          <w:tcPr>
            <w:tcW w:w="1228" w:type="dxa"/>
            <w:vAlign w:val="center"/>
          </w:tcPr>
          <w:p w:rsidR="00780104" w:rsidRPr="000E592C" w:rsidRDefault="00780104" w:rsidP="00591484">
            <w:pPr>
              <w:spacing w:after="0" w:line="240" w:lineRule="auto"/>
              <w:jc w:val="center"/>
              <w:rPr>
                <w:rFonts w:ascii="Times New Roman" w:hAnsi="Times New Roman" w:cs="Times New Roman"/>
                <w:color w:val="000000"/>
                <w:sz w:val="18"/>
                <w:szCs w:val="18"/>
              </w:rPr>
            </w:pPr>
            <w:r w:rsidRPr="000E592C">
              <w:rPr>
                <w:rFonts w:ascii="Times New Roman" w:hAnsi="Times New Roman" w:cs="Times New Roman"/>
                <w:color w:val="000000"/>
                <w:sz w:val="18"/>
                <w:szCs w:val="18"/>
              </w:rPr>
              <w:t>*</w:t>
            </w:r>
          </w:p>
        </w:tc>
        <w:tc>
          <w:tcPr>
            <w:tcW w:w="1229" w:type="dxa"/>
            <w:vAlign w:val="center"/>
          </w:tcPr>
          <w:p w:rsidR="00780104" w:rsidRPr="000E592C" w:rsidRDefault="00780104" w:rsidP="00591484">
            <w:pPr>
              <w:spacing w:after="0" w:line="240" w:lineRule="auto"/>
              <w:jc w:val="center"/>
              <w:rPr>
                <w:rFonts w:ascii="Times New Roman" w:hAnsi="Times New Roman" w:cs="Times New Roman"/>
                <w:color w:val="000000"/>
                <w:sz w:val="18"/>
                <w:szCs w:val="18"/>
              </w:rPr>
            </w:pPr>
            <w:r w:rsidRPr="000E592C">
              <w:rPr>
                <w:rFonts w:ascii="Times New Roman" w:hAnsi="Times New Roman" w:cs="Times New Roman"/>
                <w:color w:val="000000"/>
                <w:sz w:val="18"/>
                <w:szCs w:val="18"/>
              </w:rPr>
              <w:t>*</w:t>
            </w:r>
          </w:p>
        </w:tc>
        <w:tc>
          <w:tcPr>
            <w:tcW w:w="1229" w:type="dxa"/>
            <w:vAlign w:val="center"/>
          </w:tcPr>
          <w:p w:rsidR="00780104" w:rsidRPr="000E592C" w:rsidRDefault="00780104" w:rsidP="00591484">
            <w:pPr>
              <w:spacing w:after="0" w:line="240" w:lineRule="auto"/>
              <w:jc w:val="center"/>
              <w:rPr>
                <w:rFonts w:ascii="Times New Roman" w:hAnsi="Times New Roman" w:cs="Times New Roman"/>
                <w:color w:val="000000"/>
                <w:sz w:val="18"/>
                <w:szCs w:val="18"/>
              </w:rPr>
            </w:pPr>
            <w:r w:rsidRPr="000E592C">
              <w:rPr>
                <w:rFonts w:ascii="Times New Roman" w:hAnsi="Times New Roman" w:cs="Times New Roman"/>
                <w:color w:val="000000"/>
                <w:sz w:val="18"/>
                <w:szCs w:val="18"/>
              </w:rPr>
              <w:t>*</w:t>
            </w:r>
          </w:p>
        </w:tc>
      </w:tr>
      <w:tr w:rsidR="00780104" w:rsidRPr="00F109FF" w:rsidTr="00591484">
        <w:tc>
          <w:tcPr>
            <w:tcW w:w="1380" w:type="dxa"/>
            <w:vAlign w:val="center"/>
          </w:tcPr>
          <w:p w:rsidR="00780104" w:rsidRPr="00F109FF" w:rsidRDefault="00780104" w:rsidP="00591484">
            <w:pPr>
              <w:spacing w:after="0" w:line="240" w:lineRule="auto"/>
              <w:jc w:val="center"/>
              <w:rPr>
                <w:rFonts w:ascii="Times New Roman" w:eastAsia="Times New Roman" w:hAnsi="Times New Roman" w:cs="Times New Roman"/>
                <w:sz w:val="18"/>
                <w:szCs w:val="18"/>
                <w:lang w:eastAsia="cs-CZ"/>
              </w:rPr>
            </w:pPr>
            <w:r w:rsidRPr="00F109FF">
              <w:rPr>
                <w:rFonts w:ascii="Times New Roman" w:eastAsia="Times New Roman" w:hAnsi="Times New Roman" w:cs="Times New Roman"/>
                <w:sz w:val="18"/>
                <w:szCs w:val="18"/>
                <w:lang w:eastAsia="cs-CZ"/>
              </w:rPr>
              <w:t>MŠVVŠ SR</w:t>
            </w:r>
          </w:p>
        </w:tc>
        <w:tc>
          <w:tcPr>
            <w:tcW w:w="4540" w:type="dxa"/>
            <w:vAlign w:val="center"/>
          </w:tcPr>
          <w:p w:rsidR="00780104" w:rsidRPr="000E592C" w:rsidRDefault="00780104" w:rsidP="00591484">
            <w:pPr>
              <w:spacing w:after="0" w:line="240" w:lineRule="auto"/>
              <w:rPr>
                <w:rFonts w:ascii="Times New Roman" w:hAnsi="Times New Roman" w:cs="Times New Roman"/>
                <w:color w:val="000000"/>
                <w:sz w:val="18"/>
                <w:szCs w:val="18"/>
              </w:rPr>
            </w:pPr>
            <w:r w:rsidRPr="000E592C">
              <w:rPr>
                <w:rFonts w:ascii="Times New Roman" w:hAnsi="Times New Roman" w:cs="Times New Roman"/>
                <w:color w:val="000000"/>
                <w:sz w:val="18"/>
                <w:szCs w:val="18"/>
              </w:rPr>
              <w:t>úsek školstva (zriaďovateľská pôsobnosť vo vzťahu k stredným školám a strediskám praktického vyučovania)</w:t>
            </w:r>
          </w:p>
        </w:tc>
        <w:tc>
          <w:tcPr>
            <w:tcW w:w="1228" w:type="dxa"/>
            <w:vAlign w:val="center"/>
          </w:tcPr>
          <w:p w:rsidR="00780104" w:rsidRPr="000E592C" w:rsidRDefault="00780104" w:rsidP="00591484">
            <w:pPr>
              <w:spacing w:after="0" w:line="240" w:lineRule="auto"/>
              <w:jc w:val="center"/>
              <w:rPr>
                <w:rFonts w:ascii="Times New Roman" w:hAnsi="Times New Roman" w:cs="Times New Roman"/>
                <w:color w:val="000000"/>
                <w:sz w:val="18"/>
                <w:szCs w:val="18"/>
              </w:rPr>
            </w:pPr>
            <w:r w:rsidRPr="000E592C">
              <w:rPr>
                <w:rFonts w:ascii="Times New Roman" w:hAnsi="Times New Roman" w:cs="Times New Roman"/>
                <w:color w:val="000000"/>
                <w:sz w:val="18"/>
                <w:szCs w:val="18"/>
              </w:rPr>
              <w:t>*</w:t>
            </w:r>
          </w:p>
        </w:tc>
        <w:tc>
          <w:tcPr>
            <w:tcW w:w="1229" w:type="dxa"/>
            <w:vAlign w:val="center"/>
          </w:tcPr>
          <w:p w:rsidR="00780104" w:rsidRPr="000E592C" w:rsidRDefault="00780104" w:rsidP="00591484">
            <w:pPr>
              <w:spacing w:after="0" w:line="240" w:lineRule="auto"/>
              <w:jc w:val="center"/>
              <w:rPr>
                <w:rFonts w:ascii="Times New Roman" w:hAnsi="Times New Roman" w:cs="Times New Roman"/>
                <w:color w:val="000000"/>
                <w:sz w:val="18"/>
                <w:szCs w:val="18"/>
              </w:rPr>
            </w:pPr>
            <w:r w:rsidRPr="000E592C">
              <w:rPr>
                <w:rFonts w:ascii="Times New Roman" w:hAnsi="Times New Roman" w:cs="Times New Roman"/>
                <w:color w:val="000000"/>
                <w:sz w:val="18"/>
                <w:szCs w:val="18"/>
              </w:rPr>
              <w:t>316</w:t>
            </w:r>
            <w:r>
              <w:rPr>
                <w:rFonts w:ascii="Times New Roman" w:hAnsi="Times New Roman" w:cs="Times New Roman"/>
                <w:color w:val="000000"/>
                <w:sz w:val="18"/>
                <w:szCs w:val="18"/>
              </w:rPr>
              <w:t xml:space="preserve"> </w:t>
            </w:r>
            <w:r w:rsidRPr="000E592C">
              <w:rPr>
                <w:rFonts w:ascii="Times New Roman" w:hAnsi="Times New Roman" w:cs="Times New Roman"/>
                <w:color w:val="000000"/>
                <w:sz w:val="18"/>
                <w:szCs w:val="18"/>
              </w:rPr>
              <w:t>262,00</w:t>
            </w:r>
          </w:p>
        </w:tc>
        <w:tc>
          <w:tcPr>
            <w:tcW w:w="1229" w:type="dxa"/>
            <w:vAlign w:val="center"/>
          </w:tcPr>
          <w:p w:rsidR="00780104" w:rsidRPr="000E592C" w:rsidRDefault="00780104" w:rsidP="00591484">
            <w:pPr>
              <w:spacing w:after="0" w:line="240" w:lineRule="auto"/>
              <w:jc w:val="center"/>
              <w:rPr>
                <w:rFonts w:ascii="Times New Roman" w:hAnsi="Times New Roman" w:cs="Times New Roman"/>
                <w:color w:val="000000"/>
                <w:sz w:val="18"/>
                <w:szCs w:val="18"/>
              </w:rPr>
            </w:pPr>
            <w:r w:rsidRPr="000E592C">
              <w:rPr>
                <w:rFonts w:ascii="Times New Roman" w:hAnsi="Times New Roman" w:cs="Times New Roman"/>
                <w:color w:val="000000"/>
                <w:sz w:val="18"/>
                <w:szCs w:val="18"/>
              </w:rPr>
              <w:t>388</w:t>
            </w:r>
            <w:r>
              <w:rPr>
                <w:rFonts w:ascii="Times New Roman" w:hAnsi="Times New Roman" w:cs="Times New Roman"/>
                <w:color w:val="000000"/>
                <w:sz w:val="18"/>
                <w:szCs w:val="18"/>
              </w:rPr>
              <w:t xml:space="preserve"> </w:t>
            </w:r>
            <w:r w:rsidRPr="000E592C">
              <w:rPr>
                <w:rFonts w:ascii="Times New Roman" w:hAnsi="Times New Roman" w:cs="Times New Roman"/>
                <w:color w:val="000000"/>
                <w:sz w:val="18"/>
                <w:szCs w:val="18"/>
              </w:rPr>
              <w:t>392,00</w:t>
            </w:r>
          </w:p>
        </w:tc>
      </w:tr>
      <w:tr w:rsidR="00780104" w:rsidRPr="00F109FF" w:rsidTr="00591484">
        <w:tc>
          <w:tcPr>
            <w:tcW w:w="1380" w:type="dxa"/>
            <w:vMerge w:val="restart"/>
            <w:vAlign w:val="center"/>
          </w:tcPr>
          <w:p w:rsidR="00780104" w:rsidRPr="00F109FF" w:rsidRDefault="00780104" w:rsidP="00591484">
            <w:pPr>
              <w:spacing w:after="0" w:line="240" w:lineRule="auto"/>
              <w:jc w:val="center"/>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MZ</w:t>
            </w:r>
            <w:r w:rsidRPr="00F109FF">
              <w:rPr>
                <w:rFonts w:ascii="Times New Roman" w:eastAsia="Times New Roman" w:hAnsi="Times New Roman" w:cs="Times New Roman"/>
                <w:sz w:val="18"/>
                <w:szCs w:val="18"/>
                <w:lang w:eastAsia="cs-CZ"/>
              </w:rPr>
              <w:t xml:space="preserve"> SR</w:t>
            </w:r>
          </w:p>
        </w:tc>
        <w:tc>
          <w:tcPr>
            <w:tcW w:w="4540" w:type="dxa"/>
            <w:vAlign w:val="center"/>
          </w:tcPr>
          <w:p w:rsidR="00780104" w:rsidRPr="000E592C" w:rsidRDefault="00780104" w:rsidP="00591484">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úsek zdravotníctva (plus</w:t>
            </w:r>
            <w:r w:rsidRPr="000E592C">
              <w:rPr>
                <w:rFonts w:ascii="Times New Roman" w:hAnsi="Times New Roman" w:cs="Times New Roman"/>
                <w:color w:val="000000"/>
                <w:sz w:val="18"/>
                <w:szCs w:val="18"/>
              </w:rPr>
              <w:t xml:space="preserve"> PVŠS pri posudzovaní a kontrole hluku vo vonkajšom prostredí)</w:t>
            </w:r>
          </w:p>
        </w:tc>
        <w:tc>
          <w:tcPr>
            <w:tcW w:w="1228" w:type="dxa"/>
            <w:vAlign w:val="center"/>
          </w:tcPr>
          <w:p w:rsidR="00780104" w:rsidRPr="000E592C" w:rsidRDefault="00780104" w:rsidP="00591484">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0**</w:t>
            </w:r>
          </w:p>
        </w:tc>
        <w:tc>
          <w:tcPr>
            <w:tcW w:w="1229" w:type="dxa"/>
            <w:vAlign w:val="center"/>
          </w:tcPr>
          <w:p w:rsidR="00780104" w:rsidRDefault="00780104" w:rsidP="00591484">
            <w:pPr>
              <w:spacing w:after="0"/>
              <w:jc w:val="center"/>
            </w:pPr>
            <w:r w:rsidRPr="00641755">
              <w:rPr>
                <w:rFonts w:ascii="Times New Roman" w:hAnsi="Times New Roman" w:cs="Times New Roman"/>
                <w:color w:val="000000"/>
                <w:sz w:val="18"/>
                <w:szCs w:val="18"/>
              </w:rPr>
              <w:t>0**</w:t>
            </w:r>
          </w:p>
        </w:tc>
        <w:tc>
          <w:tcPr>
            <w:tcW w:w="1229" w:type="dxa"/>
            <w:vAlign w:val="center"/>
          </w:tcPr>
          <w:p w:rsidR="00780104" w:rsidRDefault="00780104" w:rsidP="00591484">
            <w:pPr>
              <w:spacing w:after="0"/>
              <w:jc w:val="center"/>
            </w:pPr>
            <w:r w:rsidRPr="00641755">
              <w:rPr>
                <w:rFonts w:ascii="Times New Roman" w:hAnsi="Times New Roman" w:cs="Times New Roman"/>
                <w:color w:val="000000"/>
                <w:sz w:val="18"/>
                <w:szCs w:val="18"/>
              </w:rPr>
              <w:t>0**</w:t>
            </w:r>
          </w:p>
        </w:tc>
      </w:tr>
      <w:tr w:rsidR="00780104" w:rsidRPr="00F109FF" w:rsidTr="00591484">
        <w:tc>
          <w:tcPr>
            <w:tcW w:w="1380" w:type="dxa"/>
            <w:vMerge/>
            <w:vAlign w:val="center"/>
          </w:tcPr>
          <w:p w:rsidR="00780104" w:rsidRPr="00F109FF" w:rsidRDefault="00780104" w:rsidP="00591484">
            <w:pPr>
              <w:spacing w:after="0" w:line="240" w:lineRule="auto"/>
              <w:jc w:val="center"/>
              <w:rPr>
                <w:rFonts w:ascii="Times New Roman" w:eastAsia="Times New Roman" w:hAnsi="Times New Roman" w:cs="Times New Roman"/>
                <w:sz w:val="18"/>
                <w:szCs w:val="18"/>
                <w:lang w:eastAsia="cs-CZ"/>
              </w:rPr>
            </w:pPr>
          </w:p>
        </w:tc>
        <w:tc>
          <w:tcPr>
            <w:tcW w:w="4540" w:type="dxa"/>
            <w:vAlign w:val="center"/>
          </w:tcPr>
          <w:p w:rsidR="00780104" w:rsidRPr="000E592C" w:rsidRDefault="00780104" w:rsidP="00591484">
            <w:pPr>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úsek humánnej farmácie (plus</w:t>
            </w:r>
            <w:r w:rsidRPr="000E592C">
              <w:rPr>
                <w:rFonts w:ascii="Times New Roman" w:hAnsi="Times New Roman" w:cs="Times New Roman"/>
                <w:color w:val="000000"/>
                <w:sz w:val="18"/>
                <w:szCs w:val="18"/>
              </w:rPr>
              <w:t xml:space="preserve"> PVŠS na úseku psychotropných a omamných látkach) </w:t>
            </w:r>
          </w:p>
        </w:tc>
        <w:tc>
          <w:tcPr>
            <w:tcW w:w="1228" w:type="dxa"/>
            <w:vAlign w:val="center"/>
          </w:tcPr>
          <w:p w:rsidR="00780104" w:rsidRDefault="00780104" w:rsidP="00591484">
            <w:pPr>
              <w:spacing w:after="0"/>
              <w:jc w:val="center"/>
            </w:pPr>
            <w:r w:rsidRPr="00FB240A">
              <w:rPr>
                <w:rFonts w:ascii="Times New Roman" w:hAnsi="Times New Roman" w:cs="Times New Roman"/>
                <w:color w:val="000000"/>
                <w:sz w:val="18"/>
                <w:szCs w:val="18"/>
              </w:rPr>
              <w:t>0**</w:t>
            </w:r>
          </w:p>
        </w:tc>
        <w:tc>
          <w:tcPr>
            <w:tcW w:w="1229" w:type="dxa"/>
            <w:vAlign w:val="center"/>
          </w:tcPr>
          <w:p w:rsidR="00780104" w:rsidRDefault="00780104" w:rsidP="00591484">
            <w:pPr>
              <w:spacing w:after="0"/>
              <w:jc w:val="center"/>
            </w:pPr>
            <w:r w:rsidRPr="00FB240A">
              <w:rPr>
                <w:rFonts w:ascii="Times New Roman" w:hAnsi="Times New Roman" w:cs="Times New Roman"/>
                <w:color w:val="000000"/>
                <w:sz w:val="18"/>
                <w:szCs w:val="18"/>
              </w:rPr>
              <w:t>0**</w:t>
            </w:r>
          </w:p>
        </w:tc>
        <w:tc>
          <w:tcPr>
            <w:tcW w:w="1229" w:type="dxa"/>
            <w:vAlign w:val="center"/>
          </w:tcPr>
          <w:p w:rsidR="00780104" w:rsidRDefault="00780104" w:rsidP="00591484">
            <w:pPr>
              <w:spacing w:after="0"/>
              <w:jc w:val="center"/>
            </w:pPr>
            <w:r w:rsidRPr="00FB240A">
              <w:rPr>
                <w:rFonts w:ascii="Times New Roman" w:hAnsi="Times New Roman" w:cs="Times New Roman"/>
                <w:color w:val="000000"/>
                <w:sz w:val="18"/>
                <w:szCs w:val="18"/>
              </w:rPr>
              <w:t>0**</w:t>
            </w:r>
          </w:p>
        </w:tc>
      </w:tr>
    </w:tbl>
    <w:p w:rsidR="00780104" w:rsidRPr="00E81087" w:rsidRDefault="00780104" w:rsidP="00780104">
      <w:pPr>
        <w:pStyle w:val="Odsekzoznamu"/>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Vysvetlivky</w:t>
      </w:r>
      <w:r>
        <w:rPr>
          <w:rFonts w:ascii="Times New Roman" w:eastAsia="Times New Roman" w:hAnsi="Times New Roman" w:cs="Times New Roman"/>
          <w:sz w:val="16"/>
          <w:szCs w:val="16"/>
          <w:lang w:eastAsia="cs-CZ"/>
        </w:rPr>
        <w:t xml:space="preserve"> k tabuľke</w:t>
      </w:r>
      <w:r w:rsidRPr="00E81087">
        <w:rPr>
          <w:rFonts w:ascii="Times New Roman" w:eastAsia="Times New Roman" w:hAnsi="Times New Roman" w:cs="Times New Roman"/>
          <w:sz w:val="16"/>
          <w:szCs w:val="16"/>
          <w:lang w:eastAsia="cs-CZ"/>
        </w:rPr>
        <w:t>:</w:t>
      </w:r>
    </w:p>
    <w:p w:rsidR="00780104" w:rsidRPr="00E81087" w:rsidRDefault="00780104" w:rsidP="00780104">
      <w:pPr>
        <w:pStyle w:val="Odsekzoznamu"/>
        <w:tabs>
          <w:tab w:val="left" w:pos="284"/>
        </w:tabs>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 xml:space="preserve">* </w:t>
      </w:r>
      <w:r w:rsidRPr="00E81087">
        <w:rPr>
          <w:rFonts w:ascii="Times New Roman" w:eastAsia="Times New Roman" w:hAnsi="Times New Roman" w:cs="Times New Roman"/>
          <w:sz w:val="16"/>
          <w:szCs w:val="16"/>
          <w:lang w:eastAsia="cs-CZ"/>
        </w:rPr>
        <w:tab/>
        <w:t xml:space="preserve">Nebolo možné vyčísliť nakoľko </w:t>
      </w:r>
      <w:r w:rsidR="004828E6">
        <w:rPr>
          <w:rFonts w:ascii="Times New Roman" w:eastAsia="Times New Roman" w:hAnsi="Times New Roman" w:cs="Times New Roman"/>
          <w:sz w:val="16"/>
          <w:szCs w:val="16"/>
          <w:lang w:eastAsia="cs-CZ"/>
        </w:rPr>
        <w:t>ministerstvo nemá údaje k dispozícii.</w:t>
      </w:r>
    </w:p>
    <w:p w:rsidR="00780104" w:rsidRPr="00E81087" w:rsidRDefault="00780104" w:rsidP="00780104">
      <w:pPr>
        <w:pStyle w:val="Odsekzoznamu"/>
        <w:tabs>
          <w:tab w:val="left" w:pos="284"/>
        </w:tabs>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w:t>
      </w:r>
      <w:r w:rsidRPr="00E81087">
        <w:rPr>
          <w:rFonts w:ascii="Times New Roman" w:eastAsia="Times New Roman" w:hAnsi="Times New Roman" w:cs="Times New Roman"/>
          <w:sz w:val="16"/>
          <w:szCs w:val="16"/>
          <w:lang w:eastAsia="cs-CZ"/>
        </w:rPr>
        <w:tab/>
        <w:t>Výkon prene</w:t>
      </w:r>
      <w:r w:rsidR="00287087">
        <w:rPr>
          <w:rFonts w:ascii="Times New Roman" w:eastAsia="Times New Roman" w:hAnsi="Times New Roman" w:cs="Times New Roman"/>
          <w:sz w:val="16"/>
          <w:szCs w:val="16"/>
          <w:lang w:eastAsia="cs-CZ"/>
        </w:rPr>
        <w:t>sených pôsobností je financovaný</w:t>
      </w:r>
      <w:r w:rsidRPr="00E81087">
        <w:rPr>
          <w:rFonts w:ascii="Times New Roman" w:eastAsia="Times New Roman" w:hAnsi="Times New Roman" w:cs="Times New Roman"/>
          <w:sz w:val="16"/>
          <w:szCs w:val="16"/>
          <w:lang w:eastAsia="cs-CZ"/>
        </w:rPr>
        <w:t xml:space="preserve"> navýšením príspevku z podielových daní.</w:t>
      </w:r>
    </w:p>
    <w:p w:rsidR="001D4B5E" w:rsidRPr="001153A0" w:rsidRDefault="001D4B5E" w:rsidP="001153A0">
      <w:pPr>
        <w:keepNext/>
        <w:spacing w:before="120" w:after="0" w:line="240" w:lineRule="auto"/>
        <w:ind w:firstLine="709"/>
        <w:jc w:val="both"/>
        <w:rPr>
          <w:rFonts w:ascii="Times New Roman" w:hAnsi="Times New Roman" w:cs="Times New Roman"/>
          <w:i/>
          <w:u w:val="single"/>
        </w:rPr>
      </w:pPr>
      <w:bookmarkStart w:id="16" w:name="SuhrnneHodnotenieFinancovaniaPrenesene"/>
      <w:r w:rsidRPr="001153A0">
        <w:rPr>
          <w:rFonts w:ascii="Times New Roman" w:hAnsi="Times New Roman" w:cs="Times New Roman"/>
          <w:i/>
          <w:u w:val="single"/>
        </w:rPr>
        <w:t>Súhrnné zhodnotenie financovania výkonu prenesených pôsobností</w:t>
      </w:r>
      <w:bookmarkEnd w:id="16"/>
    </w:p>
    <w:p w:rsidR="001D4B5E" w:rsidRDefault="001153A0" w:rsidP="007D020B">
      <w:pPr>
        <w:keepNext/>
        <w:spacing w:before="120" w:after="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S</w:t>
      </w:r>
      <w:r w:rsidR="001D4B5E">
        <w:rPr>
          <w:rFonts w:ascii="Times New Roman" w:eastAsia="Times New Roman" w:hAnsi="Times New Roman" w:cs="Times New Roman"/>
          <w:lang w:eastAsia="cs-CZ"/>
        </w:rPr>
        <w:t xml:space="preserve">právy </w:t>
      </w:r>
      <w:r>
        <w:rPr>
          <w:rFonts w:ascii="Times New Roman" w:eastAsia="Times New Roman" w:hAnsi="Times New Roman" w:cs="Times New Roman"/>
          <w:lang w:eastAsia="cs-CZ"/>
        </w:rPr>
        <w:t>ministerstiev</w:t>
      </w:r>
      <w:r w:rsidR="001D4B5E">
        <w:rPr>
          <w:rFonts w:ascii="Times New Roman" w:eastAsia="Times New Roman" w:hAnsi="Times New Roman" w:cs="Times New Roman"/>
          <w:lang w:eastAsia="cs-CZ"/>
        </w:rPr>
        <w:t xml:space="preserve"> vykazujú predovšetkým tieto spoločné črty </w:t>
      </w:r>
      <w:r w:rsidR="00780104">
        <w:rPr>
          <w:rFonts w:ascii="Times New Roman" w:eastAsia="Times New Roman" w:hAnsi="Times New Roman" w:cs="Times New Roman"/>
          <w:lang w:eastAsia="cs-CZ"/>
        </w:rPr>
        <w:t>týkajúce sa financovania</w:t>
      </w:r>
      <w:r w:rsidR="001D4B5E">
        <w:rPr>
          <w:rFonts w:ascii="Times New Roman" w:eastAsia="Times New Roman" w:hAnsi="Times New Roman" w:cs="Times New Roman"/>
          <w:lang w:eastAsia="cs-CZ"/>
        </w:rPr>
        <w:t>:</w:t>
      </w:r>
    </w:p>
    <w:p w:rsidR="00731FC9" w:rsidRDefault="00731FC9" w:rsidP="00731FC9">
      <w:pPr>
        <w:pStyle w:val="Odsekzoznamu"/>
        <w:numPr>
          <w:ilvl w:val="0"/>
          <w:numId w:val="21"/>
        </w:numPr>
        <w:tabs>
          <w:tab w:val="clear" w:pos="340"/>
          <w:tab w:val="num" w:pos="426"/>
        </w:tabs>
        <w:spacing w:before="60" w:after="0" w:line="240" w:lineRule="auto"/>
        <w:ind w:left="426"/>
        <w:jc w:val="both"/>
        <w:rPr>
          <w:rFonts w:ascii="Times New Roman" w:hAnsi="Times New Roman" w:cs="Times New Roman"/>
        </w:rPr>
      </w:pPr>
      <w:r w:rsidRPr="00731FC9">
        <w:rPr>
          <w:rFonts w:ascii="Times New Roman" w:hAnsi="Times New Roman" w:cs="Times New Roman"/>
        </w:rPr>
        <w:t xml:space="preserve">Údaje o financovaní preneseného výkonu štátnej správy väčšina </w:t>
      </w:r>
      <w:r>
        <w:rPr>
          <w:rFonts w:ascii="Times New Roman" w:hAnsi="Times New Roman" w:cs="Times New Roman"/>
        </w:rPr>
        <w:t>ministerstiev predložila iba v </w:t>
      </w:r>
      <w:r w:rsidRPr="00731FC9">
        <w:rPr>
          <w:rFonts w:ascii="Times New Roman" w:hAnsi="Times New Roman" w:cs="Times New Roman"/>
        </w:rPr>
        <w:t>sumárnom vyjadrení za príslušný referenčný rok. V textovej časti sv</w:t>
      </w:r>
      <w:r>
        <w:rPr>
          <w:rFonts w:ascii="Times New Roman" w:hAnsi="Times New Roman" w:cs="Times New Roman"/>
        </w:rPr>
        <w:t>ojich správ rezorty neuviedli k </w:t>
      </w:r>
      <w:r w:rsidRPr="00731FC9">
        <w:rPr>
          <w:rFonts w:ascii="Times New Roman" w:hAnsi="Times New Roman" w:cs="Times New Roman"/>
        </w:rPr>
        <w:t>tabuľkovému prehľadu zodpovedajúci komentár ani relevantné hodnotenie stavu a úrovne finančného zabezpečenia kompetencií obcí a samosprávnych krajo</w:t>
      </w:r>
      <w:r w:rsidR="009A5D63">
        <w:rPr>
          <w:rFonts w:ascii="Times New Roman" w:hAnsi="Times New Roman" w:cs="Times New Roman"/>
        </w:rPr>
        <w:t>v;</w:t>
      </w:r>
    </w:p>
    <w:p w:rsidR="001D4B5E" w:rsidRDefault="001D4B5E" w:rsidP="001D4B5E">
      <w:pPr>
        <w:pStyle w:val="Odsekzoznamu"/>
        <w:numPr>
          <w:ilvl w:val="0"/>
          <w:numId w:val="21"/>
        </w:numPr>
        <w:tabs>
          <w:tab w:val="clear" w:pos="340"/>
        </w:tabs>
        <w:spacing w:before="60" w:after="0" w:line="240" w:lineRule="auto"/>
        <w:ind w:left="426"/>
        <w:jc w:val="both"/>
        <w:rPr>
          <w:rFonts w:ascii="Times New Roman" w:hAnsi="Times New Roman" w:cs="Times New Roman"/>
        </w:rPr>
      </w:pPr>
      <w:r>
        <w:rPr>
          <w:rFonts w:ascii="Times New Roman" w:hAnsi="Times New Roman" w:cs="Times New Roman"/>
        </w:rPr>
        <w:t xml:space="preserve">Analýza financovania výkonu prenesených pôsobností </w:t>
      </w:r>
      <w:r w:rsidR="00A162EA">
        <w:rPr>
          <w:rFonts w:ascii="Times New Roman" w:hAnsi="Times New Roman" w:cs="Times New Roman"/>
        </w:rPr>
        <w:t>má popisný charakter</w:t>
      </w:r>
      <w:r>
        <w:rPr>
          <w:rFonts w:ascii="Times New Roman" w:hAnsi="Times New Roman" w:cs="Times New Roman"/>
        </w:rPr>
        <w:t>, t.j. nie je zameraná na odhalenie nehospodárne, neefektívne a neúčinne vynaložených finančných prostriedkov. Žiaden rezort priamo neidentifikoval oblasti so zvýšeným rizikom nehospodárnosti, neefektívnosti,  neúčinnosti a neúčelnosti vynakladania finančných prostriedkov;</w:t>
      </w:r>
    </w:p>
    <w:p w:rsidR="001D4B5E" w:rsidRDefault="001D4B5E" w:rsidP="001D4B5E">
      <w:pPr>
        <w:pStyle w:val="Odsekzoznamu"/>
        <w:numPr>
          <w:ilvl w:val="0"/>
          <w:numId w:val="21"/>
        </w:numPr>
        <w:tabs>
          <w:tab w:val="clear" w:pos="340"/>
        </w:tabs>
        <w:spacing w:before="60" w:after="0" w:line="240" w:lineRule="auto"/>
        <w:ind w:left="426"/>
        <w:jc w:val="both"/>
        <w:rPr>
          <w:rFonts w:ascii="Times New Roman" w:hAnsi="Times New Roman" w:cs="Times New Roman"/>
        </w:rPr>
      </w:pPr>
      <w:r>
        <w:rPr>
          <w:rFonts w:ascii="Times New Roman" w:hAnsi="Times New Roman" w:cs="Times New Roman"/>
        </w:rPr>
        <w:t>Žiaden rezort</w:t>
      </w:r>
      <w:r w:rsidR="00F60B18">
        <w:rPr>
          <w:rFonts w:ascii="Times New Roman" w:hAnsi="Times New Roman" w:cs="Times New Roman"/>
        </w:rPr>
        <w:t xml:space="preserve"> s výnimkou ministerstva vnútra</w:t>
      </w:r>
      <w:r>
        <w:rPr>
          <w:rFonts w:ascii="Times New Roman" w:hAnsi="Times New Roman" w:cs="Times New Roman"/>
        </w:rPr>
        <w:t xml:space="preserve"> nepoukázal na to, že</w:t>
      </w:r>
      <w:r w:rsidR="00C71E10">
        <w:rPr>
          <w:rFonts w:ascii="Times New Roman" w:hAnsi="Times New Roman" w:cs="Times New Roman"/>
        </w:rPr>
        <w:t xml:space="preserve"> prípadný</w:t>
      </w:r>
      <w:r>
        <w:rPr>
          <w:rFonts w:ascii="Times New Roman" w:hAnsi="Times New Roman" w:cs="Times New Roman"/>
        </w:rPr>
        <w:t xml:space="preserve"> vykazovaný nedostatok finančných prostriedkov do značnej miery súvisí od prístupu k jeho vyčísleniu, ktorý môže byť subjektívny resp. chybný a nekonštatoval potrebu preverenia na mieste;</w:t>
      </w:r>
    </w:p>
    <w:p w:rsidR="00C71E10" w:rsidRDefault="00A805BF" w:rsidP="001D4B5E">
      <w:pPr>
        <w:pStyle w:val="Odsekzoznamu"/>
        <w:numPr>
          <w:ilvl w:val="0"/>
          <w:numId w:val="21"/>
        </w:numPr>
        <w:tabs>
          <w:tab w:val="clear" w:pos="340"/>
        </w:tabs>
        <w:spacing w:before="60" w:after="0" w:line="240" w:lineRule="auto"/>
        <w:ind w:left="426"/>
        <w:jc w:val="both"/>
        <w:rPr>
          <w:rFonts w:ascii="Times New Roman" w:hAnsi="Times New Roman" w:cs="Times New Roman"/>
        </w:rPr>
      </w:pPr>
      <w:r>
        <w:rPr>
          <w:rFonts w:ascii="Times New Roman" w:hAnsi="Times New Roman" w:cs="Times New Roman"/>
        </w:rPr>
        <w:t xml:space="preserve">Možno zhodne konštatovať, že v súvislosti s dostupnosťou údajov o financovaní preneseného výkonu štátnej správy absentuje </w:t>
      </w:r>
      <w:r w:rsidR="00C71E10">
        <w:rPr>
          <w:rFonts w:ascii="Times New Roman" w:hAnsi="Times New Roman" w:cs="Times New Roman"/>
        </w:rPr>
        <w:t>vykazovani</w:t>
      </w:r>
      <w:r w:rsidR="005910A5">
        <w:rPr>
          <w:rFonts w:ascii="Times New Roman" w:hAnsi="Times New Roman" w:cs="Times New Roman"/>
        </w:rPr>
        <w:t>e</w:t>
      </w:r>
      <w:r w:rsidR="00C71E10">
        <w:rPr>
          <w:rFonts w:ascii="Times New Roman" w:hAnsi="Times New Roman" w:cs="Times New Roman"/>
        </w:rPr>
        <w:t xml:space="preserve"> použitých finančných prostriedkov, ktorá by zohľadnila príjmy samospráv, či už skutočné alebo potenciálne, súvisiace s plnenými úlohami;</w:t>
      </w:r>
    </w:p>
    <w:p w:rsidR="00400B41" w:rsidRDefault="00400B41" w:rsidP="001D4B5E">
      <w:pPr>
        <w:pStyle w:val="Odsekzoznamu"/>
        <w:numPr>
          <w:ilvl w:val="0"/>
          <w:numId w:val="21"/>
        </w:numPr>
        <w:tabs>
          <w:tab w:val="clear" w:pos="340"/>
        </w:tabs>
        <w:spacing w:before="60" w:after="0" w:line="240" w:lineRule="auto"/>
        <w:ind w:left="426"/>
        <w:jc w:val="both"/>
        <w:rPr>
          <w:rFonts w:ascii="Times New Roman" w:hAnsi="Times New Roman" w:cs="Times New Roman"/>
        </w:rPr>
      </w:pPr>
      <w:r>
        <w:rPr>
          <w:rFonts w:ascii="Times New Roman" w:hAnsi="Times New Roman" w:cs="Times New Roman"/>
        </w:rPr>
        <w:t>Konštatovania</w:t>
      </w:r>
      <w:r w:rsidRPr="00400B41">
        <w:rPr>
          <w:rFonts w:ascii="Times New Roman" w:hAnsi="Times New Roman" w:cs="Times New Roman"/>
        </w:rPr>
        <w:t xml:space="preserve"> o nedostatočnom finančnom krytí nákladov preneseného výkonu štátnej správy na niektorých úsekoch napr</w:t>
      </w:r>
      <w:r>
        <w:rPr>
          <w:rFonts w:ascii="Times New Roman" w:hAnsi="Times New Roman" w:cs="Times New Roman"/>
        </w:rPr>
        <w:t>. na úseku stavebného poriadku, nie sú doložené podkladmi.</w:t>
      </w:r>
    </w:p>
    <w:p w:rsidR="00003B87" w:rsidRDefault="001D4B5E" w:rsidP="00941A26">
      <w:pPr>
        <w:spacing w:before="60" w:after="0" w:line="240" w:lineRule="auto"/>
        <w:ind w:firstLine="709"/>
        <w:jc w:val="both"/>
        <w:rPr>
          <w:rFonts w:ascii="Times New Roman" w:hAnsi="Times New Roman" w:cs="Times New Roman"/>
        </w:rPr>
      </w:pPr>
      <w:r>
        <w:rPr>
          <w:rFonts w:ascii="Times New Roman" w:hAnsi="Times New Roman" w:cs="Times New Roman"/>
        </w:rPr>
        <w:t>Uvedené nedostatky odporú</w:t>
      </w:r>
      <w:r w:rsidR="00941A26">
        <w:rPr>
          <w:rFonts w:ascii="Times New Roman" w:hAnsi="Times New Roman" w:cs="Times New Roman"/>
        </w:rPr>
        <w:t>čame riešiť v diskusii s rezort</w:t>
      </w:r>
      <w:r>
        <w:rPr>
          <w:rFonts w:ascii="Times New Roman" w:hAnsi="Times New Roman" w:cs="Times New Roman"/>
        </w:rPr>
        <w:t xml:space="preserve">mi poukázaním na potrebu prehĺbiť analytický pohľad na pôsobnosti prenesené na samosprávy a zadaním úlohy jednotlivým rezortom skvalitniť jestvujúce informácie rozšíreným zberom dát, vrátane miestnych zisťovaní, ktoré by mali </w:t>
      </w:r>
      <w:r w:rsidR="00346F37">
        <w:rPr>
          <w:rFonts w:ascii="Times New Roman" w:hAnsi="Times New Roman" w:cs="Times New Roman"/>
        </w:rPr>
        <w:t>charakter výkonnostného auditu.</w:t>
      </w:r>
    </w:p>
    <w:p w:rsidR="00346F37" w:rsidRPr="00F70B63" w:rsidRDefault="00346F37" w:rsidP="003D37C0">
      <w:pPr>
        <w:pStyle w:val="tla3"/>
        <w:keepNext/>
      </w:pPr>
      <w:bookmarkStart w:id="17" w:name="_Toc373740549"/>
      <w:r w:rsidRPr="00F70B63">
        <w:t>Návrhy opatrení</w:t>
      </w:r>
      <w:bookmarkEnd w:id="17"/>
    </w:p>
    <w:p w:rsidR="00462A55" w:rsidRDefault="00FC783D" w:rsidP="00462A55">
      <w:pPr>
        <w:spacing w:before="120" w:after="0" w:line="240" w:lineRule="auto"/>
        <w:ind w:firstLine="709"/>
        <w:jc w:val="both"/>
        <w:rPr>
          <w:rFonts w:ascii="Times New Roman" w:hAnsi="Times New Roman" w:cs="Times New Roman"/>
        </w:rPr>
      </w:pPr>
      <w:r w:rsidRPr="008A0D87">
        <w:rPr>
          <w:rFonts w:ascii="Times New Roman" w:hAnsi="Times New Roman" w:cs="Times New Roman"/>
        </w:rPr>
        <w:t xml:space="preserve">V súlade s jednotnou metodikou pre spracovanie auditu verejnej správy a vychádzajúc z vlastných zistení ministerstvá mali navrhnúť opatrenia s cieľom skvalitniť, zefektívniť a optimalizovať výkon pôsobností štátnej správy prenesených na obce a samosprávne kraje. Navrhnuté opatrenia mali byť uvedené konkrétne spolu s termínom uskutočnenia. Po </w:t>
      </w:r>
      <w:r w:rsidR="00997E4E">
        <w:rPr>
          <w:rFonts w:ascii="Times New Roman" w:hAnsi="Times New Roman" w:cs="Times New Roman"/>
        </w:rPr>
        <w:t xml:space="preserve">predložení </w:t>
      </w:r>
      <w:r w:rsidRPr="008A0D87">
        <w:rPr>
          <w:rFonts w:ascii="Times New Roman" w:hAnsi="Times New Roman" w:cs="Times New Roman"/>
        </w:rPr>
        <w:t>správ bo</w:t>
      </w:r>
      <w:r w:rsidR="00462A55">
        <w:rPr>
          <w:rFonts w:ascii="Times New Roman" w:hAnsi="Times New Roman" w:cs="Times New Roman"/>
        </w:rPr>
        <w:t>li ministerstvá opätovne vyzvané</w:t>
      </w:r>
      <w:r w:rsidRPr="008A0D87">
        <w:rPr>
          <w:rFonts w:ascii="Times New Roman" w:hAnsi="Times New Roman" w:cs="Times New Roman"/>
        </w:rPr>
        <w:t xml:space="preserve"> k tomu, aby okrem iných nedostatkov správ konkretizovali svoje návrhy. </w:t>
      </w:r>
    </w:p>
    <w:p w:rsidR="00EE7320" w:rsidRDefault="00EE7320" w:rsidP="00EE7320">
      <w:pPr>
        <w:shd w:val="clear" w:color="auto" w:fill="FFFFFF" w:themeFill="background1"/>
        <w:spacing w:before="120" w:after="0" w:line="240" w:lineRule="auto"/>
        <w:ind w:firstLine="709"/>
        <w:jc w:val="both"/>
        <w:rPr>
          <w:rFonts w:ascii="Times New Roman" w:eastAsia="Times New Roman" w:hAnsi="Times New Roman" w:cs="Times New Roman"/>
          <w:lang w:eastAsia="cs-CZ"/>
        </w:rPr>
      </w:pPr>
      <w:r w:rsidRPr="008A0D87">
        <w:rPr>
          <w:rFonts w:ascii="Times New Roman" w:eastAsia="Times New Roman" w:hAnsi="Times New Roman" w:cs="Times New Roman"/>
          <w:lang w:eastAsia="cs-CZ"/>
        </w:rPr>
        <w:t xml:space="preserve">Ministerstvo dopravy na úseku stavebného poriadku </w:t>
      </w:r>
      <w:r w:rsidRPr="008A0D87">
        <w:rPr>
          <w:rFonts w:ascii="Times New Roman" w:hAnsi="Times New Roman" w:cs="Times New Roman"/>
        </w:rPr>
        <w:t>navrhuje zabezpečiť prípravu nového zákona o územnom plánovaní a výstavbe, ako aj zákona o v</w:t>
      </w:r>
      <w:r w:rsidR="009F1C9C">
        <w:rPr>
          <w:rFonts w:ascii="Times New Roman" w:hAnsi="Times New Roman" w:cs="Times New Roman"/>
        </w:rPr>
        <w:t>yvlastňovaní pozemkov a stavieb</w:t>
      </w:r>
      <w:r w:rsidRPr="008A0D87">
        <w:rPr>
          <w:rFonts w:ascii="Times New Roman" w:hAnsi="Times New Roman" w:cs="Times New Roman"/>
        </w:rPr>
        <w:t xml:space="preserve">. </w:t>
      </w:r>
      <w:r w:rsidRPr="008A0D87">
        <w:rPr>
          <w:rFonts w:ascii="Times New Roman" w:eastAsia="Times New Roman" w:hAnsi="Times New Roman" w:cs="Times New Roman"/>
          <w:lang w:eastAsia="cs-CZ"/>
        </w:rPr>
        <w:t>V rámci prípravy novely uvede</w:t>
      </w:r>
      <w:r w:rsidR="006D166A">
        <w:rPr>
          <w:rFonts w:ascii="Times New Roman" w:eastAsia="Times New Roman" w:hAnsi="Times New Roman" w:cs="Times New Roman"/>
          <w:lang w:eastAsia="cs-CZ"/>
        </w:rPr>
        <w:t>ného zákona po dohode so ZMOS</w:t>
      </w:r>
      <w:r w:rsidRPr="008A0D87">
        <w:rPr>
          <w:rFonts w:ascii="Times New Roman" w:eastAsia="Times New Roman" w:hAnsi="Times New Roman" w:cs="Times New Roman"/>
          <w:lang w:eastAsia="cs-CZ"/>
        </w:rPr>
        <w:t xml:space="preserve"> navrhuje ponechanie stavebného úradu obciam. </w:t>
      </w:r>
      <w:r w:rsidRPr="008A0D87">
        <w:rPr>
          <w:rFonts w:ascii="Times New Roman" w:hAnsi="Times New Roman" w:cs="Times New Roman"/>
          <w:bCs/>
        </w:rPr>
        <w:t xml:space="preserve">Ministerstvo dopravy ďalej navrhuje zavedenie projektu OPIS „Elektronické služby stavebného poriadku“ a zabezpečenie jednotného systémového riešenia pre štátnu stavebnú správu od obcí cez obvodné úrady </w:t>
      </w:r>
      <w:r w:rsidRPr="008A0D87">
        <w:rPr>
          <w:rFonts w:ascii="Times New Roman" w:hAnsi="Times New Roman" w:cs="Times New Roman"/>
          <w:bCs/>
        </w:rPr>
        <w:lastRenderedPageBreak/>
        <w:t xml:space="preserve">v sídle kraja až po ministerstvo. </w:t>
      </w:r>
      <w:r w:rsidRPr="008A0D87">
        <w:rPr>
          <w:rFonts w:ascii="Times New Roman" w:eastAsia="Times New Roman" w:hAnsi="Times New Roman" w:cs="Times New Roman"/>
          <w:lang w:eastAsia="cs-CZ"/>
        </w:rPr>
        <w:t>Na úseku bývania ministerstvo dopravy vzhľadom na rozsah preneseného výkonu štátnej správy nenavrhuje žiadne opatrenia.</w:t>
      </w:r>
    </w:p>
    <w:p w:rsidR="00EE7320" w:rsidRDefault="00EE7320" w:rsidP="00EE7320">
      <w:pPr>
        <w:shd w:val="clear" w:color="auto" w:fill="FFFFFF" w:themeFill="background1"/>
        <w:spacing w:before="120" w:after="0" w:line="240" w:lineRule="auto"/>
        <w:ind w:firstLine="709"/>
        <w:jc w:val="both"/>
        <w:rPr>
          <w:rFonts w:ascii="Times New Roman" w:eastAsia="Times New Roman" w:hAnsi="Times New Roman" w:cs="Times New Roman"/>
          <w:lang w:eastAsia="cs-CZ"/>
        </w:rPr>
      </w:pPr>
      <w:r w:rsidRPr="008A0D87">
        <w:rPr>
          <w:rFonts w:ascii="Times New Roman" w:hAnsi="Times New Roman" w:cs="Times New Roman"/>
        </w:rPr>
        <w:t xml:space="preserve">Ministerstvo hospodárstva vzhľadom na aktuálne </w:t>
      </w:r>
      <w:r w:rsidRPr="008A0D87">
        <w:rPr>
          <w:rFonts w:ascii="Times New Roman" w:eastAsia="Times New Roman" w:hAnsi="Times New Roman" w:cs="Times New Roman"/>
          <w:lang w:eastAsia="cs-CZ"/>
        </w:rPr>
        <w:t xml:space="preserve">prebiehajúci proces optimalizácie nenavrhuje žiadne opatrenia. </w:t>
      </w:r>
    </w:p>
    <w:p w:rsidR="00EE7320" w:rsidRPr="004D0885" w:rsidRDefault="00EE7320" w:rsidP="004E56DE">
      <w:pPr>
        <w:tabs>
          <w:tab w:val="left" w:pos="1276"/>
        </w:tabs>
        <w:spacing w:before="120" w:after="0" w:line="240" w:lineRule="auto"/>
        <w:ind w:firstLine="709"/>
        <w:jc w:val="both"/>
        <w:rPr>
          <w:rFonts w:ascii="Times New Roman" w:hAnsi="Times New Roman" w:cs="Times New Roman"/>
        </w:rPr>
      </w:pPr>
      <w:r w:rsidRPr="004D0885">
        <w:rPr>
          <w:rFonts w:ascii="Times New Roman" w:eastAsia="Times New Roman" w:hAnsi="Times New Roman" w:cs="Times New Roman"/>
          <w:lang w:eastAsia="cs-CZ"/>
        </w:rPr>
        <w:t>Ministerstvo školstva</w:t>
      </w:r>
      <w:r w:rsidR="002F214D">
        <w:rPr>
          <w:rFonts w:ascii="Times New Roman" w:eastAsia="Times New Roman" w:hAnsi="Times New Roman" w:cs="Times New Roman"/>
          <w:lang w:eastAsia="cs-CZ"/>
        </w:rPr>
        <w:t>, vedy, výskumu a športu Slovenskej republiky (ďalej len „ministerstvo školstva“)</w:t>
      </w:r>
      <w:r w:rsidRPr="004D0885">
        <w:rPr>
          <w:rFonts w:ascii="Times New Roman" w:eastAsia="Times New Roman" w:hAnsi="Times New Roman" w:cs="Times New Roman"/>
          <w:lang w:eastAsia="cs-CZ"/>
        </w:rPr>
        <w:t xml:space="preserve"> v návrhoch opatrení formu</w:t>
      </w:r>
      <w:r w:rsidR="009079F6">
        <w:rPr>
          <w:rFonts w:ascii="Times New Roman" w:eastAsia="Times New Roman" w:hAnsi="Times New Roman" w:cs="Times New Roman"/>
          <w:lang w:eastAsia="cs-CZ"/>
        </w:rPr>
        <w:t>lu</w:t>
      </w:r>
      <w:r>
        <w:rPr>
          <w:rFonts w:ascii="Times New Roman" w:eastAsia="Times New Roman" w:hAnsi="Times New Roman" w:cs="Times New Roman"/>
          <w:lang w:eastAsia="cs-CZ"/>
        </w:rPr>
        <w:t>je</w:t>
      </w:r>
      <w:r w:rsidRPr="004D0885">
        <w:rPr>
          <w:rFonts w:ascii="Times New Roman" w:eastAsia="Times New Roman" w:hAnsi="Times New Roman" w:cs="Times New Roman"/>
          <w:lang w:eastAsia="cs-CZ"/>
        </w:rPr>
        <w:t xml:space="preserve"> požiadavky na legislatívnu úpravu povinnosti ďalšieho vzdelávania starostov, primátorov a predsedov samosprávnych krajov, ďalej navrhlo zrušenie školských úradov a ich kompetencie preniesť na obvodné (okresné) úrady v sídlach kraj</w:t>
      </w:r>
      <w:r w:rsidR="00B91F97">
        <w:rPr>
          <w:rFonts w:ascii="Times New Roman" w:eastAsia="Times New Roman" w:hAnsi="Times New Roman" w:cs="Times New Roman"/>
          <w:lang w:eastAsia="cs-CZ"/>
        </w:rPr>
        <w:t>ov</w:t>
      </w:r>
      <w:r w:rsidRPr="004D0885">
        <w:rPr>
          <w:rFonts w:ascii="Times New Roman" w:eastAsia="Times New Roman" w:hAnsi="Times New Roman" w:cs="Times New Roman"/>
          <w:lang w:eastAsia="cs-CZ"/>
        </w:rPr>
        <w:t xml:space="preserve"> alebo na ich vytvorené detašované pracoviská, resp. ustanovenie školských úradov v spádových obciach a samosprávnych krajoch. </w:t>
      </w:r>
      <w:r w:rsidR="009959EC">
        <w:rPr>
          <w:rFonts w:ascii="Times New Roman" w:eastAsia="Times New Roman" w:hAnsi="Times New Roman" w:cs="Times New Roman"/>
          <w:lang w:eastAsia="cs-CZ"/>
        </w:rPr>
        <w:t>Tak</w:t>
      </w:r>
      <w:r w:rsidRPr="004D0885">
        <w:rPr>
          <w:rFonts w:ascii="Times New Roman" w:eastAsia="Times New Roman" w:hAnsi="Times New Roman" w:cs="Times New Roman"/>
          <w:lang w:eastAsia="cs-CZ"/>
        </w:rPr>
        <w:t>tiež navrh</w:t>
      </w:r>
      <w:r>
        <w:rPr>
          <w:rFonts w:ascii="Times New Roman" w:eastAsia="Times New Roman" w:hAnsi="Times New Roman" w:cs="Times New Roman"/>
          <w:lang w:eastAsia="cs-CZ"/>
        </w:rPr>
        <w:t>uje</w:t>
      </w:r>
      <w:r w:rsidRPr="004D0885">
        <w:rPr>
          <w:rFonts w:ascii="Times New Roman" w:eastAsia="Times New Roman" w:hAnsi="Times New Roman" w:cs="Times New Roman"/>
          <w:lang w:eastAsia="cs-CZ"/>
        </w:rPr>
        <w:t xml:space="preserve"> legislatívne upraviť a podmieniť platnosť rozhodnutí orgánov územnej samosprávy na úseku školstva schválením príslušným orgánom miestnej štátnej správy.  </w:t>
      </w:r>
    </w:p>
    <w:p w:rsidR="008D636A" w:rsidRDefault="00EE7320" w:rsidP="00EE7320">
      <w:pPr>
        <w:shd w:val="clear" w:color="auto" w:fill="FFFFFF" w:themeFill="background1"/>
        <w:spacing w:before="120" w:after="0" w:line="240" w:lineRule="auto"/>
        <w:ind w:firstLine="709"/>
        <w:jc w:val="both"/>
        <w:rPr>
          <w:rFonts w:ascii="Times New Roman" w:hAnsi="Times New Roman" w:cs="Times New Roman"/>
        </w:rPr>
      </w:pPr>
      <w:r w:rsidRPr="008A0D87">
        <w:rPr>
          <w:rFonts w:ascii="Times New Roman" w:eastAsia="Times New Roman" w:hAnsi="Times New Roman" w:cs="Times New Roman"/>
          <w:lang w:eastAsia="cs-CZ"/>
        </w:rPr>
        <w:t>Ministerstvo vnútra navrhlo opatrenia v oblasti legislatívnej, inštitucionálnej ako aj personálnej. Navrhovali riešenia na odstránenie zistených nedostatkov pri plnení úloh preneseného výkonu štátnej správy,  najmä  na úseku matrík</w:t>
      </w:r>
      <w:r w:rsidR="00B62597">
        <w:rPr>
          <w:rFonts w:ascii="Times New Roman" w:eastAsia="Times New Roman" w:hAnsi="Times New Roman" w:cs="Times New Roman"/>
          <w:lang w:eastAsia="cs-CZ"/>
        </w:rPr>
        <w:t xml:space="preserve"> (vykonať analýzu počtu matričných úkonov na matričných úradoch s úväzkom 0,1 až 0,2 a pripraviť návrh na redukciu neefektívnych matričných úradov)</w:t>
      </w:r>
      <w:r w:rsidRPr="008A0D87">
        <w:rPr>
          <w:rFonts w:ascii="Times New Roman" w:eastAsia="Times New Roman" w:hAnsi="Times New Roman" w:cs="Times New Roman"/>
          <w:lang w:eastAsia="cs-CZ"/>
        </w:rPr>
        <w:t xml:space="preserve"> a ochrany pred požiarmi</w:t>
      </w:r>
      <w:r w:rsidR="008D636A">
        <w:rPr>
          <w:rFonts w:ascii="Times New Roman" w:eastAsia="Times New Roman" w:hAnsi="Times New Roman" w:cs="Times New Roman"/>
          <w:lang w:eastAsia="cs-CZ"/>
        </w:rPr>
        <w:t xml:space="preserve"> (zrušenie inštitútu </w:t>
      </w:r>
      <w:proofErr w:type="spellStart"/>
      <w:r w:rsidR="008D636A">
        <w:rPr>
          <w:rFonts w:ascii="Times New Roman" w:eastAsia="Times New Roman" w:hAnsi="Times New Roman" w:cs="Times New Roman"/>
          <w:lang w:eastAsia="cs-CZ"/>
        </w:rPr>
        <w:t>preventivára</w:t>
      </w:r>
      <w:proofErr w:type="spellEnd"/>
      <w:r w:rsidR="008D636A">
        <w:rPr>
          <w:rFonts w:ascii="Times New Roman" w:eastAsia="Times New Roman" w:hAnsi="Times New Roman" w:cs="Times New Roman"/>
          <w:lang w:eastAsia="cs-CZ"/>
        </w:rPr>
        <w:t xml:space="preserve"> požiarnej ochrany obce a nahradenie jeho činnosti prostredníctvom osoby s odbornou spôsobilosťou technika požiarnej ochrany, resp. špecialistu požiarnej ochrany, zúženie činností preneseného výkonu štátnej správy a rozšírenie kompetencie výkonu kontroly smerom k obciam vo veciach plnenia preneseného výkonu štátnej správy zo strany okresného riaditeľstva Hasičského a záchranného zboru)</w:t>
      </w:r>
      <w:r w:rsidRPr="008A0D87">
        <w:rPr>
          <w:rFonts w:ascii="Times New Roman" w:eastAsia="Times New Roman" w:hAnsi="Times New Roman" w:cs="Times New Roman"/>
          <w:lang w:eastAsia="cs-CZ"/>
        </w:rPr>
        <w:t xml:space="preserve">. </w:t>
      </w:r>
      <w:r w:rsidR="005522FF">
        <w:rPr>
          <w:rFonts w:ascii="Times New Roman" w:eastAsia="Times New Roman" w:hAnsi="Times New Roman" w:cs="Times New Roman"/>
          <w:lang w:eastAsia="cs-CZ"/>
        </w:rPr>
        <w:t>K</w:t>
      </w:r>
      <w:r w:rsidR="00660F0D">
        <w:rPr>
          <w:rFonts w:ascii="Times New Roman" w:eastAsia="Times New Roman" w:hAnsi="Times New Roman" w:cs="Times New Roman"/>
          <w:lang w:eastAsia="cs-CZ"/>
        </w:rPr>
        <w:t xml:space="preserve">eďže </w:t>
      </w:r>
      <w:r w:rsidR="005522FF">
        <w:rPr>
          <w:rFonts w:ascii="Times New Roman" w:eastAsia="Times New Roman" w:hAnsi="Times New Roman" w:cs="Times New Roman"/>
          <w:lang w:eastAsia="cs-CZ"/>
        </w:rPr>
        <w:t>sa</w:t>
      </w:r>
      <w:r w:rsidR="00660F0D">
        <w:rPr>
          <w:rFonts w:ascii="Times New Roman" w:eastAsia="Times New Roman" w:hAnsi="Times New Roman" w:cs="Times New Roman"/>
          <w:lang w:eastAsia="cs-CZ"/>
        </w:rPr>
        <w:t xml:space="preserve"> potvrdilo opodstatnenie </w:t>
      </w:r>
      <w:r w:rsidR="005522FF">
        <w:rPr>
          <w:rFonts w:ascii="Times New Roman" w:eastAsia="Times New Roman" w:hAnsi="Times New Roman" w:cs="Times New Roman"/>
          <w:lang w:eastAsia="cs-CZ"/>
        </w:rPr>
        <w:t xml:space="preserve">vybudovania </w:t>
      </w:r>
      <w:r w:rsidR="00660F0D" w:rsidRPr="00C07289">
        <w:rPr>
          <w:rFonts w:ascii="Times New Roman" w:hAnsi="Times New Roman" w:cs="Times New Roman"/>
        </w:rPr>
        <w:t xml:space="preserve">siete </w:t>
      </w:r>
      <w:r w:rsidR="005522FF">
        <w:rPr>
          <w:rFonts w:ascii="Times New Roman" w:hAnsi="Times New Roman" w:cs="Times New Roman"/>
        </w:rPr>
        <w:t>obligatórnych spoločných obecných úradov</w:t>
      </w:r>
      <w:r w:rsidR="00660F0D" w:rsidRPr="00C07289">
        <w:rPr>
          <w:rFonts w:ascii="Times New Roman" w:hAnsi="Times New Roman" w:cs="Times New Roman"/>
        </w:rPr>
        <w:t xml:space="preserve">, ktoré </w:t>
      </w:r>
      <w:r w:rsidR="005522FF">
        <w:rPr>
          <w:rFonts w:ascii="Times New Roman" w:hAnsi="Times New Roman" w:cs="Times New Roman"/>
        </w:rPr>
        <w:t>môžu</w:t>
      </w:r>
      <w:r w:rsidR="00660F0D">
        <w:rPr>
          <w:rFonts w:ascii="Times New Roman" w:hAnsi="Times New Roman" w:cs="Times New Roman"/>
        </w:rPr>
        <w:t xml:space="preserve"> prispieť k </w:t>
      </w:r>
      <w:r w:rsidR="00660F0D" w:rsidRPr="00C07289">
        <w:rPr>
          <w:rFonts w:ascii="Times New Roman" w:hAnsi="Times New Roman" w:cs="Times New Roman"/>
        </w:rPr>
        <w:t>racionalizácii a k skvalitneniu činnosti územnej samosprávy</w:t>
      </w:r>
      <w:r w:rsidR="00660F0D">
        <w:rPr>
          <w:rFonts w:ascii="Times New Roman" w:hAnsi="Times New Roman" w:cs="Times New Roman"/>
        </w:rPr>
        <w:t>,</w:t>
      </w:r>
      <w:r w:rsidR="005522FF">
        <w:rPr>
          <w:rFonts w:ascii="Times New Roman" w:hAnsi="Times New Roman" w:cs="Times New Roman"/>
        </w:rPr>
        <w:t xml:space="preserve"> ministerstvo vnútra</w:t>
      </w:r>
      <w:r w:rsidR="00660F0D">
        <w:rPr>
          <w:rFonts w:ascii="Times New Roman" w:hAnsi="Times New Roman" w:cs="Times New Roman"/>
        </w:rPr>
        <w:t xml:space="preserve"> </w:t>
      </w:r>
      <w:r w:rsidR="005522FF">
        <w:rPr>
          <w:rFonts w:ascii="Times New Roman" w:hAnsi="Times New Roman" w:cs="Times New Roman"/>
        </w:rPr>
        <w:t>je pripravené i naďalej podporovať proces ich kreovania (dopad to môže mať aj na úseky prenesených pôsobností obcí v gescii iných ministerstiev)</w:t>
      </w:r>
      <w:r w:rsidR="00660F0D" w:rsidRPr="00C07289">
        <w:rPr>
          <w:rFonts w:ascii="Times New Roman" w:hAnsi="Times New Roman" w:cs="Times New Roman"/>
        </w:rPr>
        <w:t>.</w:t>
      </w:r>
    </w:p>
    <w:p w:rsidR="009C5D02" w:rsidRDefault="00CE0070" w:rsidP="00EE7320">
      <w:pPr>
        <w:shd w:val="clear" w:color="auto" w:fill="FFFFFF" w:themeFill="background1"/>
        <w:spacing w:before="120" w:after="0" w:line="240" w:lineRule="auto"/>
        <w:ind w:firstLine="709"/>
        <w:jc w:val="both"/>
        <w:rPr>
          <w:rFonts w:ascii="Times New Roman" w:hAnsi="Times New Roman" w:cs="Times New Roman"/>
        </w:rPr>
      </w:pPr>
      <w:r>
        <w:rPr>
          <w:rFonts w:ascii="Times New Roman" w:hAnsi="Times New Roman" w:cs="Times New Roman"/>
        </w:rPr>
        <w:t xml:space="preserve">Vytvorenie nových informačných systémov </w:t>
      </w:r>
      <w:r w:rsidR="00935631">
        <w:rPr>
          <w:rFonts w:ascii="Times New Roman" w:hAnsi="Times New Roman" w:cs="Times New Roman"/>
        </w:rPr>
        <w:t xml:space="preserve">CISMA (Centrálny informačný systém matrík) a IS CO (Informačný systém centrálnej ohlasovne) </w:t>
      </w:r>
      <w:r w:rsidR="00113DD6">
        <w:rPr>
          <w:rFonts w:ascii="Times New Roman" w:hAnsi="Times New Roman" w:cs="Times New Roman"/>
        </w:rPr>
        <w:t>má zvýšiť spokojnosť občanov, podnikateľov a ostatnej verejnosti s verejnou správou v oblasti informatizácie a rozvoja elektronických služieb verejnej správy. CISMA umožní zabezpečiť získanie úradného potvrdenia matričných udalostí pre slovenské a európske orgány a zastupiteľnosť matričných úradov pri vydávaní úradných výpisov o matričných udalostiach rozhodujúcich pre zistenie alebo overenie osobného stavu osoby. Podanie elektronickej žiadosti alebo dopytu bude občanovi umožnené prostredníctvom internetu aj mimo pracovných dní. Termín realizácie projektu (podľa platného harmonogramu) je od júla 2012 do júna 2014.  Ukončená bola jedna z hla</w:t>
      </w:r>
      <w:r w:rsidR="009C5D02">
        <w:rPr>
          <w:rFonts w:ascii="Times New Roman" w:hAnsi="Times New Roman" w:cs="Times New Roman"/>
        </w:rPr>
        <w:t>v</w:t>
      </w:r>
      <w:r w:rsidR="00113DD6">
        <w:rPr>
          <w:rFonts w:ascii="Times New Roman" w:hAnsi="Times New Roman" w:cs="Times New Roman"/>
        </w:rPr>
        <w:t>ných aktivít projektu Procesná analýza a návrh riešenia. V súčasnosti prebiehajú práce na časti Programové vybavenie IS CISMA a Dokumentácia (tvorba manuálov k softvéru).</w:t>
      </w:r>
    </w:p>
    <w:p w:rsidR="00D4142C" w:rsidRDefault="009C5D02" w:rsidP="00EE7320">
      <w:pPr>
        <w:shd w:val="clear" w:color="auto" w:fill="FFFFFF" w:themeFill="background1"/>
        <w:spacing w:before="120" w:after="0" w:line="240" w:lineRule="auto"/>
        <w:ind w:firstLine="709"/>
        <w:jc w:val="both"/>
        <w:rPr>
          <w:rFonts w:ascii="Times New Roman" w:hAnsi="Times New Roman" w:cs="Times New Roman"/>
        </w:rPr>
      </w:pPr>
      <w:r>
        <w:rPr>
          <w:rFonts w:ascii="Times New Roman" w:hAnsi="Times New Roman" w:cs="Times New Roman"/>
        </w:rPr>
        <w:t>IS CO je informačný systém centrálnej ohlasovne a elektronických služieb informačného systému centrálnej ohlasovne, ktorý po ukončení realizácie bude ponúkať elektronické služby pre občana pri jeho presťahovaní – ohlásenie miesta, začiatku a ukončenia pobytu na území Slovenskej republiky. Umožní občanom realizovať všetky úkony ohľadne ohlasovania pobytu elektronicky, prostredníctvom internetu. Projekt sa momentálne nachádza v štádiu implementácie a pripravuje sa začatie integračných a akceptačných testov jednotlivých podprojektov.</w:t>
      </w:r>
      <w:r w:rsidR="00113DD6">
        <w:rPr>
          <w:rFonts w:ascii="Times New Roman" w:hAnsi="Times New Roman" w:cs="Times New Roman"/>
        </w:rPr>
        <w:t xml:space="preserve"> </w:t>
      </w:r>
      <w:r w:rsidR="00D4142C">
        <w:rPr>
          <w:rFonts w:ascii="Times New Roman" w:hAnsi="Times New Roman" w:cs="Times New Roman"/>
        </w:rPr>
        <w:t>Podprojekty:</w:t>
      </w:r>
    </w:p>
    <w:p w:rsidR="00CE0070" w:rsidRDefault="00D4142C" w:rsidP="00D4142C">
      <w:pPr>
        <w:pStyle w:val="Odsekzoznamu"/>
        <w:numPr>
          <w:ilvl w:val="0"/>
          <w:numId w:val="29"/>
        </w:numPr>
        <w:shd w:val="clear" w:color="auto" w:fill="FFFFFF" w:themeFill="background1"/>
        <w:spacing w:after="0" w:line="240" w:lineRule="auto"/>
        <w:ind w:left="1587" w:hanging="357"/>
        <w:jc w:val="both"/>
        <w:rPr>
          <w:rFonts w:ascii="Times New Roman" w:eastAsia="Times New Roman" w:hAnsi="Times New Roman" w:cs="Times New Roman"/>
          <w:lang w:eastAsia="cs-CZ"/>
        </w:rPr>
      </w:pPr>
      <w:r>
        <w:rPr>
          <w:rFonts w:ascii="Times New Roman" w:eastAsia="Times New Roman" w:hAnsi="Times New Roman" w:cs="Times New Roman"/>
          <w:lang w:eastAsia="cs-CZ"/>
        </w:rPr>
        <w:t>Elektronické služby ohlasovne</w:t>
      </w:r>
    </w:p>
    <w:p w:rsidR="00D4142C" w:rsidRDefault="00D4142C" w:rsidP="00D4142C">
      <w:pPr>
        <w:pStyle w:val="Odsekzoznamu"/>
        <w:numPr>
          <w:ilvl w:val="0"/>
          <w:numId w:val="29"/>
        </w:numPr>
        <w:shd w:val="clear" w:color="auto" w:fill="FFFFFF" w:themeFill="background1"/>
        <w:spacing w:before="120" w:after="0" w:line="240" w:lineRule="auto"/>
        <w:jc w:val="both"/>
        <w:rPr>
          <w:rFonts w:ascii="Times New Roman" w:eastAsia="Times New Roman" w:hAnsi="Times New Roman" w:cs="Times New Roman"/>
          <w:lang w:eastAsia="cs-CZ"/>
        </w:rPr>
      </w:pPr>
      <w:proofErr w:type="spellStart"/>
      <w:r>
        <w:rPr>
          <w:rFonts w:ascii="Times New Roman" w:eastAsia="Times New Roman" w:hAnsi="Times New Roman" w:cs="Times New Roman"/>
          <w:lang w:eastAsia="cs-CZ"/>
        </w:rPr>
        <w:t>Document</w:t>
      </w:r>
      <w:proofErr w:type="spellEnd"/>
      <w:r>
        <w:rPr>
          <w:rFonts w:ascii="Times New Roman" w:eastAsia="Times New Roman" w:hAnsi="Times New Roman" w:cs="Times New Roman"/>
          <w:lang w:eastAsia="cs-CZ"/>
        </w:rPr>
        <w:t xml:space="preserve"> </w:t>
      </w:r>
      <w:proofErr w:type="spellStart"/>
      <w:r>
        <w:rPr>
          <w:rFonts w:ascii="Times New Roman" w:eastAsia="Times New Roman" w:hAnsi="Times New Roman" w:cs="Times New Roman"/>
          <w:lang w:eastAsia="cs-CZ"/>
        </w:rPr>
        <w:t>management</w:t>
      </w:r>
      <w:proofErr w:type="spellEnd"/>
      <w:r>
        <w:rPr>
          <w:rFonts w:ascii="Times New Roman" w:eastAsia="Times New Roman" w:hAnsi="Times New Roman" w:cs="Times New Roman"/>
          <w:lang w:eastAsia="cs-CZ"/>
        </w:rPr>
        <w:t xml:space="preserve"> </w:t>
      </w:r>
      <w:proofErr w:type="spellStart"/>
      <w:r>
        <w:rPr>
          <w:rFonts w:ascii="Times New Roman" w:eastAsia="Times New Roman" w:hAnsi="Times New Roman" w:cs="Times New Roman"/>
          <w:lang w:eastAsia="cs-CZ"/>
        </w:rPr>
        <w:t>system</w:t>
      </w:r>
      <w:proofErr w:type="spellEnd"/>
      <w:r>
        <w:rPr>
          <w:rFonts w:ascii="Times New Roman" w:eastAsia="Times New Roman" w:hAnsi="Times New Roman" w:cs="Times New Roman"/>
          <w:lang w:eastAsia="cs-CZ"/>
        </w:rPr>
        <w:t xml:space="preserve"> (DMS)</w:t>
      </w:r>
    </w:p>
    <w:p w:rsidR="00D4142C" w:rsidRDefault="00D4142C" w:rsidP="00D4142C">
      <w:pPr>
        <w:pStyle w:val="Odsekzoznamu"/>
        <w:numPr>
          <w:ilvl w:val="0"/>
          <w:numId w:val="2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Integrácia služieb na </w:t>
      </w:r>
      <w:proofErr w:type="spellStart"/>
      <w:r>
        <w:rPr>
          <w:rFonts w:ascii="Times New Roman" w:eastAsia="Times New Roman" w:hAnsi="Times New Roman" w:cs="Times New Roman"/>
          <w:lang w:eastAsia="cs-CZ"/>
        </w:rPr>
        <w:t>frontend</w:t>
      </w:r>
      <w:proofErr w:type="spellEnd"/>
      <w:r>
        <w:rPr>
          <w:rFonts w:ascii="Times New Roman" w:eastAsia="Times New Roman" w:hAnsi="Times New Roman" w:cs="Times New Roman"/>
          <w:lang w:eastAsia="cs-CZ"/>
        </w:rPr>
        <w:t xml:space="preserve"> a podateľňu</w:t>
      </w:r>
    </w:p>
    <w:p w:rsidR="00D4142C" w:rsidRDefault="00D4142C" w:rsidP="00D4142C">
      <w:pPr>
        <w:pStyle w:val="Odsekzoznamu"/>
        <w:numPr>
          <w:ilvl w:val="0"/>
          <w:numId w:val="2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Modul dlhodobej archivácie (MDA)</w:t>
      </w:r>
    </w:p>
    <w:p w:rsidR="00D4142C" w:rsidRDefault="00D4142C" w:rsidP="00D4142C">
      <w:pPr>
        <w:pStyle w:val="Odsekzoznamu"/>
        <w:numPr>
          <w:ilvl w:val="0"/>
          <w:numId w:val="2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Portál</w:t>
      </w:r>
    </w:p>
    <w:p w:rsidR="00D4142C" w:rsidRDefault="003F5423" w:rsidP="00D4142C">
      <w:pPr>
        <w:pStyle w:val="Odsekzoznamu"/>
        <w:numPr>
          <w:ilvl w:val="0"/>
          <w:numId w:val="2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Elekt</w:t>
      </w:r>
      <w:r w:rsidR="00D4142C">
        <w:rPr>
          <w:rFonts w:ascii="Times New Roman" w:eastAsia="Times New Roman" w:hAnsi="Times New Roman" w:cs="Times New Roman"/>
          <w:lang w:eastAsia="cs-CZ"/>
        </w:rPr>
        <w:t>r</w:t>
      </w:r>
      <w:r>
        <w:rPr>
          <w:rFonts w:ascii="Times New Roman" w:eastAsia="Times New Roman" w:hAnsi="Times New Roman" w:cs="Times New Roman"/>
          <w:lang w:eastAsia="cs-CZ"/>
        </w:rPr>
        <w:t>o</w:t>
      </w:r>
      <w:r w:rsidR="00D4142C">
        <w:rPr>
          <w:rFonts w:ascii="Times New Roman" w:eastAsia="Times New Roman" w:hAnsi="Times New Roman" w:cs="Times New Roman"/>
          <w:lang w:eastAsia="cs-CZ"/>
        </w:rPr>
        <w:t>nické komunikačné rozhranie (EKR)</w:t>
      </w:r>
    </w:p>
    <w:p w:rsidR="00D4142C" w:rsidRDefault="00D4142C" w:rsidP="00D4142C">
      <w:pPr>
        <w:pStyle w:val="Odsekzoznamu"/>
        <w:numPr>
          <w:ilvl w:val="0"/>
          <w:numId w:val="2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IS </w:t>
      </w:r>
      <w:proofErr w:type="spellStart"/>
      <w:r>
        <w:rPr>
          <w:rFonts w:ascii="Times New Roman" w:eastAsia="Times New Roman" w:hAnsi="Times New Roman" w:cs="Times New Roman"/>
          <w:lang w:eastAsia="cs-CZ"/>
        </w:rPr>
        <w:t>Service</w:t>
      </w:r>
      <w:proofErr w:type="spellEnd"/>
      <w:r>
        <w:rPr>
          <w:rFonts w:ascii="Times New Roman" w:eastAsia="Times New Roman" w:hAnsi="Times New Roman" w:cs="Times New Roman"/>
          <w:lang w:eastAsia="cs-CZ"/>
        </w:rPr>
        <w:t xml:space="preserve"> </w:t>
      </w:r>
      <w:proofErr w:type="spellStart"/>
      <w:r>
        <w:rPr>
          <w:rFonts w:ascii="Times New Roman" w:eastAsia="Times New Roman" w:hAnsi="Times New Roman" w:cs="Times New Roman"/>
          <w:lang w:eastAsia="cs-CZ"/>
        </w:rPr>
        <w:t>desk</w:t>
      </w:r>
      <w:proofErr w:type="spellEnd"/>
      <w:r>
        <w:rPr>
          <w:rFonts w:ascii="Times New Roman" w:eastAsia="Times New Roman" w:hAnsi="Times New Roman" w:cs="Times New Roman"/>
          <w:lang w:eastAsia="cs-CZ"/>
        </w:rPr>
        <w:t xml:space="preserve"> (SDG)</w:t>
      </w:r>
    </w:p>
    <w:p w:rsidR="00D4142C" w:rsidRDefault="00D4142C" w:rsidP="00D4142C">
      <w:pPr>
        <w:pStyle w:val="Odsekzoznamu"/>
        <w:numPr>
          <w:ilvl w:val="0"/>
          <w:numId w:val="29"/>
        </w:numPr>
        <w:shd w:val="clear" w:color="auto" w:fill="FFFFFF" w:themeFill="background1"/>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Bezpečnosť (IS SEC)</w:t>
      </w:r>
    </w:p>
    <w:p w:rsidR="00D4142C" w:rsidRPr="00D4142C" w:rsidRDefault="00D4142C" w:rsidP="00D4142C">
      <w:pPr>
        <w:shd w:val="clear" w:color="auto" w:fill="FFFFFF" w:themeFill="background1"/>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Objednaný hardvér a softvér bol kompletne dodaný, aktuálne prebiehajú inštalačné práce. </w:t>
      </w:r>
    </w:p>
    <w:p w:rsidR="00EE7320" w:rsidRDefault="00EE7320" w:rsidP="00EE7320">
      <w:pPr>
        <w:shd w:val="clear" w:color="auto" w:fill="FFFFFF" w:themeFill="background1"/>
        <w:spacing w:before="120" w:after="0" w:line="240" w:lineRule="auto"/>
        <w:ind w:firstLine="709"/>
        <w:jc w:val="both"/>
        <w:rPr>
          <w:rFonts w:ascii="Times New Roman" w:eastAsia="Times New Roman" w:hAnsi="Times New Roman" w:cs="Times New Roman"/>
          <w:lang w:eastAsia="cs-CZ"/>
        </w:rPr>
      </w:pPr>
      <w:r w:rsidRPr="008A0D87">
        <w:rPr>
          <w:rFonts w:ascii="Times New Roman" w:eastAsia="Times New Roman" w:hAnsi="Times New Roman" w:cs="Times New Roman"/>
          <w:lang w:eastAsia="cs-CZ"/>
        </w:rPr>
        <w:t>Ministerstvo zdravotníctva navrh</w:t>
      </w:r>
      <w:r w:rsidR="000F3DD7">
        <w:rPr>
          <w:rFonts w:ascii="Times New Roman" w:eastAsia="Times New Roman" w:hAnsi="Times New Roman" w:cs="Times New Roman"/>
          <w:lang w:eastAsia="cs-CZ"/>
        </w:rPr>
        <w:t>uje</w:t>
      </w:r>
      <w:r w:rsidRPr="008A0D87">
        <w:rPr>
          <w:rFonts w:ascii="Times New Roman" w:eastAsia="Times New Roman" w:hAnsi="Times New Roman" w:cs="Times New Roman"/>
          <w:lang w:eastAsia="cs-CZ"/>
        </w:rPr>
        <w:t xml:space="preserve"> v oblasti prenesených pôsobností legislatívne upraviť najmä vydávanie povolení na poskytovanie ústavnej zdravotnej starostlivosti; cieľom by malo byť, aby povolenia pre všetky nemocnice vydávalo ministerstvo. Navrh</w:t>
      </w:r>
      <w:r w:rsidR="000F3DD7">
        <w:rPr>
          <w:rFonts w:ascii="Times New Roman" w:eastAsia="Times New Roman" w:hAnsi="Times New Roman" w:cs="Times New Roman"/>
          <w:lang w:eastAsia="cs-CZ"/>
        </w:rPr>
        <w:t>uje</w:t>
      </w:r>
      <w:r w:rsidRPr="008A0D87">
        <w:rPr>
          <w:rFonts w:ascii="Times New Roman" w:eastAsia="Times New Roman" w:hAnsi="Times New Roman" w:cs="Times New Roman"/>
          <w:lang w:eastAsia="cs-CZ"/>
        </w:rPr>
        <w:t xml:space="preserve"> tiež otvorenie širokej diskusie so zástupcami samosprávnych krajov, Slovenskej lekárnickej komory, Slovenskej lekárskej komory, zdravotných poisťovní, ZMOS a ministerstva financií na tému ďalšieho fungovania lekárenskej pohotovostnej služby v</w:t>
      </w:r>
      <w:r w:rsidR="00B4425E">
        <w:rPr>
          <w:rFonts w:ascii="Times New Roman" w:eastAsia="Times New Roman" w:hAnsi="Times New Roman" w:cs="Times New Roman"/>
          <w:lang w:eastAsia="cs-CZ"/>
        </w:rPr>
        <w:t> </w:t>
      </w:r>
      <w:r w:rsidRPr="008A0D87">
        <w:rPr>
          <w:rFonts w:ascii="Times New Roman" w:eastAsia="Times New Roman" w:hAnsi="Times New Roman" w:cs="Times New Roman"/>
          <w:lang w:eastAsia="cs-CZ"/>
        </w:rPr>
        <w:t xml:space="preserve">nadväznosti na lekársku službu prvej pomoci. </w:t>
      </w:r>
    </w:p>
    <w:p w:rsidR="00EE7320" w:rsidRDefault="00EE7320" w:rsidP="00EE7320">
      <w:pPr>
        <w:shd w:val="clear" w:color="auto" w:fill="FFFFFF" w:themeFill="background1"/>
        <w:spacing w:before="120" w:after="0" w:line="240" w:lineRule="auto"/>
        <w:ind w:firstLine="709"/>
        <w:jc w:val="both"/>
        <w:rPr>
          <w:rFonts w:ascii="Times New Roman" w:hAnsi="Times New Roman" w:cs="Times New Roman"/>
        </w:rPr>
      </w:pPr>
      <w:r w:rsidRPr="008A0D87">
        <w:rPr>
          <w:rFonts w:ascii="Times New Roman" w:hAnsi="Times New Roman" w:cs="Times New Roman"/>
        </w:rPr>
        <w:lastRenderedPageBreak/>
        <w:t>Ministerstvo životného prostredia v prípade prenesených pôsobností na úsek</w:t>
      </w:r>
      <w:r w:rsidR="005C2B2A">
        <w:rPr>
          <w:rFonts w:ascii="Times New Roman" w:hAnsi="Times New Roman" w:cs="Times New Roman"/>
        </w:rPr>
        <w:t>u</w:t>
      </w:r>
      <w:r w:rsidRPr="008A0D87">
        <w:rPr>
          <w:rFonts w:ascii="Times New Roman" w:hAnsi="Times New Roman" w:cs="Times New Roman"/>
        </w:rPr>
        <w:t xml:space="preserve"> starostlivosti o životné prostredi</w:t>
      </w:r>
      <w:r w:rsidR="005C2B2A">
        <w:rPr>
          <w:rFonts w:ascii="Times New Roman" w:hAnsi="Times New Roman" w:cs="Times New Roman"/>
        </w:rPr>
        <w:t>e</w:t>
      </w:r>
      <w:r w:rsidRPr="008A0D87">
        <w:rPr>
          <w:rFonts w:ascii="Times New Roman" w:hAnsi="Times New Roman" w:cs="Times New Roman"/>
        </w:rPr>
        <w:t xml:space="preserve"> navrhuje v prvom rade zaviesť povinnosť osobitného kvalifikačného predpokladu zamestnancov a zabezpečiť pravidelné vzdelávanie za účelom zlepšiť kvalitu výkonu úloh na jednotlivých úsekoch. V rámci vykonania auditu ministerstvo životného prostredia zistilo, že kvalita výkonu činností na úsekoch starostlivosti o životné prostredie v me</w:t>
      </w:r>
      <w:r>
        <w:rPr>
          <w:rFonts w:ascii="Times New Roman" w:hAnsi="Times New Roman" w:cs="Times New Roman"/>
        </w:rPr>
        <w:t xml:space="preserve">nších obciach </w:t>
      </w:r>
      <w:r w:rsidRPr="008A0D87">
        <w:rPr>
          <w:rFonts w:ascii="Times New Roman" w:hAnsi="Times New Roman" w:cs="Times New Roman"/>
        </w:rPr>
        <w:t>je neuspokojivá, preto navrhuje v  týchto obciach vybudovať sieť spoločných obecných úradov. Taktiež navrhuje v prípade niektorých úloh na úseku ochrany prírody a krajiny a na úseku ochrany pred povodňami vrátiť prenesenú pôsobnosť na obvodné úrady životného prostredia. Ďalej, ministerstvo životného prostredia navrhuje zaviesť pravidelný jednotný monitoring a zber údajov</w:t>
      </w:r>
      <w:r w:rsidR="0095150A">
        <w:rPr>
          <w:rFonts w:ascii="Times New Roman" w:hAnsi="Times New Roman" w:cs="Times New Roman"/>
        </w:rPr>
        <w:t xml:space="preserve"> a vytvoriť internetový portál</w:t>
      </w:r>
      <w:r w:rsidRPr="008A0D87">
        <w:rPr>
          <w:rFonts w:ascii="Times New Roman" w:hAnsi="Times New Roman" w:cs="Times New Roman"/>
        </w:rPr>
        <w:t xml:space="preserve"> za účelom poskytovania informácií v danej oblasti pre zamestnancov v oblasti starostlivosti o životné prostredie, ako aj verejnosti. </w:t>
      </w:r>
    </w:p>
    <w:p w:rsidR="00EE7320" w:rsidRDefault="00EE7320" w:rsidP="00EE7320">
      <w:pPr>
        <w:shd w:val="clear" w:color="auto" w:fill="FFFFFF" w:themeFill="background1"/>
        <w:spacing w:before="120" w:after="0" w:line="240" w:lineRule="auto"/>
        <w:ind w:firstLine="709"/>
        <w:jc w:val="both"/>
        <w:rPr>
          <w:rFonts w:ascii="Times New Roman" w:hAnsi="Times New Roman" w:cs="Times New Roman"/>
        </w:rPr>
      </w:pPr>
      <w:r w:rsidRPr="008A0D87">
        <w:rPr>
          <w:rFonts w:ascii="Times New Roman" w:hAnsi="Times New Roman" w:cs="Times New Roman"/>
        </w:rPr>
        <w:t>K formulovaným návrhom opatrení je potrebné poznamenať, že vo väčšine prípadov majú všeobecný charakter bez uvádzania termínu ich realizácie. Spoločným znakom, resp. menovateľom</w:t>
      </w:r>
      <w:r w:rsidR="00AF6DC2">
        <w:rPr>
          <w:rFonts w:ascii="Times New Roman" w:hAnsi="Times New Roman" w:cs="Times New Roman"/>
        </w:rPr>
        <w:t>,</w:t>
      </w:r>
      <w:r w:rsidRPr="008A0D87">
        <w:rPr>
          <w:rFonts w:ascii="Times New Roman" w:hAnsi="Times New Roman" w:cs="Times New Roman"/>
        </w:rPr>
        <w:t xml:space="preserve"> väčšiny opatrení je návrh zákonom určiť združovanie obcí do spoločných obecných úradov, s určením ich spádového územia, resp. obvodu. Je to cesta skvalitnenia výkonu prenesených pôsobností, odborného personálneho zázemia, transparentnosti finančných tokov a pod. Takmer všetky rezorty požadujú vybudovať sieť spoločných obecných úradov pri rešpektovaní teritoriálnych rozdielov a túto upraviť zákonom. Na druhej strane niektoré rezorty (ministerstvo dopravy, ministerstvo školstva, ministerstvo životného prostredia) navrhujú zvážiť presun niektorých kompetencií na obvodné úrady v</w:t>
      </w:r>
      <w:r w:rsidR="002904D4">
        <w:rPr>
          <w:rFonts w:ascii="Times New Roman" w:hAnsi="Times New Roman" w:cs="Times New Roman"/>
        </w:rPr>
        <w:t> </w:t>
      </w:r>
      <w:r w:rsidRPr="008A0D87">
        <w:rPr>
          <w:rFonts w:ascii="Times New Roman" w:hAnsi="Times New Roman" w:cs="Times New Roman"/>
        </w:rPr>
        <w:t>sídl</w:t>
      </w:r>
      <w:r w:rsidR="002904D4">
        <w:rPr>
          <w:rFonts w:ascii="Times New Roman" w:hAnsi="Times New Roman" w:cs="Times New Roman"/>
        </w:rPr>
        <w:t>ach krajov</w:t>
      </w:r>
      <w:r w:rsidRPr="008A0D87">
        <w:rPr>
          <w:rFonts w:ascii="Times New Roman" w:hAnsi="Times New Roman" w:cs="Times New Roman"/>
        </w:rPr>
        <w:t>.</w:t>
      </w:r>
    </w:p>
    <w:p w:rsidR="00EE7320" w:rsidRDefault="00EE7320" w:rsidP="00EE7320">
      <w:pPr>
        <w:spacing w:before="120" w:after="0" w:line="240" w:lineRule="auto"/>
        <w:ind w:firstLine="709"/>
        <w:jc w:val="both"/>
        <w:rPr>
          <w:rFonts w:ascii="Times New Roman" w:hAnsi="Times New Roman" w:cs="Times New Roman"/>
        </w:rPr>
      </w:pPr>
      <w:r w:rsidRPr="008A0D87">
        <w:rPr>
          <w:rFonts w:ascii="Times New Roman" w:hAnsi="Times New Roman" w:cs="Times New Roman"/>
        </w:rPr>
        <w:t>V opatreniach absentujú vyjadrenia, resp. odporúčania pre oblasť financovania kompetencií obcí a samosprávnych krajov a jeho optimalizáciu v ďalšom období. Prevažuje konštatovanie o nedostatočnom finančnom krytí nákladov preneseného výkonu štátnej správy na niektorých úsekoch</w:t>
      </w:r>
      <w:r w:rsidR="00AF6DC2">
        <w:rPr>
          <w:rFonts w:ascii="Times New Roman" w:hAnsi="Times New Roman" w:cs="Times New Roman"/>
        </w:rPr>
        <w:t>,</w:t>
      </w:r>
      <w:r w:rsidRPr="008A0D87">
        <w:rPr>
          <w:rFonts w:ascii="Times New Roman" w:hAnsi="Times New Roman" w:cs="Times New Roman"/>
        </w:rPr>
        <w:t xml:space="preserve"> napr. na úseku stavebného poriadku. </w:t>
      </w:r>
    </w:p>
    <w:p w:rsidR="00EE7320" w:rsidRDefault="00EE7320" w:rsidP="00EE7320">
      <w:pPr>
        <w:spacing w:before="120" w:after="0" w:line="240" w:lineRule="auto"/>
        <w:ind w:firstLine="709"/>
        <w:jc w:val="both"/>
        <w:rPr>
          <w:rFonts w:ascii="Times New Roman" w:hAnsi="Times New Roman" w:cs="Times New Roman"/>
        </w:rPr>
      </w:pPr>
      <w:r w:rsidRPr="008A0D87">
        <w:rPr>
          <w:rFonts w:ascii="Times New Roman" w:hAnsi="Times New Roman" w:cs="Times New Roman"/>
        </w:rPr>
        <w:t>Kritické názory sú prezentované na nedostatočnú odbornú spôsobilosť zamestnancov obcí na niektorých úsekoch činnosti, a preto jednoznačne požadujú zaviesť povinnosť plnenia osobitného kvalifikačného predpokladu na výkon všetkých odborných pozícií (najmä úsek životného prostredia, školstva, stavebného poriadku a pozemných komunikácií).</w:t>
      </w:r>
    </w:p>
    <w:p w:rsidR="005E7611" w:rsidRPr="00696470" w:rsidRDefault="005E7611" w:rsidP="00E62A70">
      <w:pPr>
        <w:pStyle w:val="tla2"/>
      </w:pPr>
      <w:bookmarkStart w:id="18" w:name="_Toc373740550"/>
      <w:r w:rsidRPr="00696470">
        <w:t>Stav výkonu samosprávnych pôsobností</w:t>
      </w:r>
      <w:bookmarkEnd w:id="18"/>
    </w:p>
    <w:p w:rsidR="00917AAB" w:rsidRDefault="00917AAB" w:rsidP="00917AAB">
      <w:pPr>
        <w:spacing w:before="120" w:after="0" w:line="240" w:lineRule="auto"/>
        <w:ind w:firstLine="709"/>
        <w:jc w:val="both"/>
        <w:rPr>
          <w:rFonts w:ascii="Times New Roman" w:hAnsi="Times New Roman" w:cs="Times New Roman"/>
        </w:rPr>
      </w:pPr>
      <w:r>
        <w:rPr>
          <w:rFonts w:ascii="Times New Roman" w:hAnsi="Times New Roman" w:cs="Times New Roman"/>
        </w:rPr>
        <w:t xml:space="preserve">Pre určenie samosprávnych pôsobností je významné výkladové pravidlo, obsiahnuté v § 4 ods. 2 zákona č. 416/2001 Z. z. </w:t>
      </w:r>
      <w:r w:rsidRPr="00917AAB">
        <w:rPr>
          <w:rFonts w:ascii="Times New Roman" w:hAnsi="Times New Roman" w:cs="Times New Roman"/>
        </w:rPr>
        <w:t>o prechode niektorých pôsobností z orgánov štátnej správy na obce a na vyššie územné celky</w:t>
      </w:r>
      <w:r>
        <w:rPr>
          <w:rFonts w:ascii="Times New Roman" w:hAnsi="Times New Roman" w:cs="Times New Roman"/>
        </w:rPr>
        <w:t xml:space="preserve"> v znení neskorších predpisov</w:t>
      </w:r>
      <w:r w:rsidR="007A4FAD">
        <w:rPr>
          <w:rFonts w:ascii="Times New Roman" w:hAnsi="Times New Roman" w:cs="Times New Roman"/>
        </w:rPr>
        <w:t xml:space="preserve"> (ďalej len „zákon č. 416/2001 Z. z. </w:t>
      </w:r>
      <w:r w:rsidR="007A4FAD" w:rsidRPr="00917AAB">
        <w:rPr>
          <w:rFonts w:ascii="Times New Roman" w:hAnsi="Times New Roman" w:cs="Times New Roman"/>
        </w:rPr>
        <w:t>o prechode niektorých pôsobností z orgánov štátnej správy</w:t>
      </w:r>
      <w:r w:rsidR="007A4FAD">
        <w:rPr>
          <w:rFonts w:ascii="Times New Roman" w:hAnsi="Times New Roman" w:cs="Times New Roman"/>
        </w:rPr>
        <w:t>“)</w:t>
      </w:r>
      <w:r>
        <w:rPr>
          <w:rFonts w:ascii="Times New Roman" w:hAnsi="Times New Roman" w:cs="Times New Roman"/>
        </w:rPr>
        <w:t xml:space="preserve">: </w:t>
      </w:r>
      <w:r w:rsidRPr="00917AAB">
        <w:rPr>
          <w:rFonts w:ascii="Times New Roman" w:hAnsi="Times New Roman" w:cs="Times New Roman"/>
        </w:rPr>
        <w:t xml:space="preserve">Ak zákon pri úprave pôsobnosti obce alebo </w:t>
      </w:r>
      <w:r>
        <w:rPr>
          <w:rFonts w:ascii="Times New Roman" w:hAnsi="Times New Roman" w:cs="Times New Roman"/>
        </w:rPr>
        <w:t>samosprávneho kraja</w:t>
      </w:r>
      <w:r w:rsidRPr="00917AAB">
        <w:rPr>
          <w:rFonts w:ascii="Times New Roman" w:hAnsi="Times New Roman" w:cs="Times New Roman"/>
        </w:rPr>
        <w:t xml:space="preserve"> neustanovuje, že ide o prenesený výkon pôsobnosti štátnej správy, platí, že ide o výkon samosprávnej </w:t>
      </w:r>
      <w:r>
        <w:rPr>
          <w:rFonts w:ascii="Times New Roman" w:hAnsi="Times New Roman" w:cs="Times New Roman"/>
        </w:rPr>
        <w:t>pôsobnosti obce alebo samosprávneho kraja</w:t>
      </w:r>
      <w:r w:rsidRPr="00917AAB">
        <w:rPr>
          <w:rFonts w:ascii="Times New Roman" w:hAnsi="Times New Roman" w:cs="Times New Roman"/>
        </w:rPr>
        <w:t>.</w:t>
      </w:r>
    </w:p>
    <w:p w:rsidR="00756FDD" w:rsidRDefault="005A6B6D" w:rsidP="00917AAB">
      <w:pPr>
        <w:spacing w:before="120" w:after="0" w:line="240" w:lineRule="auto"/>
        <w:ind w:firstLine="709"/>
        <w:jc w:val="both"/>
        <w:rPr>
          <w:rFonts w:ascii="Times New Roman" w:hAnsi="Times New Roman" w:cs="Times New Roman"/>
        </w:rPr>
      </w:pPr>
      <w:r w:rsidRPr="005D19E0">
        <w:rPr>
          <w:rFonts w:ascii="Times New Roman" w:hAnsi="Times New Roman" w:cs="Times New Roman"/>
        </w:rPr>
        <w:t>P</w:t>
      </w:r>
      <w:r w:rsidR="00756FDD" w:rsidRPr="005D19E0">
        <w:rPr>
          <w:rFonts w:ascii="Times New Roman" w:hAnsi="Times New Roman" w:cs="Times New Roman"/>
        </w:rPr>
        <w:t xml:space="preserve">odľa Ústavy </w:t>
      </w:r>
      <w:r w:rsidR="00ED7C06">
        <w:rPr>
          <w:rFonts w:ascii="Times New Roman" w:hAnsi="Times New Roman" w:cs="Times New Roman"/>
        </w:rPr>
        <w:t>Slovenskej republiky</w:t>
      </w:r>
      <w:r w:rsidR="00756FDD" w:rsidRPr="005D19E0">
        <w:rPr>
          <w:rFonts w:ascii="Times New Roman" w:hAnsi="Times New Roman" w:cs="Times New Roman"/>
        </w:rPr>
        <w:t xml:space="preserve"> štát môže zasahovať do činnosti obc</w:t>
      </w:r>
      <w:r w:rsidRPr="005D19E0">
        <w:rPr>
          <w:rFonts w:ascii="Times New Roman" w:hAnsi="Times New Roman" w:cs="Times New Roman"/>
        </w:rPr>
        <w:t>í</w:t>
      </w:r>
      <w:r w:rsidR="00756FDD" w:rsidRPr="005D19E0">
        <w:rPr>
          <w:rFonts w:ascii="Times New Roman" w:hAnsi="Times New Roman" w:cs="Times New Roman"/>
        </w:rPr>
        <w:t xml:space="preserve"> a samosprávn</w:t>
      </w:r>
      <w:r w:rsidRPr="005D19E0">
        <w:rPr>
          <w:rFonts w:ascii="Times New Roman" w:hAnsi="Times New Roman" w:cs="Times New Roman"/>
        </w:rPr>
        <w:t>ych</w:t>
      </w:r>
      <w:r w:rsidR="00756FDD" w:rsidRPr="005D19E0">
        <w:rPr>
          <w:rFonts w:ascii="Times New Roman" w:hAnsi="Times New Roman" w:cs="Times New Roman"/>
        </w:rPr>
        <w:t xml:space="preserve"> kraj</w:t>
      </w:r>
      <w:r w:rsidRPr="005D19E0">
        <w:rPr>
          <w:rFonts w:ascii="Times New Roman" w:hAnsi="Times New Roman" w:cs="Times New Roman"/>
        </w:rPr>
        <w:t>ov</w:t>
      </w:r>
      <w:r w:rsidR="00756FDD" w:rsidRPr="005D19E0">
        <w:rPr>
          <w:rFonts w:ascii="Times New Roman" w:hAnsi="Times New Roman" w:cs="Times New Roman"/>
        </w:rPr>
        <w:t xml:space="preserve"> len spôsobom ustanoveným zákonom</w:t>
      </w:r>
      <w:r w:rsidRPr="005D19E0">
        <w:rPr>
          <w:rFonts w:ascii="Times New Roman" w:hAnsi="Times New Roman" w:cs="Times New Roman"/>
        </w:rPr>
        <w:t>.</w:t>
      </w:r>
      <w:r w:rsidR="00756FDD" w:rsidRPr="005D19E0">
        <w:rPr>
          <w:rFonts w:ascii="Times New Roman" w:hAnsi="Times New Roman" w:cs="Times New Roman"/>
        </w:rPr>
        <w:t xml:space="preserve"> </w:t>
      </w:r>
      <w:r w:rsidRPr="005D19E0">
        <w:rPr>
          <w:rFonts w:ascii="Times New Roman" w:hAnsi="Times New Roman" w:cs="Times New Roman"/>
        </w:rPr>
        <w:t>Pri výkone auditu nebolo možné obciam a samosprávnym krajom uložiť povinnosť poskytnúť potrebné údaje. Z</w:t>
      </w:r>
      <w:r w:rsidR="00756FDD" w:rsidRPr="005D19E0">
        <w:rPr>
          <w:rFonts w:ascii="Times New Roman" w:hAnsi="Times New Roman" w:cs="Times New Roman"/>
        </w:rPr>
        <w:t>ískanie podkladov o</w:t>
      </w:r>
      <w:r w:rsidRPr="005D19E0">
        <w:rPr>
          <w:rFonts w:ascii="Times New Roman" w:hAnsi="Times New Roman" w:cs="Times New Roman"/>
        </w:rPr>
        <w:t> výkone samosprávnych pôsobností bolo preto založené na ochote a možnostiach územnej samosprávy spolupracovať.</w:t>
      </w:r>
    </w:p>
    <w:p w:rsidR="00400B41" w:rsidRPr="005D19E0" w:rsidRDefault="00400B41" w:rsidP="00917AAB">
      <w:pPr>
        <w:spacing w:before="120" w:after="0" w:line="240" w:lineRule="auto"/>
        <w:ind w:firstLine="709"/>
        <w:jc w:val="both"/>
        <w:rPr>
          <w:rFonts w:ascii="Times New Roman" w:hAnsi="Times New Roman" w:cs="Times New Roman"/>
        </w:rPr>
      </w:pPr>
      <w:r w:rsidRPr="00400B41">
        <w:rPr>
          <w:rFonts w:ascii="Times New Roman" w:hAnsi="Times New Roman" w:cs="Times New Roman"/>
        </w:rPr>
        <w:t xml:space="preserve">O stave výkonu samosprávnych pôsobností a spôsobe ich financovania </w:t>
      </w:r>
      <w:r w:rsidR="00F615B3">
        <w:rPr>
          <w:rFonts w:ascii="Times New Roman" w:hAnsi="Times New Roman" w:cs="Times New Roman"/>
        </w:rPr>
        <w:t>ministerstvá</w:t>
      </w:r>
      <w:r w:rsidRPr="00400B41">
        <w:rPr>
          <w:rFonts w:ascii="Times New Roman" w:hAnsi="Times New Roman" w:cs="Times New Roman"/>
        </w:rPr>
        <w:t xml:space="preserve"> nevedú </w:t>
      </w:r>
      <w:r>
        <w:rPr>
          <w:rFonts w:ascii="Times New Roman" w:hAnsi="Times New Roman" w:cs="Times New Roman"/>
        </w:rPr>
        <w:t xml:space="preserve">takmer </w:t>
      </w:r>
      <w:r w:rsidRPr="00400B41">
        <w:rPr>
          <w:rFonts w:ascii="Times New Roman" w:hAnsi="Times New Roman" w:cs="Times New Roman"/>
        </w:rPr>
        <w:t xml:space="preserve">žiadnu štatistiku. Údaje získali </w:t>
      </w:r>
      <w:r>
        <w:rPr>
          <w:rFonts w:ascii="Times New Roman" w:hAnsi="Times New Roman" w:cs="Times New Roman"/>
        </w:rPr>
        <w:t xml:space="preserve">najmä </w:t>
      </w:r>
      <w:r w:rsidRPr="00400B41">
        <w:rPr>
          <w:rFonts w:ascii="Times New Roman" w:hAnsi="Times New Roman" w:cs="Times New Roman"/>
        </w:rPr>
        <w:t>formou rozoslaných dotazníkov na obce a</w:t>
      </w:r>
      <w:r>
        <w:rPr>
          <w:rFonts w:ascii="Times New Roman" w:hAnsi="Times New Roman" w:cs="Times New Roman"/>
        </w:rPr>
        <w:t> samosprávne kraje</w:t>
      </w:r>
      <w:r w:rsidRPr="00400B41">
        <w:rPr>
          <w:rFonts w:ascii="Times New Roman" w:hAnsi="Times New Roman" w:cs="Times New Roman"/>
        </w:rPr>
        <w:t xml:space="preserve">. Niektoré </w:t>
      </w:r>
      <w:r w:rsidR="00F615B3">
        <w:rPr>
          <w:rFonts w:ascii="Times New Roman" w:hAnsi="Times New Roman" w:cs="Times New Roman"/>
        </w:rPr>
        <w:t xml:space="preserve">ministerstvá </w:t>
      </w:r>
      <w:r w:rsidRPr="00400B41">
        <w:rPr>
          <w:rFonts w:ascii="Times New Roman" w:hAnsi="Times New Roman" w:cs="Times New Roman"/>
        </w:rPr>
        <w:t xml:space="preserve">spracovali údaje získané z Datacentra. </w:t>
      </w:r>
      <w:r w:rsidR="00F615B3">
        <w:rPr>
          <w:rFonts w:ascii="Times New Roman" w:hAnsi="Times New Roman" w:cs="Times New Roman"/>
        </w:rPr>
        <w:t>Ministerstvá</w:t>
      </w:r>
      <w:r w:rsidRPr="00400B41">
        <w:rPr>
          <w:rFonts w:ascii="Times New Roman" w:hAnsi="Times New Roman" w:cs="Times New Roman"/>
        </w:rPr>
        <w:t xml:space="preserve"> v tomto smere upozornili na skutočnosť, že najmä obce nespracúvajú a nepredkladajú údaje o výkone svojich samosprávnych pôsobností. </w:t>
      </w:r>
      <w:r w:rsidR="002904D4">
        <w:rPr>
          <w:rFonts w:ascii="Times New Roman" w:hAnsi="Times New Roman" w:cs="Times New Roman"/>
        </w:rPr>
        <w:t>Poukázali preto na potrebu</w:t>
      </w:r>
      <w:r w:rsidRPr="00400B41">
        <w:rPr>
          <w:rFonts w:ascii="Times New Roman" w:hAnsi="Times New Roman" w:cs="Times New Roman"/>
        </w:rPr>
        <w:t xml:space="preserve"> zabezpečiť výstupy z</w:t>
      </w:r>
      <w:r w:rsidR="00B4425E">
        <w:rPr>
          <w:rFonts w:ascii="Times New Roman" w:hAnsi="Times New Roman" w:cs="Times New Roman"/>
        </w:rPr>
        <w:t> </w:t>
      </w:r>
      <w:r w:rsidRPr="00400B41">
        <w:rPr>
          <w:rFonts w:ascii="Times New Roman" w:hAnsi="Times New Roman" w:cs="Times New Roman"/>
        </w:rPr>
        <w:t>originálnych</w:t>
      </w:r>
      <w:r w:rsidR="00B4425E">
        <w:rPr>
          <w:rFonts w:ascii="Times New Roman" w:hAnsi="Times New Roman" w:cs="Times New Roman"/>
        </w:rPr>
        <w:t xml:space="preserve"> pôsobností</w:t>
      </w:r>
      <w:r w:rsidRPr="00400B41">
        <w:rPr>
          <w:rFonts w:ascii="Times New Roman" w:hAnsi="Times New Roman" w:cs="Times New Roman"/>
        </w:rPr>
        <w:t xml:space="preserve"> obcí</w:t>
      </w:r>
      <w:r>
        <w:rPr>
          <w:rFonts w:ascii="Times New Roman" w:hAnsi="Times New Roman" w:cs="Times New Roman"/>
        </w:rPr>
        <w:t xml:space="preserve"> a samosprávnych krajov</w:t>
      </w:r>
      <w:r w:rsidRPr="00400B41">
        <w:rPr>
          <w:rFonts w:ascii="Times New Roman" w:hAnsi="Times New Roman" w:cs="Times New Roman"/>
        </w:rPr>
        <w:t xml:space="preserve"> do pravidelnej jednotnej štatistiky.</w:t>
      </w:r>
    </w:p>
    <w:p w:rsidR="005E7611" w:rsidRPr="00E62A70" w:rsidRDefault="005E7611" w:rsidP="003D37C0">
      <w:pPr>
        <w:pStyle w:val="tla4"/>
        <w:keepNext/>
        <w:ind w:left="788" w:hanging="431"/>
      </w:pPr>
      <w:bookmarkStart w:id="19" w:name="_Toc373740551"/>
      <w:r w:rsidRPr="00E62A70">
        <w:t>Katalóg samosprávnych pôsobností</w:t>
      </w:r>
      <w:bookmarkEnd w:id="19"/>
    </w:p>
    <w:p w:rsidR="005E7611" w:rsidRDefault="00E16D69" w:rsidP="00917AAB">
      <w:pPr>
        <w:widowControl w:val="0"/>
        <w:spacing w:before="240" w:after="0" w:line="240" w:lineRule="auto"/>
        <w:ind w:firstLine="709"/>
        <w:jc w:val="both"/>
        <w:rPr>
          <w:rFonts w:ascii="Times New Roman" w:hAnsi="Times New Roman" w:cs="Times New Roman"/>
        </w:rPr>
      </w:pPr>
      <w:r>
        <w:rPr>
          <w:rFonts w:ascii="Times New Roman" w:hAnsi="Times New Roman" w:cs="Times New Roman"/>
        </w:rPr>
        <w:t>Katalógy</w:t>
      </w:r>
      <w:r w:rsidR="00164C38">
        <w:rPr>
          <w:rFonts w:ascii="Times New Roman" w:hAnsi="Times New Roman" w:cs="Times New Roman"/>
        </w:rPr>
        <w:t xml:space="preserve"> v prílohách 3a a 4a</w:t>
      </w:r>
      <w:r>
        <w:rPr>
          <w:rFonts w:ascii="Times New Roman" w:hAnsi="Times New Roman" w:cs="Times New Roman"/>
        </w:rPr>
        <w:t xml:space="preserve"> predstavujú prehľad</w:t>
      </w:r>
      <w:r w:rsidR="005E7611" w:rsidRPr="00C07289">
        <w:rPr>
          <w:rFonts w:ascii="Times New Roman" w:hAnsi="Times New Roman" w:cs="Times New Roman"/>
        </w:rPr>
        <w:t>, na akých úsekoch obce a</w:t>
      </w:r>
      <w:r w:rsidR="00ED7C06">
        <w:rPr>
          <w:rFonts w:ascii="Times New Roman" w:hAnsi="Times New Roman" w:cs="Times New Roman"/>
        </w:rPr>
        <w:t> </w:t>
      </w:r>
      <w:r w:rsidR="005E7611" w:rsidRPr="00C07289">
        <w:rPr>
          <w:rFonts w:ascii="Times New Roman" w:hAnsi="Times New Roman" w:cs="Times New Roman"/>
        </w:rPr>
        <w:t xml:space="preserve">samosprávne kraje vykonávajú samosprávne pôsobnosti a aké sú na týchto úsekoch jednotlivé úlohy - vrátane ustanovení právnych predpisov, z ktorých úlohy vyplývajú; k úlohám </w:t>
      </w:r>
      <w:r>
        <w:rPr>
          <w:rFonts w:ascii="Times New Roman" w:hAnsi="Times New Roman" w:cs="Times New Roman"/>
        </w:rPr>
        <w:t>je doplnená</w:t>
      </w:r>
      <w:r w:rsidR="005E7611" w:rsidRPr="00C07289">
        <w:rPr>
          <w:rFonts w:ascii="Times New Roman" w:hAnsi="Times New Roman" w:cs="Times New Roman"/>
        </w:rPr>
        <w:t xml:space="preserve"> poznámka, či ide o administratívne kompetencie alebo o verejné služby vecného charakteru</w:t>
      </w:r>
      <w:r w:rsidR="00C16363">
        <w:rPr>
          <w:rStyle w:val="Odkaznapoznmkupodiarou"/>
          <w:rFonts w:ascii="Times New Roman" w:hAnsi="Times New Roman" w:cs="Times New Roman"/>
        </w:rPr>
        <w:footnoteReference w:id="3"/>
      </w:r>
      <w:r w:rsidR="005E7611" w:rsidRPr="00C07289">
        <w:rPr>
          <w:rFonts w:ascii="Times New Roman" w:hAnsi="Times New Roman" w:cs="Times New Roman"/>
        </w:rPr>
        <w:t>.</w:t>
      </w:r>
    </w:p>
    <w:p w:rsidR="005A6B6D" w:rsidRDefault="00442AFA" w:rsidP="00D06155">
      <w:pPr>
        <w:spacing w:before="120" w:after="120" w:line="240" w:lineRule="auto"/>
        <w:ind w:firstLine="709"/>
        <w:jc w:val="both"/>
        <w:rPr>
          <w:rFonts w:ascii="Times New Roman" w:hAnsi="Times New Roman" w:cs="Times New Roman"/>
        </w:rPr>
      </w:pPr>
      <w:r w:rsidRPr="00442AFA">
        <w:rPr>
          <w:rFonts w:ascii="Times New Roman" w:hAnsi="Times New Roman" w:cs="Times New Roman"/>
        </w:rPr>
        <w:lastRenderedPageBreak/>
        <w:t>Z katalóg</w:t>
      </w:r>
      <w:r w:rsidR="00C16363">
        <w:rPr>
          <w:rFonts w:ascii="Times New Roman" w:hAnsi="Times New Roman" w:cs="Times New Roman"/>
        </w:rPr>
        <w:t>ov</w:t>
      </w:r>
      <w:r w:rsidRPr="00442AFA">
        <w:rPr>
          <w:rFonts w:ascii="Times New Roman" w:hAnsi="Times New Roman" w:cs="Times New Roman"/>
        </w:rPr>
        <w:t xml:space="preserve"> vyplýva, že </w:t>
      </w:r>
      <w:r w:rsidR="004A32AA">
        <w:rPr>
          <w:rFonts w:ascii="Times New Roman" w:hAnsi="Times New Roman" w:cs="Times New Roman"/>
        </w:rPr>
        <w:t xml:space="preserve">celkovo </w:t>
      </w:r>
      <w:r w:rsidRPr="00442AFA">
        <w:rPr>
          <w:rFonts w:ascii="Times New Roman" w:hAnsi="Times New Roman" w:cs="Times New Roman"/>
        </w:rPr>
        <w:t xml:space="preserve">obce </w:t>
      </w:r>
      <w:r w:rsidR="00254A1B" w:rsidRPr="00442AFA">
        <w:rPr>
          <w:rFonts w:ascii="Times New Roman" w:hAnsi="Times New Roman" w:cs="Times New Roman"/>
        </w:rPr>
        <w:t xml:space="preserve">vykonávajú </w:t>
      </w:r>
      <w:r w:rsidR="00254A1B">
        <w:rPr>
          <w:rFonts w:ascii="Times New Roman" w:hAnsi="Times New Roman" w:cs="Times New Roman"/>
        </w:rPr>
        <w:t xml:space="preserve">samosprávne pôsobnosti na </w:t>
      </w:r>
      <w:r w:rsidR="00D9337D">
        <w:rPr>
          <w:rFonts w:ascii="Times New Roman" w:hAnsi="Times New Roman" w:cs="Times New Roman"/>
        </w:rPr>
        <w:t>3</w:t>
      </w:r>
      <w:r w:rsidR="00876BB0">
        <w:rPr>
          <w:rFonts w:ascii="Times New Roman" w:hAnsi="Times New Roman" w:cs="Times New Roman"/>
        </w:rPr>
        <w:t>6</w:t>
      </w:r>
      <w:r w:rsidR="00D9337D">
        <w:rPr>
          <w:rFonts w:ascii="Times New Roman" w:hAnsi="Times New Roman" w:cs="Times New Roman"/>
        </w:rPr>
        <w:t xml:space="preserve"> </w:t>
      </w:r>
      <w:r w:rsidR="00254A1B">
        <w:rPr>
          <w:rFonts w:ascii="Times New Roman" w:hAnsi="Times New Roman" w:cs="Times New Roman"/>
        </w:rPr>
        <w:t>úsekoch</w:t>
      </w:r>
      <w:r w:rsidR="00254A1B" w:rsidRPr="00442AFA">
        <w:rPr>
          <w:rFonts w:ascii="Times New Roman" w:hAnsi="Times New Roman" w:cs="Times New Roman"/>
        </w:rPr>
        <w:t xml:space="preserve"> </w:t>
      </w:r>
      <w:r w:rsidRPr="00442AFA">
        <w:rPr>
          <w:rFonts w:ascii="Times New Roman" w:hAnsi="Times New Roman" w:cs="Times New Roman"/>
        </w:rPr>
        <w:t>a</w:t>
      </w:r>
      <w:r w:rsidR="00254A1B">
        <w:rPr>
          <w:rFonts w:ascii="Times New Roman" w:hAnsi="Times New Roman" w:cs="Times New Roman"/>
        </w:rPr>
        <w:t xml:space="preserve"> plnia </w:t>
      </w:r>
      <w:r w:rsidR="00876BB0">
        <w:rPr>
          <w:rFonts w:ascii="Times New Roman" w:hAnsi="Times New Roman" w:cs="Times New Roman"/>
        </w:rPr>
        <w:t>30</w:t>
      </w:r>
      <w:r w:rsidR="00FF07E1">
        <w:rPr>
          <w:rFonts w:ascii="Times New Roman" w:hAnsi="Times New Roman" w:cs="Times New Roman"/>
        </w:rPr>
        <w:t>3</w:t>
      </w:r>
      <w:r w:rsidR="00254A1B">
        <w:rPr>
          <w:rFonts w:ascii="Times New Roman" w:hAnsi="Times New Roman" w:cs="Times New Roman"/>
        </w:rPr>
        <w:t xml:space="preserve"> úloh. S</w:t>
      </w:r>
      <w:r w:rsidRPr="00442AFA">
        <w:rPr>
          <w:rFonts w:ascii="Times New Roman" w:hAnsi="Times New Roman" w:cs="Times New Roman"/>
        </w:rPr>
        <w:t xml:space="preserve">amosprávne kraje vykonávajú </w:t>
      </w:r>
      <w:r w:rsidR="00C16363">
        <w:rPr>
          <w:rFonts w:ascii="Times New Roman" w:hAnsi="Times New Roman" w:cs="Times New Roman"/>
        </w:rPr>
        <w:t xml:space="preserve">samosprávne </w:t>
      </w:r>
      <w:r w:rsidR="009766D2">
        <w:rPr>
          <w:rFonts w:ascii="Times New Roman" w:hAnsi="Times New Roman" w:cs="Times New Roman"/>
        </w:rPr>
        <w:t xml:space="preserve">pôsobnosti na </w:t>
      </w:r>
      <w:r w:rsidR="00D9337D">
        <w:rPr>
          <w:rFonts w:ascii="Times New Roman" w:hAnsi="Times New Roman" w:cs="Times New Roman"/>
        </w:rPr>
        <w:t>27</w:t>
      </w:r>
      <w:r w:rsidR="009766D2">
        <w:rPr>
          <w:rFonts w:ascii="Times New Roman" w:hAnsi="Times New Roman" w:cs="Times New Roman"/>
        </w:rPr>
        <w:t xml:space="preserve"> úsekoch</w:t>
      </w:r>
      <w:r w:rsidR="00254A1B">
        <w:rPr>
          <w:rFonts w:ascii="Times New Roman" w:hAnsi="Times New Roman" w:cs="Times New Roman"/>
        </w:rPr>
        <w:t xml:space="preserve"> a plnia </w:t>
      </w:r>
      <w:r w:rsidR="003C5D23">
        <w:rPr>
          <w:rFonts w:ascii="Times New Roman" w:hAnsi="Times New Roman" w:cs="Times New Roman"/>
        </w:rPr>
        <w:t>15</w:t>
      </w:r>
      <w:r w:rsidR="006E5EE0">
        <w:rPr>
          <w:rFonts w:ascii="Times New Roman" w:hAnsi="Times New Roman" w:cs="Times New Roman"/>
        </w:rPr>
        <w:t>8</w:t>
      </w:r>
      <w:r w:rsidR="00254A1B">
        <w:rPr>
          <w:rFonts w:ascii="Times New Roman" w:hAnsi="Times New Roman" w:cs="Times New Roman"/>
        </w:rPr>
        <w:t xml:space="preserve"> úloh</w:t>
      </w:r>
      <w:r w:rsidR="009766D2">
        <w:rPr>
          <w:rFonts w:ascii="Times New Roman" w:hAnsi="Times New Roman" w:cs="Times New Roman"/>
        </w:rPr>
        <w:t>.</w:t>
      </w:r>
    </w:p>
    <w:p w:rsidR="00CB5C4D" w:rsidRPr="007A6B4C" w:rsidRDefault="00CB5C4D" w:rsidP="007A6B4C">
      <w:pPr>
        <w:keepNext/>
        <w:spacing w:before="120" w:after="60" w:line="240" w:lineRule="auto"/>
        <w:jc w:val="center"/>
        <w:rPr>
          <w:rFonts w:ascii="Times New Roman" w:hAnsi="Times New Roman" w:cs="Times New Roman"/>
          <w:sz w:val="16"/>
          <w:szCs w:val="16"/>
        </w:rPr>
      </w:pPr>
      <w:r w:rsidRPr="007A6B4C">
        <w:rPr>
          <w:rFonts w:ascii="Times New Roman" w:hAnsi="Times New Roman" w:cs="Times New Roman"/>
          <w:b/>
          <w:sz w:val="16"/>
          <w:szCs w:val="16"/>
        </w:rPr>
        <w:t>Tabuľka 12</w:t>
      </w:r>
      <w:r w:rsidR="00CA48B7">
        <w:rPr>
          <w:rFonts w:ascii="Times New Roman" w:hAnsi="Times New Roman" w:cs="Times New Roman"/>
          <w:b/>
          <w:sz w:val="16"/>
          <w:szCs w:val="16"/>
        </w:rPr>
        <w:t>:</w:t>
      </w:r>
      <w:r w:rsidRPr="007A6B4C">
        <w:rPr>
          <w:rFonts w:ascii="Times New Roman" w:hAnsi="Times New Roman" w:cs="Times New Roman"/>
          <w:sz w:val="16"/>
          <w:szCs w:val="16"/>
        </w:rPr>
        <w:t xml:space="preserve"> </w:t>
      </w:r>
      <w:r w:rsidR="007A6B4C" w:rsidRPr="007A6B4C">
        <w:rPr>
          <w:rFonts w:ascii="Times New Roman" w:hAnsi="Times New Roman" w:cs="Times New Roman"/>
          <w:sz w:val="16"/>
          <w:szCs w:val="16"/>
        </w:rPr>
        <w:t>Zoznam úsekov, na ktorých obce a samosprávne kraje vykonávajú samosprávne pôsobnosti, podľa ministerstiev a počty úloh</w:t>
      </w:r>
    </w:p>
    <w:tbl>
      <w:tblPr>
        <w:tblStyle w:val="Mriekatabuky"/>
        <w:tblW w:w="0" w:type="auto"/>
        <w:tblLook w:val="04A0" w:firstRow="1" w:lastRow="0" w:firstColumn="1" w:lastColumn="0" w:noHBand="0" w:noVBand="1"/>
      </w:tblPr>
      <w:tblGrid>
        <w:gridCol w:w="2093"/>
        <w:gridCol w:w="2410"/>
        <w:gridCol w:w="2268"/>
        <w:gridCol w:w="1275"/>
        <w:gridCol w:w="1620"/>
      </w:tblGrid>
      <w:tr w:rsidR="009766D2" w:rsidRPr="009766D2" w:rsidTr="00016FA6">
        <w:trPr>
          <w:trHeight w:val="480"/>
        </w:trPr>
        <w:tc>
          <w:tcPr>
            <w:tcW w:w="2093" w:type="dxa"/>
            <w:vMerge w:val="restart"/>
            <w:tcBorders>
              <w:top w:val="single" w:sz="12" w:space="0" w:color="auto"/>
              <w:left w:val="single" w:sz="12" w:space="0" w:color="auto"/>
            </w:tcBorders>
          </w:tcPr>
          <w:p w:rsidR="009766D2" w:rsidRPr="00462A55" w:rsidRDefault="00462A55"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m</w:t>
            </w:r>
            <w:r w:rsidR="009766D2" w:rsidRPr="00462A55">
              <w:rPr>
                <w:rFonts w:ascii="Times New Roman" w:hAnsi="Times New Roman" w:cs="Times New Roman"/>
                <w:sz w:val="16"/>
                <w:szCs w:val="16"/>
              </w:rPr>
              <w:t>inisterstvá</w:t>
            </w:r>
          </w:p>
        </w:tc>
        <w:tc>
          <w:tcPr>
            <w:tcW w:w="4678" w:type="dxa"/>
            <w:gridSpan w:val="2"/>
            <w:tcBorders>
              <w:top w:val="single" w:sz="12" w:space="0" w:color="auto"/>
              <w:bottom w:val="single" w:sz="4" w:space="0" w:color="auto"/>
            </w:tcBorders>
            <w:vAlign w:val="center"/>
          </w:tcPr>
          <w:p w:rsidR="009766D2" w:rsidRPr="00462A55" w:rsidRDefault="00462A55" w:rsidP="00A87868">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w:t>
            </w:r>
            <w:r w:rsidR="009766D2" w:rsidRPr="00462A55">
              <w:rPr>
                <w:rFonts w:ascii="Times New Roman" w:hAnsi="Times New Roman" w:cs="Times New Roman"/>
                <w:sz w:val="16"/>
                <w:szCs w:val="16"/>
              </w:rPr>
              <w:t>seky, na ktorých vykonávajú samosprávne pôsobnosti:</w:t>
            </w:r>
          </w:p>
        </w:tc>
        <w:tc>
          <w:tcPr>
            <w:tcW w:w="2895" w:type="dxa"/>
            <w:gridSpan w:val="2"/>
            <w:tcBorders>
              <w:top w:val="single" w:sz="12" w:space="0" w:color="auto"/>
              <w:right w:val="single" w:sz="12" w:space="0" w:color="auto"/>
            </w:tcBorders>
          </w:tcPr>
          <w:p w:rsidR="009766D2" w:rsidRPr="00462A55" w:rsidRDefault="00462A55"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p</w:t>
            </w:r>
            <w:r w:rsidR="009766D2" w:rsidRPr="00462A55">
              <w:rPr>
                <w:rFonts w:ascii="Times New Roman" w:hAnsi="Times New Roman" w:cs="Times New Roman"/>
                <w:sz w:val="16"/>
                <w:szCs w:val="16"/>
              </w:rPr>
              <w:t>očet úloh na úseku</w:t>
            </w:r>
          </w:p>
        </w:tc>
      </w:tr>
      <w:tr w:rsidR="009766D2" w:rsidRPr="009766D2" w:rsidTr="00016FA6">
        <w:trPr>
          <w:trHeight w:val="240"/>
        </w:trPr>
        <w:tc>
          <w:tcPr>
            <w:tcW w:w="2093" w:type="dxa"/>
            <w:vMerge/>
            <w:tcBorders>
              <w:left w:val="single" w:sz="12" w:space="0" w:color="auto"/>
              <w:bottom w:val="single" w:sz="12" w:space="0" w:color="auto"/>
            </w:tcBorders>
          </w:tcPr>
          <w:p w:rsidR="009766D2" w:rsidRPr="00462A55" w:rsidRDefault="009766D2" w:rsidP="00534E16">
            <w:pPr>
              <w:spacing w:before="120" w:after="60" w:line="240" w:lineRule="auto"/>
              <w:rPr>
                <w:rFonts w:ascii="Times New Roman" w:hAnsi="Times New Roman" w:cs="Times New Roman"/>
                <w:sz w:val="16"/>
                <w:szCs w:val="16"/>
              </w:rPr>
            </w:pPr>
          </w:p>
        </w:tc>
        <w:tc>
          <w:tcPr>
            <w:tcW w:w="2410" w:type="dxa"/>
            <w:tcBorders>
              <w:top w:val="single" w:sz="4" w:space="0" w:color="auto"/>
              <w:bottom w:val="single" w:sz="12" w:space="0" w:color="auto"/>
            </w:tcBorders>
          </w:tcPr>
          <w:p w:rsidR="009766D2" w:rsidRPr="00462A55" w:rsidRDefault="009766D2" w:rsidP="00534E16">
            <w:pPr>
              <w:spacing w:before="120" w:after="60" w:line="240" w:lineRule="auto"/>
              <w:rPr>
                <w:rFonts w:ascii="Times New Roman" w:hAnsi="Times New Roman" w:cs="Times New Roman"/>
                <w:sz w:val="16"/>
                <w:szCs w:val="16"/>
              </w:rPr>
            </w:pPr>
            <w:r w:rsidRPr="00462A55">
              <w:rPr>
                <w:rFonts w:ascii="Times New Roman" w:hAnsi="Times New Roman" w:cs="Times New Roman"/>
                <w:sz w:val="16"/>
                <w:szCs w:val="16"/>
              </w:rPr>
              <w:t>obce</w:t>
            </w:r>
          </w:p>
        </w:tc>
        <w:tc>
          <w:tcPr>
            <w:tcW w:w="2268" w:type="dxa"/>
            <w:tcBorders>
              <w:top w:val="single" w:sz="4" w:space="0" w:color="auto"/>
              <w:bottom w:val="single" w:sz="12" w:space="0" w:color="auto"/>
            </w:tcBorders>
          </w:tcPr>
          <w:p w:rsidR="009766D2" w:rsidRPr="00462A55" w:rsidRDefault="009766D2" w:rsidP="00534E16">
            <w:pPr>
              <w:spacing w:before="120" w:after="60" w:line="240" w:lineRule="auto"/>
              <w:rPr>
                <w:rFonts w:ascii="Times New Roman" w:hAnsi="Times New Roman" w:cs="Times New Roman"/>
                <w:sz w:val="16"/>
                <w:szCs w:val="16"/>
              </w:rPr>
            </w:pPr>
            <w:r w:rsidRPr="00462A55">
              <w:rPr>
                <w:rFonts w:ascii="Times New Roman" w:hAnsi="Times New Roman" w:cs="Times New Roman"/>
                <w:sz w:val="16"/>
                <w:szCs w:val="16"/>
              </w:rPr>
              <w:t>samosprávne kraje</w:t>
            </w:r>
          </w:p>
        </w:tc>
        <w:tc>
          <w:tcPr>
            <w:tcW w:w="1275" w:type="dxa"/>
            <w:tcBorders>
              <w:bottom w:val="single" w:sz="12" w:space="0" w:color="auto"/>
              <w:right w:val="single" w:sz="4" w:space="0" w:color="auto"/>
            </w:tcBorders>
          </w:tcPr>
          <w:p w:rsidR="009766D2" w:rsidRPr="00462A55" w:rsidRDefault="009766D2" w:rsidP="00534E16">
            <w:pPr>
              <w:spacing w:before="120" w:after="60" w:line="240" w:lineRule="auto"/>
              <w:rPr>
                <w:rFonts w:ascii="Times New Roman" w:hAnsi="Times New Roman" w:cs="Times New Roman"/>
                <w:sz w:val="16"/>
                <w:szCs w:val="16"/>
              </w:rPr>
            </w:pPr>
            <w:r w:rsidRPr="00462A55">
              <w:rPr>
                <w:rFonts w:ascii="Times New Roman" w:hAnsi="Times New Roman" w:cs="Times New Roman"/>
                <w:sz w:val="16"/>
                <w:szCs w:val="16"/>
              </w:rPr>
              <w:t>obce</w:t>
            </w:r>
          </w:p>
        </w:tc>
        <w:tc>
          <w:tcPr>
            <w:tcW w:w="1620" w:type="dxa"/>
            <w:tcBorders>
              <w:left w:val="single" w:sz="4" w:space="0" w:color="auto"/>
              <w:bottom w:val="single" w:sz="12" w:space="0" w:color="auto"/>
              <w:right w:val="single" w:sz="12" w:space="0" w:color="auto"/>
            </w:tcBorders>
          </w:tcPr>
          <w:p w:rsidR="009766D2" w:rsidRPr="00462A55" w:rsidRDefault="009766D2" w:rsidP="00534E16">
            <w:pPr>
              <w:spacing w:before="120" w:after="60" w:line="240" w:lineRule="auto"/>
              <w:rPr>
                <w:rFonts w:ascii="Times New Roman" w:hAnsi="Times New Roman" w:cs="Times New Roman"/>
                <w:sz w:val="16"/>
                <w:szCs w:val="16"/>
              </w:rPr>
            </w:pPr>
            <w:r w:rsidRPr="00462A55">
              <w:rPr>
                <w:rFonts w:ascii="Times New Roman" w:hAnsi="Times New Roman" w:cs="Times New Roman"/>
                <w:sz w:val="16"/>
                <w:szCs w:val="16"/>
              </w:rPr>
              <w:t>samosprávne kraje</w:t>
            </w:r>
          </w:p>
        </w:tc>
      </w:tr>
      <w:tr w:rsidR="009766D2" w:rsidRPr="009766D2" w:rsidTr="00016FA6">
        <w:tc>
          <w:tcPr>
            <w:tcW w:w="2093" w:type="dxa"/>
            <w:vMerge w:val="restart"/>
            <w:tcBorders>
              <w:top w:val="single" w:sz="12" w:space="0" w:color="auto"/>
              <w:left w:val="single" w:sz="12" w:space="0" w:color="auto"/>
            </w:tcBorders>
            <w:vAlign w:val="center"/>
          </w:tcPr>
          <w:p w:rsidR="009766D2" w:rsidRPr="009766D2" w:rsidRDefault="00A87868" w:rsidP="00534E16">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 xml:space="preserve">Ministerstvo dopravy, výstavby a regionálneho rozvoja </w:t>
            </w:r>
            <w:r w:rsidR="00491CAA" w:rsidRPr="009766D2">
              <w:rPr>
                <w:rFonts w:ascii="Times New Roman" w:hAnsi="Times New Roman" w:cs="Times New Roman"/>
                <w:sz w:val="16"/>
                <w:szCs w:val="16"/>
              </w:rPr>
              <w:t>S</w:t>
            </w:r>
            <w:r w:rsidR="00491CAA">
              <w:rPr>
                <w:rFonts w:ascii="Times New Roman" w:hAnsi="Times New Roman" w:cs="Times New Roman"/>
                <w:sz w:val="16"/>
                <w:szCs w:val="16"/>
              </w:rPr>
              <w:t>lovenskej republiky</w:t>
            </w:r>
          </w:p>
        </w:tc>
        <w:tc>
          <w:tcPr>
            <w:tcW w:w="2410" w:type="dxa"/>
            <w:tcBorders>
              <w:top w:val="single" w:sz="12" w:space="0" w:color="auto"/>
            </w:tcBorders>
            <w:vAlign w:val="center"/>
          </w:tcPr>
          <w:p w:rsidR="009766D2" w:rsidRPr="009766D2" w:rsidRDefault="001A04CB"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2268" w:type="dxa"/>
            <w:tcBorders>
              <w:top w:val="single" w:sz="12" w:space="0" w:color="auto"/>
            </w:tcBorders>
            <w:vAlign w:val="center"/>
          </w:tcPr>
          <w:p w:rsidR="009766D2" w:rsidRPr="009766D2" w:rsidRDefault="001A04CB"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dráh</w:t>
            </w:r>
          </w:p>
        </w:tc>
        <w:tc>
          <w:tcPr>
            <w:tcW w:w="1275" w:type="dxa"/>
            <w:tcBorders>
              <w:top w:val="single" w:sz="12" w:space="0" w:color="auto"/>
              <w:right w:val="single" w:sz="4" w:space="0" w:color="auto"/>
            </w:tcBorders>
            <w:vAlign w:val="center"/>
          </w:tcPr>
          <w:p w:rsidR="009766D2" w:rsidRPr="009766D2" w:rsidRDefault="001A04CB"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c>
          <w:tcPr>
            <w:tcW w:w="1620" w:type="dxa"/>
            <w:tcBorders>
              <w:top w:val="single" w:sz="12" w:space="0" w:color="auto"/>
              <w:left w:val="single" w:sz="4" w:space="0" w:color="auto"/>
              <w:right w:val="single" w:sz="12" w:space="0" w:color="auto"/>
            </w:tcBorders>
            <w:vAlign w:val="center"/>
          </w:tcPr>
          <w:p w:rsidR="009766D2" w:rsidRPr="009766D2" w:rsidRDefault="00165277"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2A/ 2V</w:t>
            </w:r>
          </w:p>
        </w:tc>
      </w:tr>
      <w:tr w:rsidR="001A04CB" w:rsidRPr="009766D2" w:rsidTr="00016FA6">
        <w:tc>
          <w:tcPr>
            <w:tcW w:w="2093" w:type="dxa"/>
            <w:vMerge/>
            <w:tcBorders>
              <w:left w:val="single" w:sz="12" w:space="0" w:color="auto"/>
            </w:tcBorders>
            <w:vAlign w:val="center"/>
          </w:tcPr>
          <w:p w:rsidR="001A04CB" w:rsidRPr="009766D2" w:rsidRDefault="001A04CB" w:rsidP="00534E16">
            <w:pPr>
              <w:spacing w:before="120" w:after="60" w:line="240" w:lineRule="auto"/>
              <w:rPr>
                <w:rFonts w:ascii="Times New Roman" w:hAnsi="Times New Roman" w:cs="Times New Roman"/>
                <w:sz w:val="16"/>
                <w:szCs w:val="16"/>
              </w:rPr>
            </w:pPr>
          </w:p>
        </w:tc>
        <w:tc>
          <w:tcPr>
            <w:tcW w:w="2410" w:type="dxa"/>
            <w:vAlign w:val="center"/>
          </w:tcPr>
          <w:p w:rsidR="001A04CB" w:rsidRPr="009766D2" w:rsidRDefault="005C7C97"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2268" w:type="dxa"/>
            <w:vAlign w:val="center"/>
          </w:tcPr>
          <w:p w:rsidR="001A04CB" w:rsidRPr="00ED0134" w:rsidRDefault="001A04CB" w:rsidP="00855490">
            <w:pPr>
              <w:spacing w:before="120" w:after="60" w:line="240" w:lineRule="auto"/>
              <w:rPr>
                <w:rFonts w:ascii="Times New Roman" w:hAnsi="Times New Roman" w:cs="Times New Roman"/>
                <w:sz w:val="16"/>
                <w:szCs w:val="16"/>
              </w:rPr>
            </w:pPr>
            <w:r w:rsidRPr="00ED0134">
              <w:rPr>
                <w:rFonts w:ascii="Times New Roman" w:hAnsi="Times New Roman" w:cs="Times New Roman"/>
                <w:sz w:val="16"/>
                <w:szCs w:val="16"/>
              </w:rPr>
              <w:t xml:space="preserve">úsek </w:t>
            </w:r>
            <w:r w:rsidR="00855490">
              <w:rPr>
                <w:rFonts w:ascii="Times New Roman" w:hAnsi="Times New Roman" w:cs="Times New Roman"/>
                <w:sz w:val="16"/>
                <w:szCs w:val="16"/>
              </w:rPr>
              <w:t>miestnych a účelových komunikácií</w:t>
            </w:r>
          </w:p>
        </w:tc>
        <w:tc>
          <w:tcPr>
            <w:tcW w:w="1275" w:type="dxa"/>
            <w:tcBorders>
              <w:right w:val="single" w:sz="4" w:space="0" w:color="auto"/>
            </w:tcBorders>
            <w:vAlign w:val="center"/>
          </w:tcPr>
          <w:p w:rsidR="001A04CB" w:rsidRPr="009766D2" w:rsidRDefault="005C7C97"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c>
          <w:tcPr>
            <w:tcW w:w="1620" w:type="dxa"/>
            <w:tcBorders>
              <w:left w:val="single" w:sz="4" w:space="0" w:color="auto"/>
              <w:right w:val="single" w:sz="12" w:space="0" w:color="auto"/>
            </w:tcBorders>
            <w:vAlign w:val="center"/>
          </w:tcPr>
          <w:p w:rsidR="001A04CB" w:rsidRPr="009766D2" w:rsidRDefault="00B4614F"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6A/ 11V</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1A04CB" w:rsidRDefault="00E26FE4" w:rsidP="007A6E33">
            <w:pPr>
              <w:spacing w:before="120" w:after="60" w:line="240" w:lineRule="auto"/>
              <w:rPr>
                <w:rFonts w:ascii="Times New Roman" w:hAnsi="Times New Roman" w:cs="Times New Roman"/>
                <w:sz w:val="16"/>
                <w:szCs w:val="16"/>
                <w:highlight w:val="green"/>
              </w:rPr>
            </w:pPr>
            <w:r w:rsidRPr="00983641">
              <w:rPr>
                <w:rFonts w:ascii="Times New Roman" w:hAnsi="Times New Roman" w:cs="Times New Roman"/>
                <w:sz w:val="16"/>
                <w:szCs w:val="16"/>
              </w:rPr>
              <w:t>úsek územného plánovania</w:t>
            </w:r>
          </w:p>
        </w:tc>
        <w:tc>
          <w:tcPr>
            <w:tcW w:w="2268" w:type="dxa"/>
            <w:vAlign w:val="center"/>
          </w:tcPr>
          <w:p w:rsidR="00E26FE4" w:rsidRPr="001A04CB" w:rsidRDefault="00E26FE4" w:rsidP="00817F53">
            <w:pPr>
              <w:spacing w:before="120" w:after="60" w:line="240" w:lineRule="auto"/>
              <w:rPr>
                <w:rFonts w:ascii="Times New Roman" w:hAnsi="Times New Roman" w:cs="Times New Roman"/>
                <w:sz w:val="16"/>
                <w:szCs w:val="16"/>
                <w:highlight w:val="green"/>
              </w:rPr>
            </w:pPr>
            <w:r w:rsidRPr="00983641">
              <w:rPr>
                <w:rFonts w:ascii="Times New Roman" w:hAnsi="Times New Roman" w:cs="Times New Roman"/>
                <w:sz w:val="16"/>
                <w:szCs w:val="16"/>
              </w:rPr>
              <w:t>úsek územného plánovania</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4A/3V</w:t>
            </w:r>
            <w:r w:rsidR="004B0571">
              <w:rPr>
                <w:rFonts w:ascii="Times New Roman" w:hAnsi="Times New Roman" w:cs="Times New Roman"/>
                <w:sz w:val="16"/>
                <w:szCs w:val="16"/>
              </w:rPr>
              <w:t>*</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3A/ 2V</w:t>
            </w:r>
          </w:p>
        </w:tc>
      </w:tr>
      <w:tr w:rsidR="00E26FE4" w:rsidRPr="009766D2" w:rsidTr="00016FA6">
        <w:tc>
          <w:tcPr>
            <w:tcW w:w="2093" w:type="dxa"/>
            <w:vMerge w:val="restart"/>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Ministerstvo financií </w:t>
            </w:r>
            <w:r w:rsidRPr="009766D2">
              <w:rPr>
                <w:rFonts w:ascii="Times New Roman" w:hAnsi="Times New Roman" w:cs="Times New Roman"/>
                <w:sz w:val="16"/>
                <w:szCs w:val="16"/>
              </w:rPr>
              <w:t>S</w:t>
            </w:r>
            <w:r>
              <w:rPr>
                <w:rFonts w:ascii="Times New Roman" w:hAnsi="Times New Roman" w:cs="Times New Roman"/>
                <w:sz w:val="16"/>
                <w:szCs w:val="16"/>
              </w:rPr>
              <w:t>lovenskej republiky</w:t>
            </w: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rozpočtu</w:t>
            </w:r>
          </w:p>
        </w:tc>
        <w:tc>
          <w:tcPr>
            <w:tcW w:w="2268" w:type="dxa"/>
            <w:vAlign w:val="center"/>
          </w:tcPr>
          <w:p w:rsidR="00E26FE4" w:rsidRPr="009766D2" w:rsidRDefault="00E26FE4" w:rsidP="00817F53">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rozpočtu</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34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24 A</w:t>
            </w:r>
          </w:p>
        </w:tc>
      </w:tr>
      <w:tr w:rsidR="00E26FE4" w:rsidRPr="009766D2" w:rsidTr="00016FA6">
        <w:tc>
          <w:tcPr>
            <w:tcW w:w="2093" w:type="dxa"/>
            <w:vMerge/>
            <w:tcBorders>
              <w:left w:val="single" w:sz="12" w:space="0" w:color="auto"/>
            </w:tcBorders>
            <w:vAlign w:val="center"/>
          </w:tcPr>
          <w:p w:rsidR="00E26FE4"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správy majetku</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správy majetku</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10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7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účtovníctva a výkazníctva</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účtovníctva a výkazníctva</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hazardných hier</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12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správnych poplatkov</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správnych poplatkov</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6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7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finančnej kontroly</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finančnej kontroly</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štátnej pomoci</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štátnej pomoci</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štátnej pokladnice</w:t>
            </w:r>
          </w:p>
        </w:tc>
        <w:tc>
          <w:tcPr>
            <w:tcW w:w="2268"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štátnej pokladnice</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miestnych daní a poplatkov za komunálny odpad</w:t>
            </w:r>
          </w:p>
        </w:tc>
        <w:tc>
          <w:tcPr>
            <w:tcW w:w="2268"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miestnych daní a poplatkov za komunálny odpad</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10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dohľadu nad finančným trhom</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dohľadu nad finančným trhom</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informatizácie</w:t>
            </w:r>
          </w:p>
        </w:tc>
        <w:tc>
          <w:tcPr>
            <w:tcW w:w="2268"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informatizácie</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8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8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ciel</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ciel</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Národnej banky Slovenska</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Národnej banky Slovenska</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vlastníctva bytov a nebytových priestorov</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cien</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cien</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 A</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správy daní</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28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rPr>
          <w:trHeight w:val="328"/>
        </w:trPr>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pomoci z fondov EÚ</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r>
      <w:tr w:rsidR="00E26FE4" w:rsidRPr="009766D2" w:rsidTr="00016FA6">
        <w:tc>
          <w:tcPr>
            <w:tcW w:w="2093" w:type="dxa"/>
            <w:vMerge w:val="restart"/>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hospodárstva S</w:t>
            </w:r>
            <w:r>
              <w:rPr>
                <w:rFonts w:ascii="Times New Roman" w:hAnsi="Times New Roman" w:cs="Times New Roman"/>
                <w:sz w:val="16"/>
                <w:szCs w:val="16"/>
              </w:rPr>
              <w:t>lovenskej republiky</w:t>
            </w:r>
          </w:p>
        </w:tc>
        <w:tc>
          <w:tcPr>
            <w:tcW w:w="2410" w:type="dxa"/>
            <w:vAlign w:val="center"/>
          </w:tcPr>
          <w:p w:rsidR="00E26FE4" w:rsidRPr="009766D2" w:rsidRDefault="00D5048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energetiky</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610457">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 A/2 V</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D50484" w:rsidP="00D50484">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w:t>
            </w:r>
            <w:r w:rsidR="00E26FE4">
              <w:rPr>
                <w:rFonts w:ascii="Times New Roman" w:hAnsi="Times New Roman" w:cs="Times New Roman"/>
                <w:sz w:val="16"/>
                <w:szCs w:val="16"/>
              </w:rPr>
              <w:t>ochran</w:t>
            </w:r>
            <w:r>
              <w:rPr>
                <w:rFonts w:ascii="Times New Roman" w:hAnsi="Times New Roman" w:cs="Times New Roman"/>
                <w:sz w:val="16"/>
                <w:szCs w:val="16"/>
              </w:rPr>
              <w:t>y</w:t>
            </w:r>
            <w:r w:rsidR="00E26FE4">
              <w:rPr>
                <w:rFonts w:ascii="Times New Roman" w:hAnsi="Times New Roman" w:cs="Times New Roman"/>
                <w:sz w:val="16"/>
                <w:szCs w:val="16"/>
              </w:rPr>
              <w:t xml:space="preserve"> spotrebiteľa</w:t>
            </w:r>
          </w:p>
        </w:tc>
        <w:tc>
          <w:tcPr>
            <w:tcW w:w="2268" w:type="dxa"/>
            <w:vAlign w:val="center"/>
          </w:tcPr>
          <w:p w:rsidR="00E26FE4" w:rsidRPr="009766D2" w:rsidRDefault="00E26FE4" w:rsidP="005A4510">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5A4510">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A/8 V</w:t>
            </w:r>
          </w:p>
        </w:tc>
        <w:tc>
          <w:tcPr>
            <w:tcW w:w="1620" w:type="dxa"/>
            <w:tcBorders>
              <w:left w:val="single" w:sz="4" w:space="0" w:color="auto"/>
              <w:right w:val="single" w:sz="12" w:space="0" w:color="auto"/>
            </w:tcBorders>
            <w:vAlign w:val="center"/>
          </w:tcPr>
          <w:p w:rsidR="00E26FE4" w:rsidRPr="009766D2" w:rsidRDefault="00E26FE4" w:rsidP="005A4510">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D50484" w:rsidP="005A4510">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w:t>
            </w:r>
            <w:proofErr w:type="spellStart"/>
            <w:r>
              <w:rPr>
                <w:rFonts w:ascii="Times New Roman" w:hAnsi="Times New Roman" w:cs="Times New Roman"/>
                <w:sz w:val="16"/>
                <w:szCs w:val="16"/>
              </w:rPr>
              <w:t>ohňostrojných</w:t>
            </w:r>
            <w:proofErr w:type="spellEnd"/>
            <w:r>
              <w:rPr>
                <w:rFonts w:ascii="Times New Roman" w:hAnsi="Times New Roman" w:cs="Times New Roman"/>
                <w:sz w:val="16"/>
                <w:szCs w:val="16"/>
              </w:rPr>
              <w:t xml:space="preserve"> prác</w:t>
            </w:r>
          </w:p>
        </w:tc>
        <w:tc>
          <w:tcPr>
            <w:tcW w:w="2268" w:type="dxa"/>
            <w:vAlign w:val="center"/>
          </w:tcPr>
          <w:p w:rsidR="00E26FE4" w:rsidRPr="009766D2" w:rsidRDefault="00E26FE4" w:rsidP="005A4510">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5A4510">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V</w:t>
            </w:r>
          </w:p>
        </w:tc>
        <w:tc>
          <w:tcPr>
            <w:tcW w:w="1620" w:type="dxa"/>
            <w:tcBorders>
              <w:left w:val="single" w:sz="4" w:space="0" w:color="auto"/>
              <w:right w:val="single" w:sz="12" w:space="0" w:color="auto"/>
            </w:tcBorders>
            <w:vAlign w:val="center"/>
          </w:tcPr>
          <w:p w:rsidR="00E26FE4" w:rsidRPr="009766D2" w:rsidRDefault="00E26FE4" w:rsidP="005A4510">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7A6B4C">
        <w:trPr>
          <w:trHeight w:val="132"/>
        </w:trPr>
        <w:tc>
          <w:tcPr>
            <w:tcW w:w="2093" w:type="dxa"/>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Ministerstvo kultúry </w:t>
            </w:r>
            <w:r w:rsidRPr="009766D2">
              <w:rPr>
                <w:rFonts w:ascii="Times New Roman" w:hAnsi="Times New Roman" w:cs="Times New Roman"/>
                <w:sz w:val="16"/>
                <w:szCs w:val="16"/>
              </w:rPr>
              <w:t>S</w:t>
            </w:r>
            <w:r>
              <w:rPr>
                <w:rFonts w:ascii="Times New Roman" w:hAnsi="Times New Roman" w:cs="Times New Roman"/>
                <w:sz w:val="16"/>
                <w:szCs w:val="16"/>
              </w:rPr>
              <w:t>lovenskej republiky</w:t>
            </w: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inštitucionálnej kultúry (zriaďovanie, zlučovanie a zrušovanie kultúrnych inštitúcií)</w:t>
            </w:r>
          </w:p>
        </w:tc>
        <w:tc>
          <w:tcPr>
            <w:tcW w:w="2268" w:type="dxa"/>
          </w:tcPr>
          <w:p w:rsidR="00E26FE4" w:rsidRPr="009766D2" w:rsidRDefault="00E26FE4" w:rsidP="007A6B4C">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inštitucionálnej kultúry (zriaďovanie, zlučovanie a zrušovanie kultúrnych inštitúcií)</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oblasti V</w:t>
            </w:r>
          </w:p>
        </w:tc>
        <w:tc>
          <w:tcPr>
            <w:tcW w:w="1620" w:type="dxa"/>
            <w:tcBorders>
              <w:left w:val="single" w:sz="4" w:space="0" w:color="auto"/>
              <w:right w:val="single" w:sz="12" w:space="0" w:color="auto"/>
            </w:tcBorders>
            <w:vAlign w:val="center"/>
          </w:tcPr>
          <w:p w:rsidR="00E26FE4" w:rsidRPr="009766D2" w:rsidRDefault="00280158"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 xml:space="preserve">5 </w:t>
            </w:r>
            <w:r w:rsidR="00E26FE4">
              <w:rPr>
                <w:rFonts w:ascii="Times New Roman" w:hAnsi="Times New Roman" w:cs="Times New Roman"/>
                <w:sz w:val="16"/>
                <w:szCs w:val="16"/>
              </w:rPr>
              <w:t>oblasti V</w:t>
            </w:r>
          </w:p>
        </w:tc>
      </w:tr>
      <w:tr w:rsidR="00E26FE4" w:rsidRPr="009766D2" w:rsidTr="00016FA6">
        <w:tc>
          <w:tcPr>
            <w:tcW w:w="2093" w:type="dxa"/>
            <w:vMerge w:val="restart"/>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Ministerstvo práce, sociálnych vecí a rodiny </w:t>
            </w:r>
            <w:r w:rsidRPr="009766D2">
              <w:rPr>
                <w:rFonts w:ascii="Times New Roman" w:hAnsi="Times New Roman" w:cs="Times New Roman"/>
                <w:sz w:val="16"/>
                <w:szCs w:val="16"/>
              </w:rPr>
              <w:t>S</w:t>
            </w:r>
            <w:r>
              <w:rPr>
                <w:rFonts w:ascii="Times New Roman" w:hAnsi="Times New Roman" w:cs="Times New Roman"/>
                <w:sz w:val="16"/>
                <w:szCs w:val="16"/>
              </w:rPr>
              <w:t>lovenskej republiky</w:t>
            </w: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sociálnych služieb</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sociálnych služieb</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6 A/4 V</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7 A/3 V</w:t>
            </w:r>
          </w:p>
        </w:tc>
      </w:tr>
      <w:tr w:rsidR="00E26FE4" w:rsidRPr="009766D2" w:rsidTr="00016FA6">
        <w:tc>
          <w:tcPr>
            <w:tcW w:w="2093" w:type="dxa"/>
            <w:vMerge/>
            <w:tcBorders>
              <w:left w:val="single" w:sz="12" w:space="0" w:color="auto"/>
            </w:tcBorders>
            <w:vAlign w:val="center"/>
          </w:tcPr>
          <w:p w:rsidR="00E26FE4"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sociálnoprávnej ochrany detí </w:t>
            </w:r>
            <w:r>
              <w:rPr>
                <w:rFonts w:ascii="Times New Roman" w:hAnsi="Times New Roman" w:cs="Times New Roman"/>
                <w:sz w:val="16"/>
                <w:szCs w:val="16"/>
              </w:rPr>
              <w:lastRenderedPageBreak/>
              <w:t>a sociálnej kurately</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lastRenderedPageBreak/>
              <w:t xml:space="preserve">úsek sociálnoprávnej ochrany </w:t>
            </w:r>
            <w:r>
              <w:rPr>
                <w:rFonts w:ascii="Times New Roman" w:hAnsi="Times New Roman" w:cs="Times New Roman"/>
                <w:sz w:val="16"/>
                <w:szCs w:val="16"/>
              </w:rPr>
              <w:lastRenderedPageBreak/>
              <w:t>detí a sociálnej kurately</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lastRenderedPageBreak/>
              <w:t>13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8 A</w:t>
            </w:r>
          </w:p>
        </w:tc>
      </w:tr>
      <w:tr w:rsidR="00E26FE4" w:rsidRPr="009766D2" w:rsidTr="00016FA6">
        <w:trPr>
          <w:trHeight w:val="738"/>
        </w:trPr>
        <w:tc>
          <w:tcPr>
            <w:tcW w:w="2093" w:type="dxa"/>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lastRenderedPageBreak/>
              <w:t>Ministerstvo školstva, vedy, výskumu a športu S</w:t>
            </w:r>
            <w:r>
              <w:rPr>
                <w:rFonts w:ascii="Times New Roman" w:hAnsi="Times New Roman" w:cs="Times New Roman"/>
                <w:sz w:val="16"/>
                <w:szCs w:val="16"/>
              </w:rPr>
              <w:t>lovenskej republiky</w:t>
            </w:r>
          </w:p>
        </w:tc>
        <w:tc>
          <w:tcPr>
            <w:tcW w:w="2410" w:type="dxa"/>
            <w:vAlign w:val="center"/>
          </w:tcPr>
          <w:p w:rsidR="00E26FE4" w:rsidRPr="009766D2" w:rsidRDefault="00E26FE4" w:rsidP="0014559E">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školstva  (zriaďovateľská pôsobnosť vo vzťahu k ZUŠ, MŠ, ŠKD, ŠSZČ, CVČ, zariadeniam </w:t>
            </w:r>
            <w:proofErr w:type="spellStart"/>
            <w:r>
              <w:rPr>
                <w:rFonts w:ascii="Times New Roman" w:hAnsi="Times New Roman" w:cs="Times New Roman"/>
                <w:sz w:val="16"/>
                <w:szCs w:val="16"/>
              </w:rPr>
              <w:t>škol</w:t>
            </w:r>
            <w:proofErr w:type="spellEnd"/>
            <w:r>
              <w:rPr>
                <w:rFonts w:ascii="Times New Roman" w:hAnsi="Times New Roman" w:cs="Times New Roman"/>
                <w:sz w:val="16"/>
                <w:szCs w:val="16"/>
              </w:rPr>
              <w:t>. stravovania pre ZŠ a MŠ, JŠ pri ZŠ, SSŠ, ŠI)</w:t>
            </w:r>
          </w:p>
        </w:tc>
        <w:tc>
          <w:tcPr>
            <w:tcW w:w="2268" w:type="dxa"/>
            <w:vAlign w:val="center"/>
          </w:tcPr>
          <w:p w:rsidR="00E26FE4" w:rsidRPr="009766D2" w:rsidRDefault="00E26FE4" w:rsidP="0014559E">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školstva (zriaďovateľská pôsobnosť vo vzťahu k ZUŠ, JŠ, ŠI, zariadeniam </w:t>
            </w:r>
            <w:proofErr w:type="spellStart"/>
            <w:r>
              <w:rPr>
                <w:rFonts w:ascii="Times New Roman" w:hAnsi="Times New Roman" w:cs="Times New Roman"/>
                <w:sz w:val="16"/>
                <w:szCs w:val="16"/>
              </w:rPr>
              <w:t>škol</w:t>
            </w:r>
            <w:proofErr w:type="spellEnd"/>
            <w:r>
              <w:rPr>
                <w:rFonts w:ascii="Times New Roman" w:hAnsi="Times New Roman" w:cs="Times New Roman"/>
                <w:sz w:val="16"/>
                <w:szCs w:val="16"/>
              </w:rPr>
              <w:t xml:space="preserve">. stravovania, ŠH a SOP, SSŠ, školám v prírode, CVČ, ŠSZČ)   </w:t>
            </w:r>
          </w:p>
        </w:tc>
        <w:tc>
          <w:tcPr>
            <w:tcW w:w="1275" w:type="dxa"/>
            <w:tcBorders>
              <w:right w:val="single" w:sz="4" w:space="0" w:color="auto"/>
            </w:tcBorders>
            <w:vAlign w:val="center"/>
          </w:tcPr>
          <w:p w:rsidR="00E26FE4" w:rsidRPr="009766D2" w:rsidRDefault="00E26FE4" w:rsidP="0014559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7 A/ 9 V</w:t>
            </w:r>
          </w:p>
        </w:tc>
        <w:tc>
          <w:tcPr>
            <w:tcW w:w="1620" w:type="dxa"/>
            <w:tcBorders>
              <w:left w:val="single" w:sz="4" w:space="0" w:color="auto"/>
              <w:right w:val="single" w:sz="12" w:space="0" w:color="auto"/>
            </w:tcBorders>
            <w:vAlign w:val="center"/>
          </w:tcPr>
          <w:p w:rsidR="00E26FE4" w:rsidRPr="009766D2" w:rsidRDefault="00E26FE4" w:rsidP="0014559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5 A/ 9 V</w:t>
            </w:r>
          </w:p>
        </w:tc>
      </w:tr>
      <w:tr w:rsidR="00E26FE4" w:rsidRPr="009766D2" w:rsidTr="00016FA6">
        <w:tc>
          <w:tcPr>
            <w:tcW w:w="2093" w:type="dxa"/>
            <w:vMerge w:val="restart"/>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vnútra S</w:t>
            </w:r>
            <w:r>
              <w:rPr>
                <w:rFonts w:ascii="Times New Roman" w:hAnsi="Times New Roman" w:cs="Times New Roman"/>
                <w:sz w:val="16"/>
                <w:szCs w:val="16"/>
              </w:rPr>
              <w:t>lovenskej republiky</w:t>
            </w: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osvedčovania</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Default="00E26FE4" w:rsidP="00C17742">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 A</w:t>
            </w:r>
          </w:p>
        </w:tc>
        <w:tc>
          <w:tcPr>
            <w:tcW w:w="1620" w:type="dxa"/>
            <w:tcBorders>
              <w:left w:val="single" w:sz="4" w:space="0" w:color="auto"/>
              <w:right w:val="single" w:sz="12" w:space="0" w:color="auto"/>
            </w:tcBorders>
            <w:vAlign w:val="center"/>
          </w:tcPr>
          <w:p w:rsidR="00E26FE4" w:rsidRPr="009766D2" w:rsidRDefault="00E26FE4" w:rsidP="00911B58">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obecnej polície</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C17742">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10 A/ 7 V</w:t>
            </w:r>
          </w:p>
        </w:tc>
        <w:tc>
          <w:tcPr>
            <w:tcW w:w="1620" w:type="dxa"/>
            <w:tcBorders>
              <w:left w:val="single" w:sz="4" w:space="0" w:color="auto"/>
              <w:right w:val="single" w:sz="12" w:space="0" w:color="auto"/>
            </w:tcBorders>
            <w:vAlign w:val="center"/>
          </w:tcPr>
          <w:p w:rsidR="00E26FE4" w:rsidRPr="009766D2" w:rsidRDefault="00E26FE4" w:rsidP="00911B58">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priestupkov </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A</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rPr>
          <w:trHeight w:val="291"/>
        </w:trPr>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civilnej ochrany</w:t>
            </w:r>
          </w:p>
        </w:tc>
        <w:tc>
          <w:tcPr>
            <w:tcW w:w="1275" w:type="dxa"/>
            <w:tcBorders>
              <w:right w:val="single" w:sz="4" w:space="0" w:color="auto"/>
            </w:tcBorders>
            <w:vAlign w:val="center"/>
          </w:tcPr>
          <w:p w:rsidR="00E26FE4"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6 A</w:t>
            </w:r>
          </w:p>
        </w:tc>
      </w:tr>
      <w:tr w:rsidR="00E26FE4" w:rsidRPr="009766D2" w:rsidTr="00016FA6">
        <w:trPr>
          <w:trHeight w:val="434"/>
        </w:trPr>
        <w:tc>
          <w:tcPr>
            <w:tcW w:w="2093" w:type="dxa"/>
            <w:vMerge w:val="restart"/>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r w:rsidRPr="009766D2">
              <w:rPr>
                <w:rFonts w:ascii="Times New Roman" w:hAnsi="Times New Roman" w:cs="Times New Roman"/>
                <w:sz w:val="16"/>
                <w:szCs w:val="16"/>
              </w:rPr>
              <w:t>Ministerstvo zdravotníctva S</w:t>
            </w:r>
            <w:r>
              <w:rPr>
                <w:rFonts w:ascii="Times New Roman" w:hAnsi="Times New Roman" w:cs="Times New Roman"/>
                <w:sz w:val="16"/>
                <w:szCs w:val="16"/>
              </w:rPr>
              <w:t>lovenskej republiky</w:t>
            </w:r>
          </w:p>
        </w:tc>
        <w:tc>
          <w:tcPr>
            <w:tcW w:w="2410"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2268" w:type="dxa"/>
            <w:vAlign w:val="center"/>
          </w:tcPr>
          <w:p w:rsidR="00E26FE4"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úsek zriaďovania </w:t>
            </w:r>
            <w:r w:rsidRPr="00CC283F">
              <w:rPr>
                <w:rFonts w:ascii="Times New Roman" w:hAnsi="Times New Roman" w:cs="Times New Roman"/>
                <w:sz w:val="16"/>
                <w:szCs w:val="16"/>
              </w:rPr>
              <w:t>polikliník a nemocníc s poliklinikou II typu</w:t>
            </w:r>
          </w:p>
        </w:tc>
        <w:tc>
          <w:tcPr>
            <w:tcW w:w="1275" w:type="dxa"/>
            <w:tcBorders>
              <w:right w:val="single" w:sz="4" w:space="0" w:color="auto"/>
            </w:tcBorders>
            <w:vAlign w:val="center"/>
          </w:tcPr>
          <w:p w:rsidR="00E26FE4"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c>
          <w:tcPr>
            <w:tcW w:w="1620" w:type="dxa"/>
            <w:tcBorders>
              <w:left w:val="single" w:sz="4" w:space="0" w:color="auto"/>
              <w:right w:val="single" w:sz="12" w:space="0" w:color="auto"/>
            </w:tcBorders>
            <w:vAlign w:val="center"/>
          </w:tcPr>
          <w:p w:rsidR="00E26FE4"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nie je uvedené</w:t>
            </w:r>
          </w:p>
        </w:tc>
      </w:tr>
      <w:tr w:rsidR="00E26FE4" w:rsidRPr="009766D2" w:rsidTr="00016FA6">
        <w:trPr>
          <w:trHeight w:val="427"/>
        </w:trPr>
        <w:tc>
          <w:tcPr>
            <w:tcW w:w="2093" w:type="dxa"/>
            <w:vMerge/>
            <w:tcBorders>
              <w:left w:val="single" w:sz="12" w:space="0" w:color="auto"/>
            </w:tcBorders>
            <w:vAlign w:val="center"/>
          </w:tcPr>
          <w:p w:rsidR="00E26FE4" w:rsidRPr="009766D2" w:rsidRDefault="00E26FE4" w:rsidP="00534E16">
            <w:pPr>
              <w:spacing w:before="120" w:after="60" w:line="240" w:lineRule="auto"/>
              <w:rPr>
                <w:rFonts w:ascii="Times New Roman" w:hAnsi="Times New Roman" w:cs="Times New Roman"/>
                <w:sz w:val="16"/>
                <w:szCs w:val="16"/>
              </w:rPr>
            </w:pPr>
          </w:p>
        </w:tc>
        <w:tc>
          <w:tcPr>
            <w:tcW w:w="2410" w:type="dxa"/>
            <w:vAlign w:val="center"/>
          </w:tcPr>
          <w:p w:rsidR="00E26FE4" w:rsidRPr="009766D2" w:rsidRDefault="00E26FE4" w:rsidP="00927ED5">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zdravotníctva (posudzovanie a kontrola hluku vo vonkajšom prostredí, + priestupky)</w:t>
            </w:r>
          </w:p>
        </w:tc>
        <w:tc>
          <w:tcPr>
            <w:tcW w:w="2268" w:type="dxa"/>
            <w:vAlign w:val="center"/>
          </w:tcPr>
          <w:p w:rsidR="00E26FE4" w:rsidRPr="009766D2" w:rsidRDefault="00E26FE4"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right w:val="single" w:sz="4" w:space="0" w:color="auto"/>
            </w:tcBorders>
            <w:vAlign w:val="center"/>
          </w:tcPr>
          <w:p w:rsidR="00E26FE4" w:rsidRDefault="00E26FE4" w:rsidP="002A122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10 A/ 37 V</w:t>
            </w:r>
          </w:p>
        </w:tc>
        <w:tc>
          <w:tcPr>
            <w:tcW w:w="1620" w:type="dxa"/>
            <w:tcBorders>
              <w:left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val="restart"/>
            <w:tcBorders>
              <w:left w:val="single" w:sz="12" w:space="0" w:color="auto"/>
            </w:tcBorders>
            <w:vAlign w:val="center"/>
          </w:tcPr>
          <w:p w:rsidR="00E26FE4" w:rsidRPr="00346564" w:rsidRDefault="00E26FE4" w:rsidP="00534E16">
            <w:pPr>
              <w:spacing w:before="120" w:after="60" w:line="240" w:lineRule="auto"/>
              <w:rPr>
                <w:rFonts w:ascii="Times New Roman" w:hAnsi="Times New Roman" w:cs="Times New Roman"/>
                <w:sz w:val="16"/>
                <w:szCs w:val="16"/>
              </w:rPr>
            </w:pPr>
            <w:r w:rsidRPr="00346564">
              <w:rPr>
                <w:rFonts w:ascii="Times New Roman" w:hAnsi="Times New Roman" w:cs="Times New Roman"/>
                <w:sz w:val="16"/>
                <w:szCs w:val="16"/>
              </w:rPr>
              <w:t xml:space="preserve">Ministerstvo životného prostredia </w:t>
            </w:r>
            <w:r w:rsidRPr="009766D2">
              <w:rPr>
                <w:rFonts w:ascii="Times New Roman" w:hAnsi="Times New Roman" w:cs="Times New Roman"/>
                <w:sz w:val="16"/>
                <w:szCs w:val="16"/>
              </w:rPr>
              <w:t>S</w:t>
            </w:r>
            <w:r>
              <w:rPr>
                <w:rFonts w:ascii="Times New Roman" w:hAnsi="Times New Roman" w:cs="Times New Roman"/>
                <w:sz w:val="16"/>
                <w:szCs w:val="16"/>
              </w:rPr>
              <w:t>lovenskej republiky</w:t>
            </w:r>
          </w:p>
        </w:tc>
        <w:tc>
          <w:tcPr>
            <w:tcW w:w="2410" w:type="dxa"/>
            <w:tcBorders>
              <w:bottom w:val="single" w:sz="4" w:space="0" w:color="auto"/>
            </w:tcBorders>
            <w:vAlign w:val="center"/>
          </w:tcPr>
          <w:p w:rsidR="00E26FE4" w:rsidRPr="00346564" w:rsidRDefault="00E26FE4" w:rsidP="00817F53">
            <w:pPr>
              <w:spacing w:before="120" w:after="60" w:line="240" w:lineRule="auto"/>
              <w:rPr>
                <w:rFonts w:ascii="Times New Roman" w:hAnsi="Times New Roman" w:cs="Times New Roman"/>
                <w:sz w:val="16"/>
                <w:szCs w:val="16"/>
              </w:rPr>
            </w:pPr>
            <w:r w:rsidRPr="00346564">
              <w:rPr>
                <w:rFonts w:ascii="Times New Roman" w:hAnsi="Times New Roman" w:cs="Times New Roman"/>
                <w:sz w:val="16"/>
                <w:szCs w:val="16"/>
              </w:rPr>
              <w:t>úsek ochrany ovzdušia</w:t>
            </w:r>
          </w:p>
        </w:tc>
        <w:tc>
          <w:tcPr>
            <w:tcW w:w="2268" w:type="dxa"/>
            <w:tcBorders>
              <w:bottom w:val="single" w:sz="4" w:space="0" w:color="auto"/>
            </w:tcBorders>
            <w:vAlign w:val="center"/>
          </w:tcPr>
          <w:p w:rsidR="00E26FE4" w:rsidRDefault="00E26FE4" w:rsidP="00817F53">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E26FE4" w:rsidRDefault="00E26FE4"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3 A</w:t>
            </w:r>
          </w:p>
        </w:tc>
        <w:tc>
          <w:tcPr>
            <w:tcW w:w="1620" w:type="dxa"/>
            <w:tcBorders>
              <w:left w:val="single" w:sz="4" w:space="0" w:color="auto"/>
              <w:bottom w:val="single" w:sz="4" w:space="0" w:color="auto"/>
              <w:right w:val="single" w:sz="12" w:space="0" w:color="auto"/>
            </w:tcBorders>
            <w:vAlign w:val="center"/>
          </w:tcPr>
          <w:p w:rsidR="00E26FE4" w:rsidRDefault="00E26FE4"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Pr="00346564" w:rsidRDefault="00E26FE4" w:rsidP="00534E16">
            <w:pPr>
              <w:spacing w:before="120" w:after="60" w:line="240" w:lineRule="auto"/>
              <w:rPr>
                <w:rFonts w:ascii="Times New Roman" w:hAnsi="Times New Roman" w:cs="Times New Roman"/>
                <w:sz w:val="16"/>
                <w:szCs w:val="16"/>
              </w:rPr>
            </w:pPr>
          </w:p>
        </w:tc>
        <w:tc>
          <w:tcPr>
            <w:tcW w:w="2410" w:type="dxa"/>
            <w:tcBorders>
              <w:bottom w:val="single" w:sz="4" w:space="0" w:color="auto"/>
            </w:tcBorders>
            <w:vAlign w:val="center"/>
          </w:tcPr>
          <w:p w:rsidR="00E26FE4" w:rsidRPr="00346564" w:rsidRDefault="00E26FE4" w:rsidP="00817F53">
            <w:pPr>
              <w:spacing w:before="120" w:after="60" w:line="240" w:lineRule="auto"/>
              <w:rPr>
                <w:rFonts w:ascii="Times New Roman" w:hAnsi="Times New Roman" w:cs="Times New Roman"/>
                <w:sz w:val="16"/>
                <w:szCs w:val="16"/>
              </w:rPr>
            </w:pPr>
            <w:r w:rsidRPr="00346564">
              <w:rPr>
                <w:rFonts w:ascii="Times New Roman" w:hAnsi="Times New Roman" w:cs="Times New Roman"/>
                <w:sz w:val="16"/>
                <w:szCs w:val="16"/>
              </w:rPr>
              <w:t>úsek ochrany pred povodňami</w:t>
            </w:r>
          </w:p>
        </w:tc>
        <w:tc>
          <w:tcPr>
            <w:tcW w:w="2268" w:type="dxa"/>
            <w:tcBorders>
              <w:bottom w:val="single" w:sz="4" w:space="0" w:color="auto"/>
            </w:tcBorders>
            <w:vAlign w:val="center"/>
          </w:tcPr>
          <w:p w:rsidR="00E26FE4" w:rsidRDefault="00E26FE4" w:rsidP="00817F53">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ochrany pred povodňami</w:t>
            </w:r>
          </w:p>
        </w:tc>
        <w:tc>
          <w:tcPr>
            <w:tcW w:w="1275" w:type="dxa"/>
            <w:tcBorders>
              <w:bottom w:val="single" w:sz="4" w:space="0" w:color="auto"/>
              <w:right w:val="single" w:sz="4" w:space="0" w:color="auto"/>
            </w:tcBorders>
            <w:vAlign w:val="center"/>
          </w:tcPr>
          <w:p w:rsidR="00E26FE4" w:rsidRPr="009766D2" w:rsidRDefault="00E26FE4"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4A/ 2V</w:t>
            </w:r>
          </w:p>
        </w:tc>
        <w:tc>
          <w:tcPr>
            <w:tcW w:w="1620" w:type="dxa"/>
            <w:tcBorders>
              <w:left w:val="single" w:sz="4" w:space="0" w:color="auto"/>
              <w:bottom w:val="single" w:sz="4" w:space="0" w:color="auto"/>
              <w:right w:val="single" w:sz="12" w:space="0" w:color="auto"/>
            </w:tcBorders>
            <w:vAlign w:val="center"/>
          </w:tcPr>
          <w:p w:rsidR="00E26FE4" w:rsidRPr="009766D2" w:rsidRDefault="00E26FE4"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8A/ 3V</w:t>
            </w:r>
          </w:p>
        </w:tc>
      </w:tr>
      <w:tr w:rsidR="00E26FE4" w:rsidRPr="009766D2" w:rsidTr="00016FA6">
        <w:tc>
          <w:tcPr>
            <w:tcW w:w="2093" w:type="dxa"/>
            <w:vMerge/>
            <w:tcBorders>
              <w:left w:val="single" w:sz="12" w:space="0" w:color="auto"/>
            </w:tcBorders>
            <w:vAlign w:val="center"/>
          </w:tcPr>
          <w:p w:rsidR="00E26FE4" w:rsidRPr="00346564" w:rsidRDefault="00E26FE4" w:rsidP="00534E16">
            <w:pPr>
              <w:spacing w:before="120" w:after="60" w:line="240" w:lineRule="auto"/>
              <w:rPr>
                <w:rFonts w:ascii="Times New Roman" w:hAnsi="Times New Roman" w:cs="Times New Roman"/>
                <w:sz w:val="16"/>
                <w:szCs w:val="16"/>
              </w:rPr>
            </w:pPr>
          </w:p>
        </w:tc>
        <w:tc>
          <w:tcPr>
            <w:tcW w:w="2410" w:type="dxa"/>
            <w:tcBorders>
              <w:bottom w:val="single" w:sz="4" w:space="0" w:color="auto"/>
            </w:tcBorders>
            <w:vAlign w:val="center"/>
          </w:tcPr>
          <w:p w:rsidR="00E26FE4" w:rsidRPr="00346564" w:rsidRDefault="00E26FE4" w:rsidP="00534E16">
            <w:pPr>
              <w:spacing w:before="120" w:after="60" w:line="240" w:lineRule="auto"/>
              <w:rPr>
                <w:rFonts w:ascii="Times New Roman" w:hAnsi="Times New Roman" w:cs="Times New Roman"/>
                <w:sz w:val="16"/>
                <w:szCs w:val="16"/>
              </w:rPr>
            </w:pPr>
            <w:r w:rsidRPr="00346564">
              <w:rPr>
                <w:rFonts w:ascii="Times New Roman" w:hAnsi="Times New Roman" w:cs="Times New Roman"/>
                <w:sz w:val="16"/>
                <w:szCs w:val="16"/>
              </w:rPr>
              <w:t>úsek štátnej vodnej správy</w:t>
            </w:r>
          </w:p>
        </w:tc>
        <w:tc>
          <w:tcPr>
            <w:tcW w:w="2268" w:type="dxa"/>
            <w:tcBorders>
              <w:bottom w:val="single" w:sz="4" w:space="0" w:color="auto"/>
            </w:tcBorders>
            <w:vAlign w:val="center"/>
          </w:tcPr>
          <w:p w:rsidR="00E26FE4" w:rsidRPr="009766D2" w:rsidRDefault="00E26FE4" w:rsidP="00817F53">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 A</w:t>
            </w:r>
          </w:p>
        </w:tc>
        <w:tc>
          <w:tcPr>
            <w:tcW w:w="1620" w:type="dxa"/>
            <w:tcBorders>
              <w:left w:val="single" w:sz="4" w:space="0" w:color="auto"/>
              <w:bottom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E26FE4" w:rsidRPr="009766D2" w:rsidTr="00016FA6">
        <w:tc>
          <w:tcPr>
            <w:tcW w:w="2093" w:type="dxa"/>
            <w:vMerge/>
            <w:tcBorders>
              <w:left w:val="single" w:sz="12" w:space="0" w:color="auto"/>
            </w:tcBorders>
            <w:vAlign w:val="center"/>
          </w:tcPr>
          <w:p w:rsidR="00E26FE4" w:rsidRPr="00346564" w:rsidRDefault="00E26FE4" w:rsidP="00534E16">
            <w:pPr>
              <w:spacing w:before="120" w:after="60" w:line="240" w:lineRule="auto"/>
              <w:rPr>
                <w:rFonts w:ascii="Times New Roman" w:hAnsi="Times New Roman" w:cs="Times New Roman"/>
                <w:sz w:val="16"/>
                <w:szCs w:val="16"/>
              </w:rPr>
            </w:pPr>
          </w:p>
        </w:tc>
        <w:tc>
          <w:tcPr>
            <w:tcW w:w="2410" w:type="dxa"/>
            <w:tcBorders>
              <w:bottom w:val="single" w:sz="4" w:space="0" w:color="auto"/>
            </w:tcBorders>
            <w:vAlign w:val="center"/>
          </w:tcPr>
          <w:p w:rsidR="00E26FE4" w:rsidRPr="00346564" w:rsidRDefault="00E26FE4" w:rsidP="00534E16">
            <w:pPr>
              <w:spacing w:before="120" w:after="60" w:line="240" w:lineRule="auto"/>
              <w:rPr>
                <w:rFonts w:ascii="Times New Roman" w:hAnsi="Times New Roman" w:cs="Times New Roman"/>
                <w:sz w:val="16"/>
                <w:szCs w:val="16"/>
              </w:rPr>
            </w:pPr>
            <w:r w:rsidRPr="00346564">
              <w:rPr>
                <w:rFonts w:ascii="Times New Roman" w:hAnsi="Times New Roman" w:cs="Times New Roman"/>
                <w:sz w:val="16"/>
                <w:szCs w:val="16"/>
              </w:rPr>
              <w:t>úsek verejných vodovodov a verejných kanalizácií</w:t>
            </w:r>
          </w:p>
        </w:tc>
        <w:tc>
          <w:tcPr>
            <w:tcW w:w="2268" w:type="dxa"/>
            <w:tcBorders>
              <w:bottom w:val="single" w:sz="4" w:space="0" w:color="auto"/>
            </w:tcBorders>
            <w:vAlign w:val="center"/>
          </w:tcPr>
          <w:p w:rsidR="00E26FE4" w:rsidRDefault="00E26FE4" w:rsidP="00817F53">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verejných vodovodov a verejných kanalizácií</w:t>
            </w:r>
          </w:p>
        </w:tc>
        <w:tc>
          <w:tcPr>
            <w:tcW w:w="1275" w:type="dxa"/>
            <w:tcBorders>
              <w:bottom w:val="single" w:sz="4" w:space="0" w:color="auto"/>
              <w:right w:val="single" w:sz="4"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4A/ 1V</w:t>
            </w:r>
          </w:p>
        </w:tc>
        <w:tc>
          <w:tcPr>
            <w:tcW w:w="1620" w:type="dxa"/>
            <w:tcBorders>
              <w:left w:val="single" w:sz="4" w:space="0" w:color="auto"/>
              <w:bottom w:val="single" w:sz="4" w:space="0" w:color="auto"/>
              <w:right w:val="single" w:sz="12" w:space="0" w:color="auto"/>
            </w:tcBorders>
            <w:vAlign w:val="center"/>
          </w:tcPr>
          <w:p w:rsidR="00E26FE4" w:rsidRPr="009766D2" w:rsidRDefault="00E26FE4"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1A</w:t>
            </w:r>
          </w:p>
        </w:tc>
      </w:tr>
      <w:tr w:rsidR="001153A0" w:rsidRPr="009766D2" w:rsidTr="00016FA6">
        <w:tc>
          <w:tcPr>
            <w:tcW w:w="2093" w:type="dxa"/>
            <w:vMerge/>
            <w:tcBorders>
              <w:left w:val="single" w:sz="12" w:space="0" w:color="auto"/>
            </w:tcBorders>
            <w:vAlign w:val="center"/>
          </w:tcPr>
          <w:p w:rsidR="001153A0" w:rsidRPr="00346564" w:rsidRDefault="001153A0" w:rsidP="00534E16">
            <w:pPr>
              <w:spacing w:before="120" w:after="60" w:line="240" w:lineRule="auto"/>
              <w:rPr>
                <w:rFonts w:ascii="Times New Roman" w:hAnsi="Times New Roman" w:cs="Times New Roman"/>
                <w:sz w:val="16"/>
                <w:szCs w:val="16"/>
              </w:rPr>
            </w:pPr>
          </w:p>
        </w:tc>
        <w:tc>
          <w:tcPr>
            <w:tcW w:w="2410" w:type="dxa"/>
            <w:tcBorders>
              <w:bottom w:val="single" w:sz="4" w:space="0" w:color="auto"/>
            </w:tcBorders>
            <w:vAlign w:val="center"/>
          </w:tcPr>
          <w:p w:rsidR="001153A0" w:rsidRPr="00346564" w:rsidRDefault="001153A0" w:rsidP="0056546C">
            <w:pPr>
              <w:spacing w:before="120" w:after="60" w:line="240" w:lineRule="auto"/>
              <w:rPr>
                <w:rFonts w:ascii="Times New Roman" w:hAnsi="Times New Roman" w:cs="Times New Roman"/>
                <w:sz w:val="16"/>
                <w:szCs w:val="16"/>
              </w:rPr>
            </w:pPr>
            <w:r w:rsidRPr="00346564">
              <w:rPr>
                <w:rFonts w:ascii="Times New Roman" w:hAnsi="Times New Roman" w:cs="Times New Roman"/>
                <w:sz w:val="16"/>
                <w:szCs w:val="16"/>
              </w:rPr>
              <w:t>úsek odpadového hospodárstva</w:t>
            </w:r>
          </w:p>
        </w:tc>
        <w:tc>
          <w:tcPr>
            <w:tcW w:w="2268" w:type="dxa"/>
            <w:tcBorders>
              <w:bottom w:val="single" w:sz="4" w:space="0" w:color="auto"/>
            </w:tcBorders>
            <w:vAlign w:val="center"/>
          </w:tcPr>
          <w:p w:rsidR="001153A0" w:rsidRPr="009766D2" w:rsidRDefault="001153A0" w:rsidP="0056546C">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1153A0" w:rsidRPr="009766D2" w:rsidRDefault="004B0571" w:rsidP="0056546C">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6A/ 7</w:t>
            </w:r>
            <w:r w:rsidR="001153A0">
              <w:rPr>
                <w:rFonts w:ascii="Times New Roman" w:hAnsi="Times New Roman" w:cs="Times New Roman"/>
                <w:sz w:val="16"/>
                <w:szCs w:val="16"/>
              </w:rPr>
              <w:t>V</w:t>
            </w:r>
          </w:p>
        </w:tc>
        <w:tc>
          <w:tcPr>
            <w:tcW w:w="1620" w:type="dxa"/>
            <w:tcBorders>
              <w:left w:val="single" w:sz="4" w:space="0" w:color="auto"/>
              <w:bottom w:val="single" w:sz="4" w:space="0" w:color="auto"/>
              <w:right w:val="single" w:sz="12" w:space="0" w:color="auto"/>
            </w:tcBorders>
            <w:vAlign w:val="center"/>
          </w:tcPr>
          <w:p w:rsidR="001153A0" w:rsidRPr="009766D2" w:rsidRDefault="001153A0" w:rsidP="0056546C">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1153A0" w:rsidRPr="009766D2" w:rsidTr="00016FA6">
        <w:tc>
          <w:tcPr>
            <w:tcW w:w="2093" w:type="dxa"/>
            <w:vMerge/>
            <w:tcBorders>
              <w:left w:val="single" w:sz="12" w:space="0" w:color="auto"/>
            </w:tcBorders>
            <w:vAlign w:val="center"/>
          </w:tcPr>
          <w:p w:rsidR="001153A0" w:rsidRPr="00346564" w:rsidRDefault="001153A0" w:rsidP="00534E16">
            <w:pPr>
              <w:spacing w:before="120" w:after="60" w:line="240" w:lineRule="auto"/>
              <w:rPr>
                <w:rFonts w:ascii="Times New Roman" w:hAnsi="Times New Roman" w:cs="Times New Roman"/>
                <w:sz w:val="16"/>
                <w:szCs w:val="16"/>
              </w:rPr>
            </w:pPr>
          </w:p>
        </w:tc>
        <w:tc>
          <w:tcPr>
            <w:tcW w:w="2410" w:type="dxa"/>
            <w:tcBorders>
              <w:bottom w:val="single" w:sz="4" w:space="0" w:color="auto"/>
            </w:tcBorders>
            <w:vAlign w:val="center"/>
          </w:tcPr>
          <w:p w:rsidR="001153A0" w:rsidRPr="00346564" w:rsidRDefault="001153A0"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rybárstva</w:t>
            </w:r>
          </w:p>
        </w:tc>
        <w:tc>
          <w:tcPr>
            <w:tcW w:w="2268" w:type="dxa"/>
            <w:tcBorders>
              <w:bottom w:val="single" w:sz="4" w:space="0" w:color="auto"/>
            </w:tcBorders>
            <w:vAlign w:val="center"/>
          </w:tcPr>
          <w:p w:rsidR="001153A0" w:rsidRPr="009766D2" w:rsidRDefault="001153A0" w:rsidP="00817F53">
            <w:pPr>
              <w:spacing w:before="120" w:after="60" w:line="240" w:lineRule="auto"/>
              <w:rPr>
                <w:rFonts w:ascii="Times New Roman" w:hAnsi="Times New Roman" w:cs="Times New Roman"/>
                <w:sz w:val="16"/>
                <w:szCs w:val="16"/>
              </w:rPr>
            </w:pPr>
            <w:r>
              <w:rPr>
                <w:rFonts w:ascii="Times New Roman" w:hAnsi="Times New Roman" w:cs="Times New Roman"/>
                <w:sz w:val="16"/>
                <w:szCs w:val="16"/>
              </w:rPr>
              <w:t>-</w:t>
            </w:r>
          </w:p>
        </w:tc>
        <w:tc>
          <w:tcPr>
            <w:tcW w:w="1275" w:type="dxa"/>
            <w:tcBorders>
              <w:bottom w:val="single" w:sz="4" w:space="0" w:color="auto"/>
              <w:right w:val="single" w:sz="4" w:space="0" w:color="auto"/>
            </w:tcBorders>
            <w:vAlign w:val="center"/>
          </w:tcPr>
          <w:p w:rsidR="001153A0" w:rsidRPr="009766D2" w:rsidRDefault="001153A0" w:rsidP="00346564">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c>
          <w:tcPr>
            <w:tcW w:w="1620" w:type="dxa"/>
            <w:tcBorders>
              <w:left w:val="single" w:sz="4" w:space="0" w:color="auto"/>
              <w:bottom w:val="single" w:sz="4" w:space="0" w:color="auto"/>
              <w:right w:val="single" w:sz="12" w:space="0" w:color="auto"/>
            </w:tcBorders>
            <w:vAlign w:val="center"/>
          </w:tcPr>
          <w:p w:rsidR="001153A0" w:rsidRPr="009766D2" w:rsidRDefault="001153A0"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w:t>
            </w:r>
          </w:p>
        </w:tc>
      </w:tr>
      <w:tr w:rsidR="001153A0" w:rsidRPr="009766D2" w:rsidTr="00016FA6">
        <w:tc>
          <w:tcPr>
            <w:tcW w:w="2093" w:type="dxa"/>
            <w:tcBorders>
              <w:left w:val="single" w:sz="12" w:space="0" w:color="auto"/>
            </w:tcBorders>
            <w:vAlign w:val="center"/>
          </w:tcPr>
          <w:p w:rsidR="001153A0" w:rsidRPr="009766D2" w:rsidRDefault="001153A0"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 xml:space="preserve">Úrad vlády </w:t>
            </w:r>
            <w:r w:rsidRPr="009766D2">
              <w:rPr>
                <w:rFonts w:ascii="Times New Roman" w:hAnsi="Times New Roman" w:cs="Times New Roman"/>
                <w:sz w:val="16"/>
                <w:szCs w:val="16"/>
              </w:rPr>
              <w:t>S</w:t>
            </w:r>
            <w:r>
              <w:rPr>
                <w:rFonts w:ascii="Times New Roman" w:hAnsi="Times New Roman" w:cs="Times New Roman"/>
                <w:sz w:val="16"/>
                <w:szCs w:val="16"/>
              </w:rPr>
              <w:t>lovenskej republiky</w:t>
            </w:r>
          </w:p>
        </w:tc>
        <w:tc>
          <w:tcPr>
            <w:tcW w:w="2410" w:type="dxa"/>
            <w:tcBorders>
              <w:bottom w:val="single" w:sz="4" w:space="0" w:color="auto"/>
            </w:tcBorders>
            <w:vAlign w:val="center"/>
          </w:tcPr>
          <w:p w:rsidR="001153A0" w:rsidRPr="009766D2" w:rsidRDefault="001153A0" w:rsidP="004C1393">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sťažností</w:t>
            </w:r>
          </w:p>
        </w:tc>
        <w:tc>
          <w:tcPr>
            <w:tcW w:w="2268" w:type="dxa"/>
            <w:tcBorders>
              <w:bottom w:val="single" w:sz="4" w:space="0" w:color="auto"/>
            </w:tcBorders>
            <w:vAlign w:val="center"/>
          </w:tcPr>
          <w:p w:rsidR="001153A0" w:rsidRPr="009766D2" w:rsidRDefault="001153A0"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sťažností</w:t>
            </w:r>
          </w:p>
        </w:tc>
        <w:tc>
          <w:tcPr>
            <w:tcW w:w="1275" w:type="dxa"/>
            <w:tcBorders>
              <w:bottom w:val="single" w:sz="4" w:space="0" w:color="auto"/>
              <w:right w:val="single" w:sz="4" w:space="0" w:color="auto"/>
            </w:tcBorders>
            <w:vAlign w:val="center"/>
          </w:tcPr>
          <w:p w:rsidR="001153A0" w:rsidRPr="009766D2" w:rsidRDefault="001153A0"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1A</w:t>
            </w:r>
          </w:p>
        </w:tc>
        <w:tc>
          <w:tcPr>
            <w:tcW w:w="1620" w:type="dxa"/>
            <w:tcBorders>
              <w:left w:val="single" w:sz="4" w:space="0" w:color="auto"/>
              <w:bottom w:val="single" w:sz="4" w:space="0" w:color="auto"/>
              <w:right w:val="single" w:sz="12" w:space="0" w:color="auto"/>
            </w:tcBorders>
            <w:vAlign w:val="center"/>
          </w:tcPr>
          <w:p w:rsidR="001153A0" w:rsidRPr="009766D2" w:rsidRDefault="001153A0" w:rsidP="00817F53">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1A</w:t>
            </w:r>
          </w:p>
        </w:tc>
      </w:tr>
      <w:tr w:rsidR="001153A0" w:rsidRPr="009766D2" w:rsidTr="00016FA6">
        <w:trPr>
          <w:trHeight w:val="508"/>
        </w:trPr>
        <w:tc>
          <w:tcPr>
            <w:tcW w:w="2093" w:type="dxa"/>
            <w:tcBorders>
              <w:left w:val="single" w:sz="12" w:space="0" w:color="auto"/>
            </w:tcBorders>
            <w:vAlign w:val="center"/>
          </w:tcPr>
          <w:p w:rsidR="001153A0" w:rsidRPr="009766D2" w:rsidRDefault="001153A0" w:rsidP="00534E16">
            <w:pPr>
              <w:spacing w:before="120" w:after="60" w:line="240" w:lineRule="auto"/>
              <w:rPr>
                <w:rFonts w:ascii="Times New Roman" w:hAnsi="Times New Roman" w:cs="Times New Roman"/>
                <w:sz w:val="16"/>
                <w:szCs w:val="16"/>
              </w:rPr>
            </w:pPr>
            <w:r w:rsidRPr="00F01972">
              <w:rPr>
                <w:rFonts w:ascii="Times New Roman" w:hAnsi="Times New Roman" w:cs="Times New Roman"/>
                <w:sz w:val="16"/>
                <w:szCs w:val="16"/>
              </w:rPr>
              <w:t>Úrad geodézie, kartografie a</w:t>
            </w:r>
            <w:r>
              <w:rPr>
                <w:rFonts w:ascii="Times New Roman" w:hAnsi="Times New Roman" w:cs="Times New Roman"/>
                <w:sz w:val="16"/>
                <w:szCs w:val="16"/>
              </w:rPr>
              <w:t> </w:t>
            </w:r>
            <w:r w:rsidRPr="00F01972">
              <w:rPr>
                <w:rFonts w:ascii="Times New Roman" w:hAnsi="Times New Roman" w:cs="Times New Roman"/>
                <w:sz w:val="16"/>
                <w:szCs w:val="16"/>
              </w:rPr>
              <w:t>katastra</w:t>
            </w:r>
            <w:r>
              <w:rPr>
                <w:rFonts w:ascii="Times New Roman" w:hAnsi="Times New Roman" w:cs="Times New Roman"/>
                <w:sz w:val="16"/>
                <w:szCs w:val="16"/>
              </w:rPr>
              <w:t xml:space="preserve"> </w:t>
            </w:r>
            <w:r w:rsidRPr="009766D2">
              <w:rPr>
                <w:rFonts w:ascii="Times New Roman" w:hAnsi="Times New Roman" w:cs="Times New Roman"/>
                <w:sz w:val="16"/>
                <w:szCs w:val="16"/>
              </w:rPr>
              <w:t>S</w:t>
            </w:r>
            <w:r>
              <w:rPr>
                <w:rFonts w:ascii="Times New Roman" w:hAnsi="Times New Roman" w:cs="Times New Roman"/>
                <w:sz w:val="16"/>
                <w:szCs w:val="16"/>
              </w:rPr>
              <w:t>lovenskej republiky</w:t>
            </w:r>
          </w:p>
        </w:tc>
        <w:tc>
          <w:tcPr>
            <w:tcW w:w="2410" w:type="dxa"/>
            <w:vAlign w:val="center"/>
          </w:tcPr>
          <w:p w:rsidR="001153A0" w:rsidRPr="009766D2" w:rsidRDefault="004B52BE" w:rsidP="00534E16">
            <w:pPr>
              <w:spacing w:before="120" w:after="60" w:line="240" w:lineRule="auto"/>
              <w:rPr>
                <w:rFonts w:ascii="Times New Roman" w:hAnsi="Times New Roman" w:cs="Times New Roman"/>
                <w:sz w:val="16"/>
                <w:szCs w:val="16"/>
              </w:rPr>
            </w:pPr>
            <w:r>
              <w:rPr>
                <w:rFonts w:ascii="Times New Roman" w:hAnsi="Times New Roman" w:cs="Times New Roman"/>
                <w:sz w:val="16"/>
                <w:szCs w:val="16"/>
              </w:rPr>
              <w:t>úsek geodézie, kartografie a katastra</w:t>
            </w:r>
          </w:p>
        </w:tc>
        <w:tc>
          <w:tcPr>
            <w:tcW w:w="2268" w:type="dxa"/>
            <w:vAlign w:val="center"/>
          </w:tcPr>
          <w:p w:rsidR="001153A0" w:rsidRPr="009766D2" w:rsidRDefault="001153A0" w:rsidP="008856B2">
            <w:pPr>
              <w:spacing w:before="120" w:after="60" w:line="240" w:lineRule="auto"/>
              <w:rPr>
                <w:rFonts w:ascii="Times New Roman" w:hAnsi="Times New Roman" w:cs="Times New Roman"/>
                <w:sz w:val="16"/>
                <w:szCs w:val="16"/>
              </w:rPr>
            </w:pPr>
            <w:r>
              <w:rPr>
                <w:rFonts w:ascii="Times New Roman" w:hAnsi="Times New Roman" w:cs="Times New Roman"/>
                <w:sz w:val="16"/>
                <w:szCs w:val="16"/>
              </w:rPr>
              <w:t>geodézia, kartografia a kataster</w:t>
            </w:r>
          </w:p>
        </w:tc>
        <w:tc>
          <w:tcPr>
            <w:tcW w:w="1275" w:type="dxa"/>
            <w:tcBorders>
              <w:right w:val="single" w:sz="4" w:space="0" w:color="auto"/>
            </w:tcBorders>
            <w:vAlign w:val="center"/>
          </w:tcPr>
          <w:p w:rsidR="001153A0" w:rsidRPr="009766D2" w:rsidRDefault="001153A0"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4 A</w:t>
            </w:r>
          </w:p>
        </w:tc>
        <w:tc>
          <w:tcPr>
            <w:tcW w:w="1620" w:type="dxa"/>
            <w:tcBorders>
              <w:left w:val="single" w:sz="4" w:space="0" w:color="auto"/>
              <w:right w:val="single" w:sz="12" w:space="0" w:color="auto"/>
            </w:tcBorders>
            <w:vAlign w:val="center"/>
          </w:tcPr>
          <w:p w:rsidR="001153A0" w:rsidRPr="009766D2" w:rsidRDefault="001153A0" w:rsidP="00534E16">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 A</w:t>
            </w:r>
          </w:p>
        </w:tc>
      </w:tr>
      <w:tr w:rsidR="001153A0" w:rsidRPr="009766D2" w:rsidTr="00016FA6">
        <w:tc>
          <w:tcPr>
            <w:tcW w:w="2093" w:type="dxa"/>
            <w:tcBorders>
              <w:top w:val="single" w:sz="12" w:space="0" w:color="auto"/>
              <w:left w:val="single" w:sz="12" w:space="0" w:color="auto"/>
              <w:bottom w:val="single" w:sz="12" w:space="0" w:color="auto"/>
            </w:tcBorders>
          </w:tcPr>
          <w:p w:rsidR="001153A0" w:rsidRPr="009766D2" w:rsidRDefault="001153A0" w:rsidP="00534E16">
            <w:pPr>
              <w:spacing w:before="120" w:after="60" w:line="240" w:lineRule="auto"/>
              <w:rPr>
                <w:rFonts w:ascii="Times New Roman" w:hAnsi="Times New Roman" w:cs="Times New Roman"/>
                <w:b/>
                <w:sz w:val="16"/>
                <w:szCs w:val="16"/>
              </w:rPr>
            </w:pPr>
            <w:r w:rsidRPr="009766D2">
              <w:rPr>
                <w:rFonts w:ascii="Times New Roman" w:hAnsi="Times New Roman" w:cs="Times New Roman"/>
                <w:b/>
                <w:sz w:val="16"/>
                <w:szCs w:val="16"/>
              </w:rPr>
              <w:t>Spolu:</w:t>
            </w:r>
          </w:p>
        </w:tc>
        <w:tc>
          <w:tcPr>
            <w:tcW w:w="2410" w:type="dxa"/>
            <w:tcBorders>
              <w:top w:val="single" w:sz="12" w:space="0" w:color="auto"/>
              <w:bottom w:val="single" w:sz="12" w:space="0" w:color="auto"/>
            </w:tcBorders>
            <w:vAlign w:val="center"/>
          </w:tcPr>
          <w:p w:rsidR="001153A0" w:rsidRPr="00286E26" w:rsidRDefault="001153A0" w:rsidP="00A04343">
            <w:pPr>
              <w:spacing w:before="120" w:after="60" w:line="240" w:lineRule="auto"/>
              <w:jc w:val="right"/>
              <w:rPr>
                <w:rFonts w:ascii="Times New Roman" w:hAnsi="Times New Roman" w:cs="Times New Roman"/>
                <w:sz w:val="16"/>
                <w:szCs w:val="16"/>
              </w:rPr>
            </w:pPr>
            <w:r w:rsidRPr="00286E26">
              <w:rPr>
                <w:rFonts w:ascii="Times New Roman" w:hAnsi="Times New Roman" w:cs="Times New Roman"/>
                <w:sz w:val="16"/>
                <w:szCs w:val="16"/>
              </w:rPr>
              <w:t>3</w:t>
            </w:r>
            <w:r>
              <w:rPr>
                <w:rFonts w:ascii="Times New Roman" w:hAnsi="Times New Roman" w:cs="Times New Roman"/>
                <w:sz w:val="16"/>
                <w:szCs w:val="16"/>
              </w:rPr>
              <w:t>6</w:t>
            </w:r>
          </w:p>
        </w:tc>
        <w:tc>
          <w:tcPr>
            <w:tcW w:w="2268" w:type="dxa"/>
            <w:tcBorders>
              <w:top w:val="single" w:sz="12" w:space="0" w:color="auto"/>
              <w:bottom w:val="single" w:sz="12" w:space="0" w:color="auto"/>
            </w:tcBorders>
            <w:vAlign w:val="center"/>
          </w:tcPr>
          <w:p w:rsidR="001153A0" w:rsidRPr="00286E26" w:rsidRDefault="001153A0" w:rsidP="00286E26">
            <w:pPr>
              <w:spacing w:before="120" w:after="60" w:line="240" w:lineRule="auto"/>
              <w:jc w:val="right"/>
              <w:rPr>
                <w:rFonts w:ascii="Times New Roman" w:hAnsi="Times New Roman" w:cs="Times New Roman"/>
                <w:sz w:val="16"/>
                <w:szCs w:val="16"/>
              </w:rPr>
            </w:pPr>
            <w:r w:rsidRPr="00286E26">
              <w:rPr>
                <w:rFonts w:ascii="Times New Roman" w:hAnsi="Times New Roman" w:cs="Times New Roman"/>
                <w:sz w:val="16"/>
                <w:szCs w:val="16"/>
              </w:rPr>
              <w:t>27</w:t>
            </w:r>
          </w:p>
        </w:tc>
        <w:tc>
          <w:tcPr>
            <w:tcW w:w="1275" w:type="dxa"/>
            <w:tcBorders>
              <w:top w:val="single" w:sz="12" w:space="0" w:color="auto"/>
              <w:bottom w:val="single" w:sz="12" w:space="0" w:color="auto"/>
              <w:right w:val="single" w:sz="4" w:space="0" w:color="auto"/>
            </w:tcBorders>
            <w:vAlign w:val="center"/>
          </w:tcPr>
          <w:p w:rsidR="001153A0" w:rsidRPr="003C5D23" w:rsidRDefault="004C647B" w:rsidP="001153A0">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221</w:t>
            </w:r>
            <w:r w:rsidR="001153A0" w:rsidRPr="003C5D23">
              <w:rPr>
                <w:rFonts w:ascii="Times New Roman" w:hAnsi="Times New Roman" w:cs="Times New Roman"/>
                <w:sz w:val="16"/>
                <w:szCs w:val="16"/>
              </w:rPr>
              <w:t xml:space="preserve"> A / 8</w:t>
            </w:r>
            <w:r>
              <w:rPr>
                <w:rFonts w:ascii="Times New Roman" w:hAnsi="Times New Roman" w:cs="Times New Roman"/>
                <w:sz w:val="16"/>
                <w:szCs w:val="16"/>
              </w:rPr>
              <w:t>5</w:t>
            </w:r>
            <w:r w:rsidR="001153A0" w:rsidRPr="003C5D23">
              <w:rPr>
                <w:rFonts w:ascii="Times New Roman" w:hAnsi="Times New Roman" w:cs="Times New Roman"/>
                <w:sz w:val="16"/>
                <w:szCs w:val="16"/>
              </w:rPr>
              <w:t xml:space="preserve"> V</w:t>
            </w:r>
          </w:p>
        </w:tc>
        <w:tc>
          <w:tcPr>
            <w:tcW w:w="1620" w:type="dxa"/>
            <w:tcBorders>
              <w:top w:val="single" w:sz="12" w:space="0" w:color="auto"/>
              <w:left w:val="single" w:sz="4" w:space="0" w:color="auto"/>
              <w:bottom w:val="single" w:sz="12" w:space="0" w:color="auto"/>
              <w:right w:val="single" w:sz="12" w:space="0" w:color="auto"/>
            </w:tcBorders>
            <w:vAlign w:val="center"/>
          </w:tcPr>
          <w:p w:rsidR="001153A0" w:rsidRPr="003C5D23" w:rsidRDefault="004C647B" w:rsidP="0014559E">
            <w:pPr>
              <w:spacing w:before="120" w:after="60" w:line="240" w:lineRule="auto"/>
              <w:jc w:val="right"/>
              <w:rPr>
                <w:rFonts w:ascii="Times New Roman" w:hAnsi="Times New Roman" w:cs="Times New Roman"/>
                <w:sz w:val="16"/>
                <w:szCs w:val="16"/>
              </w:rPr>
            </w:pPr>
            <w:r>
              <w:rPr>
                <w:rFonts w:ascii="Times New Roman" w:hAnsi="Times New Roman" w:cs="Times New Roman"/>
                <w:sz w:val="16"/>
                <w:szCs w:val="16"/>
              </w:rPr>
              <w:t>123 A/ 35</w:t>
            </w:r>
            <w:r w:rsidR="001153A0" w:rsidRPr="003C5D23">
              <w:rPr>
                <w:rFonts w:ascii="Times New Roman" w:hAnsi="Times New Roman" w:cs="Times New Roman"/>
                <w:sz w:val="16"/>
                <w:szCs w:val="16"/>
              </w:rPr>
              <w:t xml:space="preserve"> V</w:t>
            </w:r>
          </w:p>
        </w:tc>
      </w:tr>
    </w:tbl>
    <w:p w:rsidR="004B0571" w:rsidRPr="004B0571" w:rsidRDefault="004B0571" w:rsidP="004B0571">
      <w:pPr>
        <w:keepNext/>
        <w:spacing w:before="60" w:after="0" w:line="240" w:lineRule="auto"/>
        <w:jc w:val="both"/>
        <w:rPr>
          <w:rFonts w:ascii="Times New Roman" w:hAnsi="Times New Roman" w:cs="Times New Roman"/>
          <w:sz w:val="16"/>
          <w:szCs w:val="16"/>
        </w:rPr>
      </w:pPr>
      <w:r w:rsidRPr="004B0571">
        <w:rPr>
          <w:rFonts w:ascii="Times New Roman" w:hAnsi="Times New Roman" w:cs="Times New Roman"/>
          <w:sz w:val="16"/>
          <w:szCs w:val="16"/>
        </w:rPr>
        <w:t>Vysvetlivka k tabuľke:</w:t>
      </w:r>
    </w:p>
    <w:p w:rsidR="004B0571" w:rsidRPr="004B0571" w:rsidRDefault="004B0571" w:rsidP="004B0571">
      <w:pPr>
        <w:keepNext/>
        <w:spacing w:after="0" w:line="240" w:lineRule="auto"/>
        <w:jc w:val="both"/>
        <w:rPr>
          <w:rFonts w:ascii="Times New Roman" w:hAnsi="Times New Roman" w:cs="Times New Roman"/>
          <w:sz w:val="16"/>
          <w:szCs w:val="16"/>
        </w:rPr>
      </w:pPr>
      <w:r w:rsidRPr="004B0571">
        <w:rPr>
          <w:rFonts w:ascii="Times New Roman" w:hAnsi="Times New Roman" w:cs="Times New Roman"/>
          <w:sz w:val="16"/>
          <w:szCs w:val="16"/>
        </w:rPr>
        <w:t xml:space="preserve">* </w:t>
      </w:r>
      <w:r>
        <w:rPr>
          <w:rFonts w:ascii="Times New Roman" w:hAnsi="Times New Roman" w:cs="Times New Roman"/>
          <w:sz w:val="16"/>
          <w:szCs w:val="16"/>
        </w:rPr>
        <w:t xml:space="preserve">na úseku územného plánovanie sú 4 úlohy; keďže ministerstvo uviedlo k 3 úlohám, že sú aj administratívne aj vecné, v tabuľke sa uvádza 4A/3V, to sa prejavilo aj v súčte </w:t>
      </w:r>
      <w:r w:rsidR="00FF07E1">
        <w:rPr>
          <w:rFonts w:ascii="Times New Roman" w:hAnsi="Times New Roman" w:cs="Times New Roman"/>
          <w:sz w:val="16"/>
          <w:szCs w:val="16"/>
        </w:rPr>
        <w:t xml:space="preserve">úloh </w:t>
      </w:r>
      <w:r>
        <w:rPr>
          <w:rFonts w:ascii="Times New Roman" w:hAnsi="Times New Roman" w:cs="Times New Roman"/>
          <w:sz w:val="16"/>
          <w:szCs w:val="16"/>
        </w:rPr>
        <w:t>administratívnych</w:t>
      </w:r>
      <w:r w:rsidR="00FF07E1">
        <w:rPr>
          <w:rFonts w:ascii="Times New Roman" w:hAnsi="Times New Roman" w:cs="Times New Roman"/>
          <w:sz w:val="16"/>
          <w:szCs w:val="16"/>
        </w:rPr>
        <w:t xml:space="preserve"> </w:t>
      </w:r>
      <w:r>
        <w:rPr>
          <w:rFonts w:ascii="Times New Roman" w:hAnsi="Times New Roman" w:cs="Times New Roman"/>
          <w:sz w:val="16"/>
          <w:szCs w:val="16"/>
        </w:rPr>
        <w:t xml:space="preserve">a úloh verejných </w:t>
      </w:r>
      <w:r w:rsidR="00FF07E1">
        <w:rPr>
          <w:rFonts w:ascii="Times New Roman" w:hAnsi="Times New Roman" w:cs="Times New Roman"/>
          <w:sz w:val="16"/>
          <w:szCs w:val="16"/>
        </w:rPr>
        <w:t xml:space="preserve">služieb </w:t>
      </w:r>
      <w:r>
        <w:rPr>
          <w:rFonts w:ascii="Times New Roman" w:hAnsi="Times New Roman" w:cs="Times New Roman"/>
          <w:sz w:val="16"/>
          <w:szCs w:val="16"/>
        </w:rPr>
        <w:t>vecného charakteru</w:t>
      </w:r>
    </w:p>
    <w:p w:rsidR="00EC2235" w:rsidRPr="00274448" w:rsidRDefault="00EC2235" w:rsidP="00C76E95">
      <w:pPr>
        <w:keepNext/>
        <w:spacing w:before="120" w:after="0" w:line="240" w:lineRule="auto"/>
        <w:jc w:val="both"/>
        <w:rPr>
          <w:rFonts w:ascii="Times New Roman" w:hAnsi="Times New Roman" w:cs="Times New Roman"/>
          <w:sz w:val="16"/>
          <w:szCs w:val="16"/>
          <w:u w:val="single"/>
        </w:rPr>
      </w:pPr>
      <w:r w:rsidRPr="00274448">
        <w:rPr>
          <w:rFonts w:ascii="Times New Roman" w:hAnsi="Times New Roman" w:cs="Times New Roman"/>
          <w:sz w:val="16"/>
          <w:szCs w:val="16"/>
          <w:u w:val="single"/>
        </w:rPr>
        <w:t>Použité skratky v tabuľke:</w:t>
      </w:r>
    </w:p>
    <w:p w:rsidR="00EC2235" w:rsidRDefault="00EC2235" w:rsidP="00EC22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ZUŠ- základná umelecká škola</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CVČ – centrá voľného času</w:t>
      </w:r>
    </w:p>
    <w:p w:rsidR="00EC2235" w:rsidRDefault="00EC2235" w:rsidP="00EC22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MŠ – materská škola</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SSŠ – strediská služieb škole</w:t>
      </w:r>
    </w:p>
    <w:p w:rsidR="00EC2235" w:rsidRDefault="00EC2235" w:rsidP="00EC22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JŠ – jazyková škola</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ŠH a SOP – školské hospodárstva a strediská odbornej praxe</w:t>
      </w:r>
      <w:r>
        <w:rPr>
          <w:rFonts w:ascii="Times New Roman" w:hAnsi="Times New Roman" w:cs="Times New Roman"/>
          <w:sz w:val="16"/>
          <w:szCs w:val="16"/>
        </w:rPr>
        <w:tab/>
      </w:r>
    </w:p>
    <w:p w:rsidR="00EC2235" w:rsidRDefault="00EC2235" w:rsidP="00EC22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JŠ pri ZŠ – jazyková škola pri základnej škole</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ŠSZČ – školské strediská záujmovej činnosti </w:t>
      </w:r>
    </w:p>
    <w:p w:rsidR="00EC2235" w:rsidRDefault="00EC2235" w:rsidP="00EC2235">
      <w:pPr>
        <w:spacing w:after="0" w:line="240" w:lineRule="auto"/>
        <w:jc w:val="both"/>
        <w:rPr>
          <w:rFonts w:ascii="Times New Roman" w:hAnsi="Times New Roman" w:cs="Times New Roman"/>
          <w:sz w:val="16"/>
          <w:szCs w:val="16"/>
        </w:rPr>
      </w:pPr>
      <w:r>
        <w:rPr>
          <w:rFonts w:ascii="Times New Roman" w:hAnsi="Times New Roman" w:cs="Times New Roman"/>
          <w:sz w:val="16"/>
          <w:szCs w:val="16"/>
        </w:rPr>
        <w:t>ŠI – školské internáty</w:t>
      </w:r>
      <w:r w:rsidRPr="00274448">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ŠKD – školský klub detí</w:t>
      </w:r>
    </w:p>
    <w:p w:rsidR="008C248C" w:rsidRDefault="004A32AA" w:rsidP="00C23C89">
      <w:pPr>
        <w:spacing w:before="120" w:after="0" w:line="240" w:lineRule="auto"/>
        <w:ind w:firstLine="709"/>
        <w:jc w:val="both"/>
        <w:rPr>
          <w:rFonts w:ascii="Times New Roman" w:hAnsi="Times New Roman" w:cs="Times New Roman"/>
        </w:rPr>
      </w:pPr>
      <w:r>
        <w:rPr>
          <w:rFonts w:ascii="Times New Roman" w:hAnsi="Times New Roman" w:cs="Times New Roman"/>
        </w:rPr>
        <w:t>Najviac úsekov je v </w:t>
      </w:r>
      <w:r w:rsidR="002374C1">
        <w:rPr>
          <w:rFonts w:ascii="Times New Roman" w:hAnsi="Times New Roman" w:cs="Times New Roman"/>
        </w:rPr>
        <w:t>gescii</w:t>
      </w:r>
      <w:r>
        <w:rPr>
          <w:rFonts w:ascii="Times New Roman" w:hAnsi="Times New Roman" w:cs="Times New Roman"/>
        </w:rPr>
        <w:t xml:space="preserve"> ministerstva financií. Najmenej </w:t>
      </w:r>
      <w:r w:rsidR="002374C1">
        <w:rPr>
          <w:rFonts w:ascii="Times New Roman" w:hAnsi="Times New Roman" w:cs="Times New Roman"/>
        </w:rPr>
        <w:t xml:space="preserve">úsekov </w:t>
      </w:r>
      <w:r>
        <w:rPr>
          <w:rFonts w:ascii="Times New Roman" w:hAnsi="Times New Roman" w:cs="Times New Roman"/>
        </w:rPr>
        <w:t xml:space="preserve">(po jednom) </w:t>
      </w:r>
      <w:r w:rsidR="002374C1">
        <w:rPr>
          <w:rFonts w:ascii="Times New Roman" w:hAnsi="Times New Roman" w:cs="Times New Roman"/>
        </w:rPr>
        <w:t xml:space="preserve">je </w:t>
      </w:r>
      <w:r>
        <w:rPr>
          <w:rFonts w:ascii="Times New Roman" w:hAnsi="Times New Roman" w:cs="Times New Roman"/>
        </w:rPr>
        <w:t>v</w:t>
      </w:r>
      <w:r w:rsidR="002374C1">
        <w:rPr>
          <w:rFonts w:ascii="Times New Roman" w:hAnsi="Times New Roman" w:cs="Times New Roman"/>
        </w:rPr>
        <w:t xml:space="preserve"> gescii Úradu vlády </w:t>
      </w:r>
      <w:r w:rsidR="00ED7C06">
        <w:rPr>
          <w:rFonts w:ascii="Times New Roman" w:hAnsi="Times New Roman" w:cs="Times New Roman"/>
        </w:rPr>
        <w:t>Slovenskej republiky (ďalej len „úrad vlády“)</w:t>
      </w:r>
      <w:r w:rsidR="002374C1">
        <w:rPr>
          <w:rFonts w:ascii="Times New Roman" w:hAnsi="Times New Roman" w:cs="Times New Roman"/>
        </w:rPr>
        <w:t xml:space="preserve"> a Úradu geodézie, kartografie a katastra </w:t>
      </w:r>
      <w:r w:rsidR="00ED7C06">
        <w:rPr>
          <w:rFonts w:ascii="Times New Roman" w:hAnsi="Times New Roman" w:cs="Times New Roman"/>
        </w:rPr>
        <w:t>Slovenskej republiky (ďalej len „úrad geodézie, kartografie a katastra“).</w:t>
      </w:r>
      <w:r w:rsidR="00063F53">
        <w:rPr>
          <w:rFonts w:ascii="Times New Roman" w:hAnsi="Times New Roman" w:cs="Times New Roman"/>
        </w:rPr>
        <w:t xml:space="preserve"> </w:t>
      </w:r>
    </w:p>
    <w:p w:rsidR="008C248C" w:rsidRDefault="00442AFA" w:rsidP="008C248C">
      <w:pPr>
        <w:spacing w:before="120" w:after="0" w:line="240" w:lineRule="auto"/>
        <w:ind w:firstLine="709"/>
        <w:jc w:val="both"/>
        <w:rPr>
          <w:rFonts w:ascii="Times New Roman" w:hAnsi="Times New Roman" w:cs="Times New Roman"/>
        </w:rPr>
      </w:pPr>
      <w:r w:rsidRPr="00442AFA">
        <w:rPr>
          <w:rFonts w:ascii="Times New Roman" w:hAnsi="Times New Roman" w:cs="Times New Roman"/>
        </w:rPr>
        <w:t xml:space="preserve">Najviac úloh majú obce </w:t>
      </w:r>
      <w:r w:rsidR="00254A1B">
        <w:rPr>
          <w:rFonts w:ascii="Times New Roman" w:hAnsi="Times New Roman" w:cs="Times New Roman"/>
        </w:rPr>
        <w:t>na úsek</w:t>
      </w:r>
      <w:r w:rsidR="004A32AA">
        <w:rPr>
          <w:rFonts w:ascii="Times New Roman" w:hAnsi="Times New Roman" w:cs="Times New Roman"/>
        </w:rPr>
        <w:t>u</w:t>
      </w:r>
      <w:r w:rsidR="00254A1B">
        <w:rPr>
          <w:rFonts w:ascii="Times New Roman" w:hAnsi="Times New Roman" w:cs="Times New Roman"/>
        </w:rPr>
        <w:t xml:space="preserve"> </w:t>
      </w:r>
      <w:r w:rsidR="008D3860">
        <w:rPr>
          <w:rFonts w:ascii="Times New Roman" w:hAnsi="Times New Roman" w:cs="Times New Roman"/>
        </w:rPr>
        <w:t>zdravotníctva</w:t>
      </w:r>
      <w:r w:rsidR="004A32AA">
        <w:rPr>
          <w:rFonts w:ascii="Times New Roman" w:hAnsi="Times New Roman" w:cs="Times New Roman"/>
        </w:rPr>
        <w:t xml:space="preserve"> </w:t>
      </w:r>
      <w:r w:rsidR="008D3860" w:rsidRPr="00442AFA">
        <w:rPr>
          <w:rFonts w:ascii="Times New Roman" w:hAnsi="Times New Roman" w:cs="Times New Roman"/>
        </w:rPr>
        <w:t>a samosprávne kraje</w:t>
      </w:r>
      <w:r w:rsidR="008D3860">
        <w:rPr>
          <w:rFonts w:ascii="Times New Roman" w:hAnsi="Times New Roman" w:cs="Times New Roman"/>
        </w:rPr>
        <w:t xml:space="preserve"> na úseku rozpočtu</w:t>
      </w:r>
      <w:r w:rsidR="004A32AA">
        <w:rPr>
          <w:rFonts w:ascii="Times New Roman" w:hAnsi="Times New Roman" w:cs="Times New Roman"/>
        </w:rPr>
        <w:t>.</w:t>
      </w:r>
      <w:r w:rsidR="00254A1B">
        <w:rPr>
          <w:rFonts w:ascii="Times New Roman" w:hAnsi="Times New Roman" w:cs="Times New Roman"/>
        </w:rPr>
        <w:t xml:space="preserve"> Najmenej úloh </w:t>
      </w:r>
      <w:r w:rsidR="002374C1">
        <w:rPr>
          <w:rFonts w:ascii="Times New Roman" w:hAnsi="Times New Roman" w:cs="Times New Roman"/>
        </w:rPr>
        <w:t xml:space="preserve">(po jednej) </w:t>
      </w:r>
      <w:r w:rsidR="00254A1B">
        <w:rPr>
          <w:rFonts w:ascii="Times New Roman" w:hAnsi="Times New Roman" w:cs="Times New Roman"/>
        </w:rPr>
        <w:t>majú obce na úsek</w:t>
      </w:r>
      <w:r w:rsidR="004A32AA">
        <w:rPr>
          <w:rFonts w:ascii="Times New Roman" w:hAnsi="Times New Roman" w:cs="Times New Roman"/>
        </w:rPr>
        <w:t>och</w:t>
      </w:r>
      <w:r w:rsidR="002374C1">
        <w:rPr>
          <w:rFonts w:ascii="Times New Roman" w:hAnsi="Times New Roman" w:cs="Times New Roman"/>
        </w:rPr>
        <w:t xml:space="preserve"> štátnej pokladnice, dohľadu nad finančným trhom</w:t>
      </w:r>
      <w:r w:rsidR="008A2DF7">
        <w:rPr>
          <w:rFonts w:ascii="Times New Roman" w:hAnsi="Times New Roman" w:cs="Times New Roman"/>
        </w:rPr>
        <w:t>,</w:t>
      </w:r>
      <w:r w:rsidR="002374C1">
        <w:rPr>
          <w:rFonts w:ascii="Times New Roman" w:hAnsi="Times New Roman" w:cs="Times New Roman"/>
        </w:rPr>
        <w:t> </w:t>
      </w:r>
      <w:r w:rsidR="00D46BD5">
        <w:rPr>
          <w:rFonts w:ascii="Times New Roman" w:hAnsi="Times New Roman" w:cs="Times New Roman"/>
        </w:rPr>
        <w:t>Národnej banky Slovenska</w:t>
      </w:r>
      <w:r w:rsidR="002374C1">
        <w:rPr>
          <w:rFonts w:ascii="Times New Roman" w:hAnsi="Times New Roman" w:cs="Times New Roman"/>
        </w:rPr>
        <w:t xml:space="preserve">, </w:t>
      </w:r>
      <w:proofErr w:type="spellStart"/>
      <w:r w:rsidR="002374C1">
        <w:rPr>
          <w:rFonts w:ascii="Times New Roman" w:hAnsi="Times New Roman" w:cs="Times New Roman"/>
        </w:rPr>
        <w:t>ohňostrojných</w:t>
      </w:r>
      <w:proofErr w:type="spellEnd"/>
      <w:r w:rsidR="002374C1">
        <w:rPr>
          <w:rFonts w:ascii="Times New Roman" w:hAnsi="Times New Roman" w:cs="Times New Roman"/>
        </w:rPr>
        <w:t xml:space="preserve"> prác, rybárstva a </w:t>
      </w:r>
      <w:r w:rsidR="004A32AA">
        <w:rPr>
          <w:rFonts w:ascii="Times New Roman" w:hAnsi="Times New Roman" w:cs="Times New Roman"/>
        </w:rPr>
        <w:t>sťažností.</w:t>
      </w:r>
      <w:r w:rsidR="002374C1">
        <w:rPr>
          <w:rFonts w:ascii="Times New Roman" w:hAnsi="Times New Roman" w:cs="Times New Roman"/>
        </w:rPr>
        <w:t xml:space="preserve"> Najmenej úloh (po jednej) majú samosprávne kraje na úsekoch dohľadu nad finančným trhom, </w:t>
      </w:r>
      <w:r w:rsidR="00D46BD5">
        <w:rPr>
          <w:rFonts w:ascii="Times New Roman" w:hAnsi="Times New Roman" w:cs="Times New Roman"/>
        </w:rPr>
        <w:t>Národnej banky Slovenska</w:t>
      </w:r>
      <w:r w:rsidR="008A2DF7">
        <w:rPr>
          <w:rFonts w:ascii="Times New Roman" w:hAnsi="Times New Roman" w:cs="Times New Roman"/>
        </w:rPr>
        <w:t>,</w:t>
      </w:r>
      <w:r w:rsidR="002374C1">
        <w:rPr>
          <w:rFonts w:ascii="Times New Roman" w:hAnsi="Times New Roman" w:cs="Times New Roman"/>
        </w:rPr>
        <w:t xml:space="preserve"> pomoci z fondov </w:t>
      </w:r>
      <w:r w:rsidR="00922898">
        <w:rPr>
          <w:rFonts w:ascii="Times New Roman" w:hAnsi="Times New Roman" w:cs="Times New Roman"/>
        </w:rPr>
        <w:t>Európskej únie</w:t>
      </w:r>
      <w:r w:rsidR="002374C1">
        <w:rPr>
          <w:rFonts w:ascii="Times New Roman" w:hAnsi="Times New Roman" w:cs="Times New Roman"/>
        </w:rPr>
        <w:t>, verejných vodovodov a verejných kanalizácií</w:t>
      </w:r>
      <w:r w:rsidR="008A2DF7">
        <w:rPr>
          <w:rFonts w:ascii="Times New Roman" w:hAnsi="Times New Roman" w:cs="Times New Roman"/>
        </w:rPr>
        <w:t>,</w:t>
      </w:r>
      <w:r w:rsidR="002374C1">
        <w:rPr>
          <w:rFonts w:ascii="Times New Roman" w:hAnsi="Times New Roman" w:cs="Times New Roman"/>
        </w:rPr>
        <w:t xml:space="preserve"> sťažností a geodézie, kartografie a katastra.</w:t>
      </w:r>
      <w:r w:rsidR="008C248C">
        <w:rPr>
          <w:rFonts w:ascii="Times New Roman" w:hAnsi="Times New Roman" w:cs="Times New Roman"/>
        </w:rPr>
        <w:t xml:space="preserve"> Kvantitatívny výpočet jednotlivých úloh však nie je relevantný z hľadiska vecnej a odbornej náročnosti úloh. </w:t>
      </w:r>
    </w:p>
    <w:p w:rsidR="00254A1B" w:rsidRDefault="00254A1B" w:rsidP="00C23C89">
      <w:pPr>
        <w:spacing w:before="120" w:after="0" w:line="240" w:lineRule="auto"/>
        <w:ind w:firstLine="709"/>
        <w:jc w:val="both"/>
        <w:rPr>
          <w:rFonts w:ascii="Times New Roman" w:hAnsi="Times New Roman" w:cs="Times New Roman"/>
        </w:rPr>
      </w:pPr>
      <w:r>
        <w:rPr>
          <w:rFonts w:ascii="Times New Roman" w:hAnsi="Times New Roman" w:cs="Times New Roman"/>
        </w:rPr>
        <w:t xml:space="preserve">Celkovo prevládajú administratívne kompetencie nad </w:t>
      </w:r>
      <w:r w:rsidR="009B43B8">
        <w:rPr>
          <w:rFonts w:ascii="Times New Roman" w:hAnsi="Times New Roman" w:cs="Times New Roman"/>
        </w:rPr>
        <w:t>vecnými službami</w:t>
      </w:r>
      <w:r>
        <w:rPr>
          <w:rFonts w:ascii="Times New Roman" w:hAnsi="Times New Roman" w:cs="Times New Roman"/>
        </w:rPr>
        <w:t>.</w:t>
      </w:r>
      <w:r w:rsidR="00521A52">
        <w:rPr>
          <w:rFonts w:ascii="Times New Roman" w:hAnsi="Times New Roman" w:cs="Times New Roman"/>
        </w:rPr>
        <w:t xml:space="preserve"> Výlučne </w:t>
      </w:r>
      <w:r w:rsidR="009B43B8">
        <w:rPr>
          <w:rFonts w:ascii="Times New Roman" w:hAnsi="Times New Roman" w:cs="Times New Roman"/>
        </w:rPr>
        <w:t>vecnú služby</w:t>
      </w:r>
      <w:r w:rsidR="00521A52">
        <w:rPr>
          <w:rFonts w:ascii="Times New Roman" w:hAnsi="Times New Roman" w:cs="Times New Roman"/>
        </w:rPr>
        <w:t xml:space="preserve"> sú na úsekoch </w:t>
      </w:r>
      <w:proofErr w:type="spellStart"/>
      <w:r w:rsidR="00521A52">
        <w:rPr>
          <w:rFonts w:ascii="Times New Roman" w:hAnsi="Times New Roman" w:cs="Times New Roman"/>
        </w:rPr>
        <w:t>ohňostrojných</w:t>
      </w:r>
      <w:proofErr w:type="spellEnd"/>
      <w:r w:rsidR="00521A52">
        <w:rPr>
          <w:rFonts w:ascii="Times New Roman" w:hAnsi="Times New Roman" w:cs="Times New Roman"/>
        </w:rPr>
        <w:t xml:space="preserve"> prác a inštitucionálnej kultúry. Ve</w:t>
      </w:r>
      <w:r w:rsidR="009B43B8">
        <w:rPr>
          <w:rFonts w:ascii="Times New Roman" w:hAnsi="Times New Roman" w:cs="Times New Roman"/>
        </w:rPr>
        <w:t xml:space="preserve">cné služby </w:t>
      </w:r>
      <w:r w:rsidR="00521A52">
        <w:rPr>
          <w:rFonts w:ascii="Times New Roman" w:hAnsi="Times New Roman" w:cs="Times New Roman"/>
        </w:rPr>
        <w:t xml:space="preserve">popri administratívnych kompetenciách sú na úsekoch </w:t>
      </w:r>
      <w:r w:rsidR="00645841">
        <w:rPr>
          <w:rFonts w:ascii="Times New Roman" w:hAnsi="Times New Roman" w:cs="Times New Roman"/>
        </w:rPr>
        <w:t>dráh, cestnej dopravy, územného plánovania, energetiky, ochrany spotrebiteľa, sociálnych služieb, školstva, obecnej polície, zdravotníctva, ochrany pred povodňami, verejných vodovodov a verejných kanalizácií a odpadového hospodárstva</w:t>
      </w:r>
      <w:r w:rsidR="00521A52">
        <w:rPr>
          <w:rFonts w:ascii="Times New Roman" w:hAnsi="Times New Roman" w:cs="Times New Roman"/>
        </w:rPr>
        <w:t>. Na ostatných úsekoch ide výlučne o administratívne kompetencie.</w:t>
      </w:r>
    </w:p>
    <w:p w:rsidR="00346F37" w:rsidRPr="00F70B63" w:rsidRDefault="00346F37" w:rsidP="003D37C0">
      <w:pPr>
        <w:pStyle w:val="tla4"/>
        <w:keepNext/>
        <w:ind w:left="788" w:hanging="431"/>
      </w:pPr>
      <w:bookmarkStart w:id="20" w:name="_Toc373740552"/>
      <w:r w:rsidRPr="00F70B63">
        <w:lastRenderedPageBreak/>
        <w:t>Zhodnotenie kvality výkonu samosprávnych pôsobností</w:t>
      </w:r>
      <w:bookmarkEnd w:id="20"/>
    </w:p>
    <w:p w:rsidR="00616490" w:rsidRPr="0048008A" w:rsidRDefault="00616490" w:rsidP="00616490">
      <w:pPr>
        <w:keepNext/>
        <w:spacing w:before="120" w:after="120" w:line="240" w:lineRule="auto"/>
        <w:ind w:firstLine="709"/>
        <w:jc w:val="both"/>
        <w:rPr>
          <w:rFonts w:ascii="Times New Roman" w:hAnsi="Times New Roman" w:cs="Times New Roman"/>
          <w:i/>
          <w:u w:val="single"/>
        </w:rPr>
      </w:pPr>
      <w:bookmarkStart w:id="21" w:name="SumarizaciaOriginalneObce"/>
      <w:r w:rsidRPr="0048008A">
        <w:rPr>
          <w:rFonts w:ascii="Times New Roman" w:hAnsi="Times New Roman" w:cs="Times New Roman"/>
          <w:i/>
          <w:u w:val="single"/>
        </w:rPr>
        <w:t>Sumárne údaje o</w:t>
      </w:r>
      <w:r w:rsidR="00127445">
        <w:rPr>
          <w:rFonts w:ascii="Times New Roman" w:hAnsi="Times New Roman" w:cs="Times New Roman"/>
          <w:i/>
          <w:u w:val="single"/>
        </w:rPr>
        <w:t xml:space="preserve"> kvalite </w:t>
      </w:r>
      <w:r w:rsidRPr="0048008A">
        <w:rPr>
          <w:rFonts w:ascii="Times New Roman" w:hAnsi="Times New Roman" w:cs="Times New Roman"/>
          <w:i/>
          <w:u w:val="single"/>
        </w:rPr>
        <w:t xml:space="preserve">výkonu </w:t>
      </w:r>
      <w:r w:rsidR="003A70EC" w:rsidRPr="0048008A">
        <w:rPr>
          <w:rFonts w:ascii="Times New Roman" w:hAnsi="Times New Roman" w:cs="Times New Roman"/>
          <w:i/>
          <w:u w:val="single"/>
        </w:rPr>
        <w:t>samosprávnych pôsobností</w:t>
      </w:r>
      <w:r w:rsidRPr="0048008A">
        <w:rPr>
          <w:rFonts w:ascii="Times New Roman" w:hAnsi="Times New Roman" w:cs="Times New Roman"/>
          <w:i/>
          <w:u w:val="single"/>
        </w:rPr>
        <w:t xml:space="preserve"> obc</w:t>
      </w:r>
      <w:r w:rsidR="003A70EC" w:rsidRPr="0048008A">
        <w:rPr>
          <w:rFonts w:ascii="Times New Roman" w:hAnsi="Times New Roman" w:cs="Times New Roman"/>
          <w:i/>
          <w:u w:val="single"/>
        </w:rPr>
        <w:t>í</w:t>
      </w:r>
      <w:bookmarkEnd w:id="21"/>
    </w:p>
    <w:p w:rsidR="00616490" w:rsidRDefault="00127445" w:rsidP="00164C38">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Ministerstvá</w:t>
      </w:r>
      <w:r w:rsidR="00616490">
        <w:rPr>
          <w:rFonts w:ascii="Times New Roman" w:eastAsia="Times New Roman" w:hAnsi="Times New Roman" w:cs="Times New Roman"/>
          <w:lang w:eastAsia="sk-SK"/>
        </w:rPr>
        <w:t xml:space="preserve"> poskytli svoj názor na kvalitu plnenia úloh originálnych pôsobností obcí. </w:t>
      </w:r>
    </w:p>
    <w:p w:rsidR="00EB75BD" w:rsidRDefault="00EB75BD" w:rsidP="002904D4">
      <w:pPr>
        <w:spacing w:before="120" w:after="120" w:line="240" w:lineRule="auto"/>
        <w:ind w:firstLine="709"/>
        <w:jc w:val="both"/>
        <w:rPr>
          <w:rFonts w:ascii="Times New Roman" w:eastAsia="Times New Roman" w:hAnsi="Times New Roman" w:cs="Times New Roman"/>
          <w:lang w:eastAsia="sk-SK"/>
        </w:rPr>
      </w:pPr>
      <w:bookmarkStart w:id="22" w:name="SumarizaciaOriginalneKraje"/>
      <w:r>
        <w:rPr>
          <w:rFonts w:ascii="Times New Roman" w:eastAsia="Times New Roman" w:hAnsi="Times New Roman" w:cs="Times New Roman"/>
          <w:lang w:eastAsia="sk-SK"/>
        </w:rPr>
        <w:t xml:space="preserve">Možno konštatovať, že </w:t>
      </w:r>
      <w:r w:rsidR="00B44402">
        <w:rPr>
          <w:rFonts w:ascii="Times New Roman" w:eastAsia="Times New Roman" w:hAnsi="Times New Roman" w:cs="Times New Roman"/>
          <w:lang w:eastAsia="sk-SK"/>
        </w:rPr>
        <w:t>ministerstvá</w:t>
      </w:r>
      <w:r>
        <w:rPr>
          <w:rFonts w:ascii="Times New Roman" w:eastAsia="Times New Roman" w:hAnsi="Times New Roman" w:cs="Times New Roman"/>
          <w:lang w:eastAsia="sk-SK"/>
        </w:rPr>
        <w:t xml:space="preserve"> </w:t>
      </w:r>
      <w:r w:rsidR="00B44402">
        <w:rPr>
          <w:rFonts w:ascii="Times New Roman" w:eastAsia="Times New Roman" w:hAnsi="Times New Roman" w:cs="Times New Roman"/>
          <w:lang w:eastAsia="sk-SK"/>
        </w:rPr>
        <w:t xml:space="preserve">hodnotili plnenie takmer polovice </w:t>
      </w:r>
      <w:r>
        <w:rPr>
          <w:rFonts w:ascii="Times New Roman" w:eastAsia="Times New Roman" w:hAnsi="Times New Roman" w:cs="Times New Roman"/>
          <w:lang w:eastAsia="sk-SK"/>
        </w:rPr>
        <w:t>úloh</w:t>
      </w:r>
      <w:r w:rsidR="00B44402">
        <w:rPr>
          <w:rFonts w:ascii="Times New Roman" w:eastAsia="Times New Roman" w:hAnsi="Times New Roman" w:cs="Times New Roman"/>
          <w:lang w:eastAsia="sk-SK"/>
        </w:rPr>
        <w:t xml:space="preserve"> ako kvalitné.</w:t>
      </w:r>
    </w:p>
    <w:p w:rsidR="009B27A7" w:rsidRDefault="009B27A7" w:rsidP="002904D4">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V</w:t>
      </w:r>
      <w:r w:rsidR="009D4AF8">
        <w:rPr>
          <w:rFonts w:ascii="Times New Roman" w:eastAsia="Times New Roman" w:hAnsi="Times New Roman" w:cs="Times New Roman"/>
          <w:lang w:eastAsia="sk-SK"/>
        </w:rPr>
        <w:t xml:space="preserve">ýkon </w:t>
      </w:r>
      <w:r>
        <w:rPr>
          <w:rFonts w:ascii="Times New Roman" w:eastAsia="Times New Roman" w:hAnsi="Times New Roman" w:cs="Times New Roman"/>
          <w:lang w:eastAsia="sk-SK"/>
        </w:rPr>
        <w:t xml:space="preserve">viac ako štvrtiny úloh bol </w:t>
      </w:r>
      <w:r w:rsidR="009D4AF8">
        <w:rPr>
          <w:rFonts w:ascii="Times New Roman" w:eastAsia="Times New Roman" w:hAnsi="Times New Roman" w:cs="Times New Roman"/>
          <w:lang w:eastAsia="sk-SK"/>
        </w:rPr>
        <w:t xml:space="preserve">zhodnotený </w:t>
      </w:r>
      <w:r>
        <w:rPr>
          <w:rFonts w:ascii="Times New Roman" w:eastAsia="Times New Roman" w:hAnsi="Times New Roman" w:cs="Times New Roman"/>
          <w:lang w:eastAsia="sk-SK"/>
        </w:rPr>
        <w:t>ako nekvalitný</w:t>
      </w:r>
      <w:r w:rsidR="005178F5">
        <w:rPr>
          <w:rFonts w:ascii="Times New Roman" w:eastAsia="Times New Roman" w:hAnsi="Times New Roman" w:cs="Times New Roman"/>
          <w:lang w:eastAsia="sk-SK"/>
        </w:rPr>
        <w:t>.</w:t>
      </w:r>
    </w:p>
    <w:p w:rsidR="00B44402" w:rsidRPr="00B44402" w:rsidRDefault="009B27A7" w:rsidP="002904D4">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Viac ak</w:t>
      </w:r>
      <w:r w:rsidR="006F6EFA">
        <w:rPr>
          <w:rFonts w:ascii="Times New Roman" w:eastAsia="Times New Roman" w:hAnsi="Times New Roman" w:cs="Times New Roman"/>
          <w:lang w:eastAsia="sk-SK"/>
        </w:rPr>
        <w:t>o</w:t>
      </w:r>
      <w:r>
        <w:rPr>
          <w:rFonts w:ascii="Times New Roman" w:eastAsia="Times New Roman" w:hAnsi="Times New Roman" w:cs="Times New Roman"/>
          <w:lang w:eastAsia="sk-SK"/>
        </w:rPr>
        <w:t xml:space="preserve"> štvrtinu úloh ministerstvá nevedeli zhodnotiť.</w:t>
      </w:r>
    </w:p>
    <w:p w:rsidR="00713DCE" w:rsidRPr="0048008A" w:rsidRDefault="00713DCE" w:rsidP="00713DCE">
      <w:pPr>
        <w:keepNext/>
        <w:spacing w:before="120" w:after="120" w:line="240" w:lineRule="auto"/>
        <w:ind w:firstLine="709"/>
        <w:jc w:val="both"/>
        <w:rPr>
          <w:rFonts w:ascii="Times New Roman" w:hAnsi="Times New Roman" w:cs="Times New Roman"/>
          <w:i/>
          <w:u w:val="single"/>
        </w:rPr>
      </w:pPr>
      <w:r w:rsidRPr="0048008A">
        <w:rPr>
          <w:rFonts w:ascii="Times New Roman" w:hAnsi="Times New Roman" w:cs="Times New Roman"/>
          <w:i/>
          <w:u w:val="single"/>
        </w:rPr>
        <w:t>Sumárne údaje o </w:t>
      </w:r>
      <w:r w:rsidR="00127445">
        <w:rPr>
          <w:rFonts w:ascii="Times New Roman" w:hAnsi="Times New Roman" w:cs="Times New Roman"/>
          <w:i/>
          <w:u w:val="single"/>
        </w:rPr>
        <w:t>kvalite</w:t>
      </w:r>
      <w:r w:rsidRPr="0048008A">
        <w:rPr>
          <w:rFonts w:ascii="Times New Roman" w:hAnsi="Times New Roman" w:cs="Times New Roman"/>
          <w:i/>
          <w:u w:val="single"/>
        </w:rPr>
        <w:t xml:space="preserve"> výkonu </w:t>
      </w:r>
      <w:r w:rsidR="003A70EC" w:rsidRPr="0048008A">
        <w:rPr>
          <w:rFonts w:ascii="Times New Roman" w:hAnsi="Times New Roman" w:cs="Times New Roman"/>
          <w:i/>
          <w:u w:val="single"/>
        </w:rPr>
        <w:t xml:space="preserve">samosprávnych </w:t>
      </w:r>
      <w:r w:rsidRPr="0048008A">
        <w:rPr>
          <w:rFonts w:ascii="Times New Roman" w:hAnsi="Times New Roman" w:cs="Times New Roman"/>
          <w:i/>
          <w:u w:val="single"/>
        </w:rPr>
        <w:t xml:space="preserve">pôsobností </w:t>
      </w:r>
      <w:r w:rsidR="003A70EC" w:rsidRPr="0048008A">
        <w:rPr>
          <w:rFonts w:ascii="Times New Roman" w:hAnsi="Times New Roman" w:cs="Times New Roman"/>
          <w:i/>
          <w:u w:val="single"/>
        </w:rPr>
        <w:t>samosprávnych</w:t>
      </w:r>
      <w:r w:rsidRPr="0048008A">
        <w:rPr>
          <w:rFonts w:ascii="Times New Roman" w:hAnsi="Times New Roman" w:cs="Times New Roman"/>
          <w:i/>
          <w:u w:val="single"/>
        </w:rPr>
        <w:t xml:space="preserve"> kraj</w:t>
      </w:r>
      <w:r w:rsidR="003A70EC" w:rsidRPr="0048008A">
        <w:rPr>
          <w:rFonts w:ascii="Times New Roman" w:hAnsi="Times New Roman" w:cs="Times New Roman"/>
          <w:i/>
          <w:u w:val="single"/>
        </w:rPr>
        <w:t>ov</w:t>
      </w:r>
      <w:bookmarkEnd w:id="22"/>
    </w:p>
    <w:p w:rsidR="00616490" w:rsidRDefault="00127445" w:rsidP="0048008A">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Ministerstvá</w:t>
      </w:r>
      <w:r w:rsidR="00616490">
        <w:rPr>
          <w:rFonts w:ascii="Times New Roman" w:eastAsia="Times New Roman" w:hAnsi="Times New Roman" w:cs="Times New Roman"/>
          <w:lang w:eastAsia="sk-SK"/>
        </w:rPr>
        <w:t xml:space="preserve"> poskytli svoj názor na kvalitu plnenia úloh originálnych pôsobností </w:t>
      </w:r>
      <w:r w:rsidR="001C0113">
        <w:rPr>
          <w:rFonts w:ascii="Times New Roman" w:eastAsia="Times New Roman" w:hAnsi="Times New Roman" w:cs="Times New Roman"/>
          <w:lang w:eastAsia="sk-SK"/>
        </w:rPr>
        <w:t>samosprávnych krajov</w:t>
      </w:r>
      <w:r w:rsidR="00616490">
        <w:rPr>
          <w:rFonts w:ascii="Times New Roman" w:eastAsia="Times New Roman" w:hAnsi="Times New Roman" w:cs="Times New Roman"/>
          <w:lang w:eastAsia="sk-SK"/>
        </w:rPr>
        <w:t xml:space="preserve">. </w:t>
      </w:r>
    </w:p>
    <w:p w:rsidR="00616490" w:rsidRDefault="00616490" w:rsidP="00127445">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Možno konštatovať, že </w:t>
      </w:r>
      <w:r w:rsidR="00453924">
        <w:rPr>
          <w:rFonts w:ascii="Times New Roman" w:eastAsia="Times New Roman" w:hAnsi="Times New Roman" w:cs="Times New Roman"/>
          <w:lang w:eastAsia="sk-SK"/>
        </w:rPr>
        <w:t>ministerstvá</w:t>
      </w:r>
      <w:r>
        <w:rPr>
          <w:rFonts w:ascii="Times New Roman" w:eastAsia="Times New Roman" w:hAnsi="Times New Roman" w:cs="Times New Roman"/>
          <w:lang w:eastAsia="sk-SK"/>
        </w:rPr>
        <w:t xml:space="preserve"> </w:t>
      </w:r>
      <w:r w:rsidR="00453924">
        <w:rPr>
          <w:rFonts w:ascii="Times New Roman" w:eastAsia="Times New Roman" w:hAnsi="Times New Roman" w:cs="Times New Roman"/>
          <w:lang w:eastAsia="sk-SK"/>
        </w:rPr>
        <w:t>kladne hodnotili plnenie viac ako dvoch pätín úloh.</w:t>
      </w:r>
    </w:p>
    <w:p w:rsidR="000B218B" w:rsidRDefault="00453924" w:rsidP="00127445">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Neboli schopné zhodnotiť kvalitu plnenia takmer dvoch pätín úloh.</w:t>
      </w:r>
    </w:p>
    <w:p w:rsidR="000B218B" w:rsidRDefault="000B218B" w:rsidP="00127445">
      <w:pPr>
        <w:spacing w:before="120" w:after="12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Negatívne hodnotili približne pätinu úloh..</w:t>
      </w:r>
    </w:p>
    <w:p w:rsidR="00812B2D" w:rsidRPr="00812B2D" w:rsidRDefault="00812B2D" w:rsidP="00127445">
      <w:pPr>
        <w:spacing w:before="120" w:after="120" w:line="240" w:lineRule="auto"/>
        <w:ind w:firstLine="709"/>
        <w:jc w:val="both"/>
        <w:rPr>
          <w:rFonts w:ascii="Times New Roman" w:eastAsia="Times New Roman" w:hAnsi="Times New Roman" w:cs="Times New Roman"/>
          <w:i/>
          <w:u w:val="single"/>
          <w:lang w:eastAsia="sk-SK"/>
        </w:rPr>
      </w:pPr>
      <w:r w:rsidRPr="00812B2D">
        <w:rPr>
          <w:rFonts w:ascii="Times New Roman" w:eastAsia="Times New Roman" w:hAnsi="Times New Roman" w:cs="Times New Roman"/>
          <w:i/>
          <w:u w:val="single"/>
          <w:lang w:eastAsia="sk-SK"/>
        </w:rPr>
        <w:t>S</w:t>
      </w:r>
      <w:r>
        <w:rPr>
          <w:rFonts w:ascii="Times New Roman" w:eastAsia="Times New Roman" w:hAnsi="Times New Roman" w:cs="Times New Roman"/>
          <w:i/>
          <w:u w:val="single"/>
          <w:lang w:eastAsia="sk-SK"/>
        </w:rPr>
        <w:t>úhrnné</w:t>
      </w:r>
      <w:r w:rsidRPr="00812B2D">
        <w:rPr>
          <w:rFonts w:ascii="Times New Roman" w:eastAsia="Times New Roman" w:hAnsi="Times New Roman" w:cs="Times New Roman"/>
          <w:i/>
          <w:u w:val="single"/>
          <w:lang w:eastAsia="sk-SK"/>
        </w:rPr>
        <w:t xml:space="preserve"> zhodnotenie kvality </w:t>
      </w:r>
      <w:r>
        <w:rPr>
          <w:rFonts w:ascii="Times New Roman" w:eastAsia="Times New Roman" w:hAnsi="Times New Roman" w:cs="Times New Roman"/>
          <w:i/>
          <w:u w:val="single"/>
          <w:lang w:eastAsia="sk-SK"/>
        </w:rPr>
        <w:t xml:space="preserve">výkonu </w:t>
      </w:r>
      <w:r w:rsidRPr="00812B2D">
        <w:rPr>
          <w:rFonts w:ascii="Times New Roman" w:eastAsia="Times New Roman" w:hAnsi="Times New Roman" w:cs="Times New Roman"/>
          <w:i/>
          <w:u w:val="single"/>
          <w:lang w:eastAsia="sk-SK"/>
        </w:rPr>
        <w:t>samosprávnych pôsobností</w:t>
      </w:r>
    </w:p>
    <w:p w:rsidR="00812B2D" w:rsidRDefault="00812B2D" w:rsidP="00812B2D">
      <w:pPr>
        <w:spacing w:before="120" w:after="0" w:line="240" w:lineRule="auto"/>
        <w:ind w:firstLine="709"/>
        <w:jc w:val="both"/>
        <w:rPr>
          <w:rFonts w:ascii="Times New Roman" w:hAnsi="Times New Roman" w:cs="Times New Roman"/>
        </w:rPr>
      </w:pPr>
      <w:r>
        <w:rPr>
          <w:rFonts w:ascii="Times New Roman" w:hAnsi="Times New Roman" w:cs="Times New Roman"/>
        </w:rPr>
        <w:t xml:space="preserve">Pri </w:t>
      </w:r>
      <w:r w:rsidR="002D3017">
        <w:rPr>
          <w:rFonts w:ascii="Times New Roman" w:hAnsi="Times New Roman" w:cs="Times New Roman"/>
        </w:rPr>
        <w:t xml:space="preserve">veľkej časti úsekov </w:t>
      </w:r>
      <w:r>
        <w:rPr>
          <w:rFonts w:ascii="Times New Roman" w:hAnsi="Times New Roman" w:cs="Times New Roman"/>
        </w:rPr>
        <w:t xml:space="preserve">ministerstvá </w:t>
      </w:r>
      <w:r w:rsidR="005178F5">
        <w:rPr>
          <w:rFonts w:ascii="Times New Roman" w:hAnsi="Times New Roman" w:cs="Times New Roman"/>
        </w:rPr>
        <w:t>nezhodnotili</w:t>
      </w:r>
      <w:r>
        <w:rPr>
          <w:rFonts w:ascii="Times New Roman" w:hAnsi="Times New Roman" w:cs="Times New Roman"/>
        </w:rPr>
        <w:t xml:space="preserve"> kvalitu. Pri tých úsekoch, pri ktorých </w:t>
      </w:r>
      <w:r w:rsidR="005178F5">
        <w:rPr>
          <w:rFonts w:ascii="Times New Roman" w:hAnsi="Times New Roman" w:cs="Times New Roman"/>
        </w:rPr>
        <w:t>to urobili</w:t>
      </w:r>
      <w:r>
        <w:rPr>
          <w:rFonts w:ascii="Times New Roman" w:hAnsi="Times New Roman" w:cs="Times New Roman"/>
        </w:rPr>
        <w:t>, hodnotili</w:t>
      </w:r>
      <w:r w:rsidRPr="006E7277">
        <w:rPr>
          <w:rFonts w:ascii="Times New Roman" w:hAnsi="Times New Roman" w:cs="Times New Roman"/>
        </w:rPr>
        <w:t xml:space="preserve"> plnenie samosprávnych pôsobností </w:t>
      </w:r>
      <w:r w:rsidR="002D3017">
        <w:rPr>
          <w:rFonts w:ascii="Times New Roman" w:hAnsi="Times New Roman" w:cs="Times New Roman"/>
        </w:rPr>
        <w:t xml:space="preserve">zväčša </w:t>
      </w:r>
      <w:r w:rsidRPr="006E7277">
        <w:rPr>
          <w:rFonts w:ascii="Times New Roman" w:hAnsi="Times New Roman" w:cs="Times New Roman"/>
        </w:rPr>
        <w:t>ako kvalitné. Vzhľadom</w:t>
      </w:r>
      <w:r w:rsidRPr="00C6663D">
        <w:rPr>
          <w:rFonts w:ascii="Times New Roman" w:hAnsi="Times New Roman" w:cs="Times New Roman"/>
        </w:rPr>
        <w:t xml:space="preserve"> na rozsah údajov, ktoré majú ministerstvá k dispozícii, je však výstižnejšie konštatovanie, že ministerstvá nemajú vedomosť o problémoch (hoci tieto môžu fakticky existovať). Problémom bolo často i určenie hodnotiaceho kritéria; tam, kde nie je vyplnené, je ním </w:t>
      </w:r>
      <w:r>
        <w:rPr>
          <w:rFonts w:ascii="Times New Roman" w:hAnsi="Times New Roman" w:cs="Times New Roman"/>
        </w:rPr>
        <w:t xml:space="preserve">najmä </w:t>
      </w:r>
      <w:r w:rsidRPr="00C6663D">
        <w:rPr>
          <w:rFonts w:ascii="Times New Roman" w:hAnsi="Times New Roman" w:cs="Times New Roman"/>
        </w:rPr>
        <w:t>samotné plnenie úlohy (t. j. či obce a samosprávne kraje vôbec úlohy realizujú).</w:t>
      </w:r>
    </w:p>
    <w:p w:rsidR="00346F37" w:rsidRPr="00F70B63" w:rsidRDefault="00346F37" w:rsidP="003D37C0">
      <w:pPr>
        <w:pStyle w:val="tla4"/>
        <w:keepNext/>
        <w:ind w:left="788" w:hanging="431"/>
      </w:pPr>
      <w:bookmarkStart w:id="23" w:name="_Toc373740553"/>
      <w:r w:rsidRPr="00F70B63">
        <w:t>Financovanie výkonu samosprávnych pôsobností</w:t>
      </w:r>
      <w:bookmarkEnd w:id="23"/>
    </w:p>
    <w:p w:rsidR="00127445" w:rsidRDefault="00127445" w:rsidP="0041596A">
      <w:pPr>
        <w:spacing w:before="120" w:after="12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Z poskytnutých podkladov o</w:t>
      </w:r>
      <w:r w:rsidR="00B35792">
        <w:rPr>
          <w:rFonts w:ascii="Times New Roman" w:eastAsia="Times New Roman" w:hAnsi="Times New Roman" w:cs="Times New Roman"/>
          <w:lang w:eastAsia="cs-CZ"/>
        </w:rPr>
        <w:t>d</w:t>
      </w:r>
      <w:r>
        <w:rPr>
          <w:rFonts w:ascii="Times New Roman" w:eastAsia="Times New Roman" w:hAnsi="Times New Roman" w:cs="Times New Roman"/>
          <w:lang w:eastAsia="cs-CZ"/>
        </w:rPr>
        <w:t xml:space="preserve"> ministerstiev vyplýva, že v prevažnej väčšine </w:t>
      </w:r>
      <w:r w:rsidR="0097152D">
        <w:rPr>
          <w:rFonts w:ascii="Times New Roman" w:eastAsia="Times New Roman" w:hAnsi="Times New Roman" w:cs="Times New Roman"/>
          <w:lang w:eastAsia="cs-CZ"/>
        </w:rPr>
        <w:t>nedisponujú údajmi</w:t>
      </w:r>
      <w:r>
        <w:rPr>
          <w:rFonts w:ascii="Times New Roman" w:eastAsia="Times New Roman" w:hAnsi="Times New Roman" w:cs="Times New Roman"/>
          <w:lang w:eastAsia="cs-CZ"/>
        </w:rPr>
        <w:t xml:space="preserve"> o financovaní samosprávnych pôsobností. </w:t>
      </w:r>
    </w:p>
    <w:p w:rsidR="00127445" w:rsidRDefault="00127445" w:rsidP="002904D4">
      <w:pPr>
        <w:keepNext/>
        <w:spacing w:before="120" w:after="120" w:line="240" w:lineRule="auto"/>
        <w:ind w:firstLine="709"/>
        <w:jc w:val="both"/>
        <w:rPr>
          <w:rFonts w:ascii="Times New Roman" w:eastAsia="Times New Roman" w:hAnsi="Times New Roman" w:cs="Times New Roman"/>
          <w:lang w:eastAsia="cs-CZ"/>
        </w:rPr>
      </w:pPr>
      <w:r w:rsidRPr="001153A0">
        <w:rPr>
          <w:rFonts w:ascii="Times New Roman" w:hAnsi="Times New Roman" w:cs="Times New Roman"/>
          <w:i/>
          <w:u w:val="single"/>
        </w:rPr>
        <w:t>Súhrnné zhodnotenie financovania</w:t>
      </w:r>
      <w:r>
        <w:rPr>
          <w:rFonts w:ascii="Times New Roman" w:hAnsi="Times New Roman" w:cs="Times New Roman"/>
          <w:i/>
          <w:u w:val="single"/>
        </w:rPr>
        <w:t xml:space="preserve"> samosprávnych pôsobností vykonávaných obcami</w:t>
      </w:r>
    </w:p>
    <w:p w:rsidR="0041596A" w:rsidRDefault="00B35792" w:rsidP="002904D4">
      <w:pPr>
        <w:keepNext/>
        <w:spacing w:before="120" w:after="12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Z 11 ministerstiev údaje </w:t>
      </w:r>
      <w:r w:rsidR="00127445">
        <w:rPr>
          <w:rFonts w:ascii="Times New Roman" w:eastAsia="Times New Roman" w:hAnsi="Times New Roman" w:cs="Times New Roman"/>
          <w:lang w:eastAsia="cs-CZ"/>
        </w:rPr>
        <w:t>poskytli len</w:t>
      </w:r>
      <w:r>
        <w:rPr>
          <w:rFonts w:ascii="Times New Roman" w:eastAsia="Times New Roman" w:hAnsi="Times New Roman" w:cs="Times New Roman"/>
          <w:lang w:eastAsia="cs-CZ"/>
        </w:rPr>
        <w:t xml:space="preserve"> 4</w:t>
      </w:r>
      <w:r w:rsidR="00127445">
        <w:rPr>
          <w:rFonts w:ascii="Times New Roman" w:eastAsia="Times New Roman" w:hAnsi="Times New Roman" w:cs="Times New Roman"/>
          <w:lang w:eastAsia="cs-CZ"/>
        </w:rPr>
        <w:t>:</w:t>
      </w:r>
    </w:p>
    <w:p w:rsidR="00A04E37" w:rsidRPr="00A04E37" w:rsidRDefault="0097152D" w:rsidP="00A04E37">
      <w:pPr>
        <w:keepNext/>
        <w:spacing w:before="120" w:after="60" w:line="240" w:lineRule="auto"/>
        <w:jc w:val="center"/>
        <w:rPr>
          <w:rFonts w:ascii="Times New Roman" w:eastAsia="Times New Roman" w:hAnsi="Times New Roman" w:cs="Times New Roman"/>
          <w:sz w:val="16"/>
          <w:szCs w:val="16"/>
          <w:lang w:eastAsia="cs-CZ"/>
        </w:rPr>
      </w:pPr>
      <w:r>
        <w:rPr>
          <w:rFonts w:ascii="Times New Roman" w:eastAsia="Times New Roman" w:hAnsi="Times New Roman" w:cs="Times New Roman"/>
          <w:b/>
          <w:sz w:val="16"/>
          <w:szCs w:val="16"/>
          <w:lang w:eastAsia="cs-CZ"/>
        </w:rPr>
        <w:t>Tabuľka 13</w:t>
      </w:r>
      <w:r w:rsidR="00CA48B7">
        <w:rPr>
          <w:rFonts w:ascii="Times New Roman" w:eastAsia="Times New Roman" w:hAnsi="Times New Roman" w:cs="Times New Roman"/>
          <w:b/>
          <w:sz w:val="16"/>
          <w:szCs w:val="16"/>
          <w:lang w:eastAsia="cs-CZ"/>
        </w:rPr>
        <w:t>:</w:t>
      </w:r>
      <w:r w:rsidR="00A04E37" w:rsidRPr="00A04E37">
        <w:rPr>
          <w:rFonts w:ascii="Times New Roman" w:eastAsia="Times New Roman" w:hAnsi="Times New Roman" w:cs="Times New Roman"/>
          <w:sz w:val="16"/>
          <w:szCs w:val="16"/>
          <w:lang w:eastAsia="cs-CZ"/>
        </w:rPr>
        <w:t xml:space="preserve"> </w:t>
      </w:r>
      <w:r w:rsidR="00A04E37" w:rsidRPr="00A04E37">
        <w:rPr>
          <w:rFonts w:ascii="Times New Roman" w:hAnsi="Times New Roman" w:cs="Times New Roman"/>
          <w:sz w:val="16"/>
          <w:szCs w:val="16"/>
        </w:rPr>
        <w:t>Údaje o financovaní úsekov samosprávnych pôsobností obcí</w:t>
      </w:r>
    </w:p>
    <w:tbl>
      <w:tblPr>
        <w:tblStyle w:val="Mriekatabuky"/>
        <w:tblW w:w="0" w:type="auto"/>
        <w:tblLook w:val="04A0" w:firstRow="1" w:lastRow="0" w:firstColumn="1" w:lastColumn="0" w:noHBand="0" w:noVBand="1"/>
      </w:tblPr>
      <w:tblGrid>
        <w:gridCol w:w="2093"/>
        <w:gridCol w:w="2977"/>
        <w:gridCol w:w="1559"/>
        <w:gridCol w:w="1559"/>
        <w:gridCol w:w="1478"/>
      </w:tblGrid>
      <w:tr w:rsidR="0041596A" w:rsidRPr="009766D2" w:rsidTr="00E430CB">
        <w:trPr>
          <w:trHeight w:val="240"/>
        </w:trPr>
        <w:tc>
          <w:tcPr>
            <w:tcW w:w="2093" w:type="dxa"/>
            <w:vMerge w:val="restart"/>
            <w:tcBorders>
              <w:top w:val="single" w:sz="8" w:space="0" w:color="auto"/>
              <w:left w:val="single" w:sz="8" w:space="0" w:color="auto"/>
              <w:bottom w:val="single" w:sz="8" w:space="0" w:color="auto"/>
              <w:right w:val="single" w:sz="8" w:space="0" w:color="auto"/>
            </w:tcBorders>
            <w:vAlign w:val="center"/>
          </w:tcPr>
          <w:p w:rsidR="0041596A" w:rsidRPr="00F5023D" w:rsidRDefault="00F5023D" w:rsidP="00F5023D">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m</w:t>
            </w:r>
            <w:r w:rsidR="0041596A" w:rsidRPr="00F5023D">
              <w:rPr>
                <w:rFonts w:ascii="Times New Roman" w:hAnsi="Times New Roman" w:cs="Times New Roman"/>
                <w:sz w:val="16"/>
                <w:szCs w:val="16"/>
              </w:rPr>
              <w:t>inisterstv</w:t>
            </w:r>
            <w:r w:rsidRPr="00F5023D">
              <w:rPr>
                <w:rFonts w:ascii="Times New Roman" w:hAnsi="Times New Roman" w:cs="Times New Roman"/>
                <w:sz w:val="16"/>
                <w:szCs w:val="16"/>
              </w:rPr>
              <w:t>á</w:t>
            </w:r>
          </w:p>
        </w:tc>
        <w:tc>
          <w:tcPr>
            <w:tcW w:w="2977" w:type="dxa"/>
            <w:vMerge w:val="restart"/>
            <w:tcBorders>
              <w:top w:val="single" w:sz="8" w:space="0" w:color="auto"/>
              <w:left w:val="single" w:sz="8" w:space="0" w:color="auto"/>
              <w:bottom w:val="single" w:sz="8" w:space="0" w:color="auto"/>
              <w:right w:val="single" w:sz="8" w:space="0" w:color="auto"/>
            </w:tcBorders>
            <w:vAlign w:val="center"/>
          </w:tcPr>
          <w:p w:rsidR="0041596A" w:rsidRPr="00F5023D" w:rsidRDefault="00F5023D"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ú</w:t>
            </w:r>
            <w:r w:rsidR="0041596A" w:rsidRPr="00F5023D">
              <w:rPr>
                <w:rFonts w:ascii="Times New Roman" w:hAnsi="Times New Roman" w:cs="Times New Roman"/>
                <w:sz w:val="16"/>
                <w:szCs w:val="16"/>
              </w:rPr>
              <w:t>seky, na ktorých obce vykonávajú samosprávne pôsobnosti</w:t>
            </w:r>
          </w:p>
        </w:tc>
        <w:tc>
          <w:tcPr>
            <w:tcW w:w="4596" w:type="dxa"/>
            <w:gridSpan w:val="3"/>
            <w:tcBorders>
              <w:top w:val="single" w:sz="8" w:space="0" w:color="auto"/>
              <w:left w:val="single" w:sz="8" w:space="0" w:color="auto"/>
              <w:bottom w:val="single" w:sz="8" w:space="0" w:color="auto"/>
              <w:right w:val="single" w:sz="8" w:space="0" w:color="auto"/>
            </w:tcBorders>
            <w:vAlign w:val="center"/>
          </w:tcPr>
          <w:p w:rsidR="0041596A" w:rsidRPr="00F5023D" w:rsidRDefault="00F5023D"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o</w:t>
            </w:r>
            <w:r w:rsidR="0041596A" w:rsidRPr="00F5023D">
              <w:rPr>
                <w:rFonts w:ascii="Times New Roman" w:hAnsi="Times New Roman" w:cs="Times New Roman"/>
                <w:sz w:val="16"/>
                <w:szCs w:val="16"/>
              </w:rPr>
              <w:t>bce (v tis. EUR)</w:t>
            </w:r>
          </w:p>
        </w:tc>
      </w:tr>
      <w:tr w:rsidR="0041596A" w:rsidRPr="009766D2" w:rsidTr="00E430CB">
        <w:tc>
          <w:tcPr>
            <w:tcW w:w="2093" w:type="dxa"/>
            <w:vMerge/>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rPr>
                <w:rFonts w:ascii="Times New Roman" w:hAnsi="Times New Roman" w:cs="Times New Roman"/>
                <w:sz w:val="16"/>
                <w:szCs w:val="16"/>
              </w:rPr>
            </w:pPr>
          </w:p>
        </w:tc>
        <w:tc>
          <w:tcPr>
            <w:tcW w:w="2977" w:type="dxa"/>
            <w:vMerge/>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rPr>
                <w:rFonts w:ascii="Times New Roman" w:hAnsi="Times New Roman" w:cs="Times New Roman"/>
                <w:sz w:val="16"/>
                <w:szCs w:val="16"/>
              </w:rPr>
            </w:pPr>
          </w:p>
        </w:tc>
        <w:tc>
          <w:tcPr>
            <w:tcW w:w="1559" w:type="dxa"/>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2001</w:t>
            </w:r>
          </w:p>
        </w:tc>
        <w:tc>
          <w:tcPr>
            <w:tcW w:w="1559" w:type="dxa"/>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2005</w:t>
            </w:r>
          </w:p>
        </w:tc>
        <w:tc>
          <w:tcPr>
            <w:tcW w:w="1478" w:type="dxa"/>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2011</w:t>
            </w:r>
          </w:p>
        </w:tc>
      </w:tr>
      <w:tr w:rsidR="0041596A" w:rsidRPr="009766D2" w:rsidTr="007B7B9A">
        <w:tc>
          <w:tcPr>
            <w:tcW w:w="2093" w:type="dxa"/>
            <w:tcBorders>
              <w:top w:val="single" w:sz="12" w:space="0" w:color="auto"/>
            </w:tcBorders>
            <w:vAlign w:val="center"/>
          </w:tcPr>
          <w:p w:rsidR="0041596A" w:rsidRPr="00B251C7" w:rsidRDefault="0041596A" w:rsidP="00E430CB">
            <w:pPr>
              <w:spacing w:after="0" w:line="240" w:lineRule="auto"/>
              <w:rPr>
                <w:rFonts w:ascii="Times New Roman" w:hAnsi="Times New Roman" w:cs="Times New Roman"/>
                <w:sz w:val="18"/>
                <w:szCs w:val="18"/>
              </w:rPr>
            </w:pPr>
            <w:r w:rsidRPr="00B251C7">
              <w:rPr>
                <w:rFonts w:ascii="Times New Roman" w:hAnsi="Times New Roman" w:cs="Times New Roman"/>
                <w:sz w:val="18"/>
                <w:szCs w:val="18"/>
              </w:rPr>
              <w:t>MDVRR SR</w:t>
            </w:r>
          </w:p>
        </w:tc>
        <w:tc>
          <w:tcPr>
            <w:tcW w:w="2977" w:type="dxa"/>
            <w:tcBorders>
              <w:top w:val="single" w:sz="12" w:space="0" w:color="auto"/>
            </w:tcBorders>
            <w:vAlign w:val="center"/>
          </w:tcPr>
          <w:p w:rsidR="0041596A" w:rsidRPr="00B251C7" w:rsidRDefault="0041596A" w:rsidP="00E430CB">
            <w:pPr>
              <w:spacing w:after="0" w:line="240" w:lineRule="auto"/>
              <w:rPr>
                <w:rFonts w:ascii="Times New Roman" w:hAnsi="Times New Roman" w:cs="Times New Roman"/>
                <w:sz w:val="18"/>
                <w:szCs w:val="18"/>
              </w:rPr>
            </w:pPr>
            <w:r w:rsidRPr="00B251C7">
              <w:rPr>
                <w:rFonts w:ascii="Times New Roman" w:hAnsi="Times New Roman" w:cs="Times New Roman"/>
                <w:sz w:val="18"/>
                <w:szCs w:val="18"/>
              </w:rPr>
              <w:t>úsek územného plánovania</w:t>
            </w:r>
          </w:p>
        </w:tc>
        <w:tc>
          <w:tcPr>
            <w:tcW w:w="1559" w:type="dxa"/>
            <w:tcBorders>
              <w:top w:val="single" w:sz="12" w:space="0" w:color="auto"/>
            </w:tcBorders>
            <w:vAlign w:val="center"/>
          </w:tcPr>
          <w:p w:rsidR="0041596A" w:rsidRPr="00B251C7" w:rsidRDefault="0041596A" w:rsidP="007B7B9A">
            <w:pPr>
              <w:spacing w:after="0"/>
              <w:jc w:val="center"/>
              <w:rPr>
                <w:rFonts w:ascii="Times New Roman" w:hAnsi="Times New Roman" w:cs="Times New Roman"/>
                <w:color w:val="000000"/>
                <w:sz w:val="18"/>
                <w:szCs w:val="18"/>
              </w:rPr>
            </w:pPr>
            <w:r w:rsidRPr="00B251C7">
              <w:rPr>
                <w:rFonts w:ascii="Times New Roman" w:hAnsi="Times New Roman" w:cs="Times New Roman"/>
                <w:color w:val="000000"/>
                <w:sz w:val="18"/>
                <w:szCs w:val="18"/>
              </w:rPr>
              <w:t>737,80</w:t>
            </w:r>
          </w:p>
        </w:tc>
        <w:tc>
          <w:tcPr>
            <w:tcW w:w="1559" w:type="dxa"/>
            <w:tcBorders>
              <w:top w:val="single" w:sz="12" w:space="0" w:color="auto"/>
            </w:tcBorders>
            <w:vAlign w:val="center"/>
          </w:tcPr>
          <w:p w:rsidR="0041596A" w:rsidRPr="00B251C7" w:rsidRDefault="0041596A" w:rsidP="007B7B9A">
            <w:pPr>
              <w:spacing w:after="0"/>
              <w:jc w:val="center"/>
              <w:rPr>
                <w:rFonts w:ascii="Times New Roman" w:hAnsi="Times New Roman" w:cs="Times New Roman"/>
                <w:color w:val="000000"/>
                <w:sz w:val="18"/>
                <w:szCs w:val="18"/>
              </w:rPr>
            </w:pPr>
            <w:r w:rsidRPr="00B251C7">
              <w:rPr>
                <w:rFonts w:ascii="Times New Roman" w:hAnsi="Times New Roman" w:cs="Times New Roman"/>
                <w:color w:val="000000"/>
                <w:sz w:val="18"/>
                <w:szCs w:val="18"/>
              </w:rPr>
              <w:t>2 936,50</w:t>
            </w:r>
          </w:p>
        </w:tc>
        <w:tc>
          <w:tcPr>
            <w:tcW w:w="1478" w:type="dxa"/>
            <w:tcBorders>
              <w:top w:val="single" w:sz="12" w:space="0" w:color="auto"/>
            </w:tcBorders>
            <w:vAlign w:val="center"/>
          </w:tcPr>
          <w:p w:rsidR="0041596A" w:rsidRPr="00B251C7" w:rsidRDefault="0041596A" w:rsidP="007B7B9A">
            <w:pPr>
              <w:spacing w:after="0"/>
              <w:jc w:val="center"/>
              <w:rPr>
                <w:rFonts w:ascii="Times New Roman" w:hAnsi="Times New Roman" w:cs="Times New Roman"/>
                <w:color w:val="000000"/>
                <w:sz w:val="18"/>
                <w:szCs w:val="18"/>
              </w:rPr>
            </w:pPr>
            <w:r w:rsidRPr="00B251C7">
              <w:rPr>
                <w:rFonts w:ascii="Times New Roman" w:hAnsi="Times New Roman" w:cs="Times New Roman"/>
                <w:color w:val="000000"/>
                <w:sz w:val="18"/>
                <w:szCs w:val="18"/>
              </w:rPr>
              <w:t>3 025,50</w:t>
            </w:r>
          </w:p>
        </w:tc>
      </w:tr>
      <w:tr w:rsidR="0041596A" w:rsidRPr="009766D2" w:rsidTr="007B7B9A">
        <w:tc>
          <w:tcPr>
            <w:tcW w:w="2093" w:type="dxa"/>
            <w:vAlign w:val="center"/>
          </w:tcPr>
          <w:p w:rsidR="0041596A" w:rsidRPr="00B251C7" w:rsidRDefault="007B7B9A" w:rsidP="00E430CB">
            <w:pPr>
              <w:spacing w:after="0" w:line="240" w:lineRule="auto"/>
              <w:rPr>
                <w:rFonts w:ascii="Times New Roman" w:hAnsi="Times New Roman" w:cs="Times New Roman"/>
                <w:sz w:val="18"/>
                <w:szCs w:val="18"/>
              </w:rPr>
            </w:pPr>
            <w:r>
              <w:rPr>
                <w:rFonts w:ascii="Times New Roman" w:hAnsi="Times New Roman" w:cs="Times New Roman"/>
                <w:sz w:val="18"/>
                <w:szCs w:val="18"/>
              </w:rPr>
              <w:t>MK SR</w:t>
            </w:r>
          </w:p>
        </w:tc>
        <w:tc>
          <w:tcPr>
            <w:tcW w:w="2977" w:type="dxa"/>
            <w:vAlign w:val="center"/>
          </w:tcPr>
          <w:p w:rsidR="0041596A" w:rsidRPr="00B251C7" w:rsidRDefault="007B7B9A" w:rsidP="00E430CB">
            <w:pPr>
              <w:spacing w:after="0" w:line="240" w:lineRule="auto"/>
              <w:rPr>
                <w:rFonts w:ascii="Times New Roman" w:hAnsi="Times New Roman" w:cs="Times New Roman"/>
                <w:sz w:val="18"/>
                <w:szCs w:val="18"/>
              </w:rPr>
            </w:pPr>
            <w:r>
              <w:rPr>
                <w:rFonts w:ascii="Times New Roman" w:hAnsi="Times New Roman" w:cs="Times New Roman"/>
                <w:sz w:val="18"/>
                <w:szCs w:val="18"/>
              </w:rPr>
              <w:t>úsek inštitucionálnej kultúry</w:t>
            </w:r>
          </w:p>
        </w:tc>
        <w:tc>
          <w:tcPr>
            <w:tcW w:w="1559" w:type="dxa"/>
            <w:vAlign w:val="center"/>
          </w:tcPr>
          <w:p w:rsidR="0041596A" w:rsidRPr="00B251C7" w:rsidRDefault="0041596A" w:rsidP="007B7B9A">
            <w:pPr>
              <w:spacing w:after="0"/>
              <w:jc w:val="center"/>
              <w:rPr>
                <w:rFonts w:ascii="Times New Roman" w:hAnsi="Times New Roman" w:cs="Times New Roman"/>
                <w:color w:val="000000"/>
                <w:sz w:val="18"/>
                <w:szCs w:val="18"/>
              </w:rPr>
            </w:pPr>
            <w:r w:rsidRPr="00B251C7">
              <w:rPr>
                <w:rFonts w:ascii="Times New Roman" w:hAnsi="Times New Roman" w:cs="Times New Roman"/>
                <w:color w:val="000000"/>
                <w:sz w:val="18"/>
                <w:szCs w:val="18"/>
              </w:rPr>
              <w:t>872,00</w:t>
            </w:r>
          </w:p>
        </w:tc>
        <w:tc>
          <w:tcPr>
            <w:tcW w:w="1559" w:type="dxa"/>
            <w:vAlign w:val="center"/>
          </w:tcPr>
          <w:p w:rsidR="0041596A" w:rsidRPr="00B251C7" w:rsidRDefault="0041596A" w:rsidP="007B7B9A">
            <w:pPr>
              <w:spacing w:after="0"/>
              <w:jc w:val="center"/>
              <w:rPr>
                <w:rFonts w:ascii="Times New Roman" w:hAnsi="Times New Roman" w:cs="Times New Roman"/>
                <w:color w:val="000000"/>
                <w:sz w:val="18"/>
                <w:szCs w:val="18"/>
              </w:rPr>
            </w:pPr>
            <w:r w:rsidRPr="00B251C7">
              <w:rPr>
                <w:rFonts w:ascii="Times New Roman" w:hAnsi="Times New Roman" w:cs="Times New Roman"/>
                <w:color w:val="000000"/>
                <w:sz w:val="18"/>
                <w:szCs w:val="18"/>
              </w:rPr>
              <w:t>26 368,00</w:t>
            </w:r>
          </w:p>
        </w:tc>
        <w:tc>
          <w:tcPr>
            <w:tcW w:w="1478" w:type="dxa"/>
            <w:vAlign w:val="center"/>
          </w:tcPr>
          <w:p w:rsidR="0041596A" w:rsidRPr="00B251C7" w:rsidRDefault="0041596A" w:rsidP="007B7B9A">
            <w:pPr>
              <w:spacing w:after="0"/>
              <w:jc w:val="center"/>
              <w:rPr>
                <w:rFonts w:ascii="Times New Roman" w:hAnsi="Times New Roman" w:cs="Times New Roman"/>
                <w:color w:val="000000"/>
                <w:sz w:val="18"/>
                <w:szCs w:val="18"/>
              </w:rPr>
            </w:pPr>
            <w:r w:rsidRPr="00B251C7">
              <w:rPr>
                <w:rFonts w:ascii="Times New Roman" w:hAnsi="Times New Roman" w:cs="Times New Roman"/>
                <w:color w:val="000000"/>
                <w:sz w:val="18"/>
                <w:szCs w:val="18"/>
              </w:rPr>
              <w:t>41 833,00</w:t>
            </w:r>
          </w:p>
        </w:tc>
      </w:tr>
      <w:tr w:rsidR="00D668B9" w:rsidRPr="009766D2" w:rsidTr="007B7B9A">
        <w:tc>
          <w:tcPr>
            <w:tcW w:w="2093" w:type="dxa"/>
            <w:vAlign w:val="center"/>
          </w:tcPr>
          <w:p w:rsidR="00D668B9" w:rsidRPr="00B251C7" w:rsidRDefault="00D668B9" w:rsidP="00E430C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MŠVVŠ SR </w:t>
            </w:r>
          </w:p>
        </w:tc>
        <w:tc>
          <w:tcPr>
            <w:tcW w:w="2977" w:type="dxa"/>
            <w:vAlign w:val="center"/>
          </w:tcPr>
          <w:p w:rsidR="00D668B9" w:rsidRPr="00B251C7" w:rsidRDefault="00D668B9" w:rsidP="00D668B9">
            <w:pPr>
              <w:spacing w:after="0" w:line="240" w:lineRule="auto"/>
              <w:rPr>
                <w:rFonts w:ascii="Times New Roman" w:hAnsi="Times New Roman" w:cs="Times New Roman"/>
                <w:sz w:val="18"/>
                <w:szCs w:val="18"/>
              </w:rPr>
            </w:pPr>
            <w:r>
              <w:rPr>
                <w:rFonts w:ascii="Times New Roman" w:hAnsi="Times New Roman" w:cs="Times New Roman"/>
                <w:sz w:val="18"/>
                <w:szCs w:val="18"/>
              </w:rPr>
              <w:t>úsek školstva (zriaďovateľská pôsobnosť vo vzťahu k ZUŠ, MŠ, ŠKD, ŠSZČ, CVČ, zariadeniam školského stravovania pre ZŠ a MŠ, JŠ pri ZŠ, SSŠ, ŠI)</w:t>
            </w:r>
          </w:p>
        </w:tc>
        <w:tc>
          <w:tcPr>
            <w:tcW w:w="1559" w:type="dxa"/>
            <w:vAlign w:val="center"/>
          </w:tcPr>
          <w:p w:rsidR="00D668B9" w:rsidRPr="00B251C7" w:rsidRDefault="00D668B9" w:rsidP="007B7B9A">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559" w:type="dxa"/>
            <w:vAlign w:val="center"/>
          </w:tcPr>
          <w:p w:rsidR="00D668B9" w:rsidRPr="00B251C7" w:rsidRDefault="00D668B9" w:rsidP="007B7B9A">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353 336</w:t>
            </w:r>
          </w:p>
        </w:tc>
        <w:tc>
          <w:tcPr>
            <w:tcW w:w="1478" w:type="dxa"/>
            <w:vAlign w:val="center"/>
          </w:tcPr>
          <w:p w:rsidR="00D668B9" w:rsidRPr="00B251C7" w:rsidRDefault="00D668B9" w:rsidP="007B7B9A">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501 638</w:t>
            </w:r>
          </w:p>
        </w:tc>
      </w:tr>
      <w:tr w:rsidR="0041596A" w:rsidRPr="009766D2" w:rsidTr="007B7B9A">
        <w:trPr>
          <w:trHeight w:val="427"/>
        </w:trPr>
        <w:tc>
          <w:tcPr>
            <w:tcW w:w="2093" w:type="dxa"/>
            <w:vAlign w:val="center"/>
          </w:tcPr>
          <w:p w:rsidR="0041596A" w:rsidRPr="00B251C7" w:rsidRDefault="00E43DA0" w:rsidP="00E430CB">
            <w:pPr>
              <w:spacing w:after="0" w:line="240" w:lineRule="auto"/>
              <w:rPr>
                <w:rFonts w:ascii="Times New Roman" w:hAnsi="Times New Roman" w:cs="Times New Roman"/>
                <w:sz w:val="18"/>
                <w:szCs w:val="18"/>
              </w:rPr>
            </w:pPr>
            <w:r>
              <w:rPr>
                <w:rFonts w:ascii="Times New Roman" w:hAnsi="Times New Roman" w:cs="Times New Roman"/>
                <w:sz w:val="18"/>
                <w:szCs w:val="18"/>
              </w:rPr>
              <w:t>MZ SR</w:t>
            </w:r>
          </w:p>
        </w:tc>
        <w:tc>
          <w:tcPr>
            <w:tcW w:w="2977" w:type="dxa"/>
            <w:vAlign w:val="center"/>
          </w:tcPr>
          <w:p w:rsidR="0041596A" w:rsidRPr="00B251C7" w:rsidRDefault="0041596A" w:rsidP="00E430CB">
            <w:pPr>
              <w:spacing w:after="0" w:line="240" w:lineRule="auto"/>
              <w:rPr>
                <w:rFonts w:ascii="Times New Roman" w:hAnsi="Times New Roman" w:cs="Times New Roman"/>
                <w:sz w:val="18"/>
                <w:szCs w:val="18"/>
              </w:rPr>
            </w:pPr>
            <w:r w:rsidRPr="00B251C7">
              <w:rPr>
                <w:rFonts w:ascii="Times New Roman" w:hAnsi="Times New Roman" w:cs="Times New Roman"/>
                <w:sz w:val="18"/>
                <w:szCs w:val="18"/>
              </w:rPr>
              <w:t>úsek zdravotníctva (posudzovanie a kontrola hluku vo vonkajšom prostredí, + priestupky)</w:t>
            </w:r>
          </w:p>
        </w:tc>
        <w:tc>
          <w:tcPr>
            <w:tcW w:w="1559" w:type="dxa"/>
            <w:vAlign w:val="center"/>
          </w:tcPr>
          <w:p w:rsidR="0041596A" w:rsidRPr="00B251C7" w:rsidRDefault="00D668B9" w:rsidP="007B7B9A">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1 048,09</w:t>
            </w:r>
          </w:p>
        </w:tc>
        <w:tc>
          <w:tcPr>
            <w:tcW w:w="1559" w:type="dxa"/>
            <w:vAlign w:val="center"/>
          </w:tcPr>
          <w:p w:rsidR="0041596A" w:rsidRPr="00B251C7" w:rsidRDefault="00D668B9" w:rsidP="007B7B9A">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r w:rsidR="00082C28">
              <w:rPr>
                <w:rFonts w:ascii="Times New Roman" w:hAnsi="Times New Roman" w:cs="Times New Roman"/>
                <w:color w:val="000000"/>
                <w:sz w:val="18"/>
                <w:szCs w:val="18"/>
              </w:rPr>
              <w:t xml:space="preserve"> </w:t>
            </w:r>
            <w:r>
              <w:rPr>
                <w:rFonts w:ascii="Times New Roman" w:hAnsi="Times New Roman" w:cs="Times New Roman"/>
                <w:color w:val="000000"/>
                <w:sz w:val="18"/>
                <w:szCs w:val="18"/>
              </w:rPr>
              <w:t>521,82</w:t>
            </w:r>
          </w:p>
        </w:tc>
        <w:tc>
          <w:tcPr>
            <w:tcW w:w="1478" w:type="dxa"/>
            <w:vAlign w:val="center"/>
          </w:tcPr>
          <w:p w:rsidR="0041596A" w:rsidRPr="00B251C7" w:rsidRDefault="00D668B9" w:rsidP="007B7B9A">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4 101,17</w:t>
            </w:r>
          </w:p>
        </w:tc>
      </w:tr>
    </w:tbl>
    <w:p w:rsidR="004828E6" w:rsidRPr="00E81087" w:rsidRDefault="004828E6" w:rsidP="004828E6">
      <w:pPr>
        <w:pStyle w:val="Odsekzoznamu"/>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Vysvetlivk</w:t>
      </w:r>
      <w:r>
        <w:rPr>
          <w:rFonts w:ascii="Times New Roman" w:eastAsia="Times New Roman" w:hAnsi="Times New Roman" w:cs="Times New Roman"/>
          <w:sz w:val="16"/>
          <w:szCs w:val="16"/>
          <w:lang w:eastAsia="cs-CZ"/>
        </w:rPr>
        <w:t>a k tabuľke</w:t>
      </w:r>
      <w:r w:rsidRPr="00E81087">
        <w:rPr>
          <w:rFonts w:ascii="Times New Roman" w:eastAsia="Times New Roman" w:hAnsi="Times New Roman" w:cs="Times New Roman"/>
          <w:sz w:val="16"/>
          <w:szCs w:val="16"/>
          <w:lang w:eastAsia="cs-CZ"/>
        </w:rPr>
        <w:t>:</w:t>
      </w:r>
    </w:p>
    <w:p w:rsidR="004828E6" w:rsidRPr="004828E6" w:rsidRDefault="004828E6" w:rsidP="004828E6">
      <w:pPr>
        <w:keepNext/>
        <w:tabs>
          <w:tab w:val="left" w:pos="284"/>
        </w:tabs>
        <w:spacing w:after="120" w:line="240" w:lineRule="auto"/>
        <w:jc w:val="both"/>
        <w:rPr>
          <w:rFonts w:ascii="Times New Roman" w:hAnsi="Times New Roman" w:cs="Times New Roman"/>
        </w:rPr>
      </w:pPr>
      <w:r w:rsidRPr="00E81087">
        <w:rPr>
          <w:rFonts w:ascii="Times New Roman" w:eastAsia="Times New Roman" w:hAnsi="Times New Roman" w:cs="Times New Roman"/>
          <w:sz w:val="16"/>
          <w:szCs w:val="16"/>
          <w:lang w:eastAsia="cs-CZ"/>
        </w:rPr>
        <w:t xml:space="preserve">* </w:t>
      </w:r>
      <w:r w:rsidRPr="00E81087">
        <w:rPr>
          <w:rFonts w:ascii="Times New Roman" w:eastAsia="Times New Roman" w:hAnsi="Times New Roman" w:cs="Times New Roman"/>
          <w:sz w:val="16"/>
          <w:szCs w:val="16"/>
          <w:lang w:eastAsia="cs-CZ"/>
        </w:rPr>
        <w:tab/>
        <w:t xml:space="preserve">Nebolo možné vyčísliť nakoľko </w:t>
      </w:r>
      <w:r>
        <w:rPr>
          <w:rFonts w:ascii="Times New Roman" w:eastAsia="Times New Roman" w:hAnsi="Times New Roman" w:cs="Times New Roman"/>
          <w:sz w:val="16"/>
          <w:szCs w:val="16"/>
          <w:lang w:eastAsia="cs-CZ"/>
        </w:rPr>
        <w:t>ministerstvo nemá údaje k dispozícii.</w:t>
      </w:r>
    </w:p>
    <w:p w:rsidR="00127445" w:rsidRDefault="00127445" w:rsidP="00812B2D">
      <w:pPr>
        <w:keepNext/>
        <w:spacing w:before="120" w:after="120" w:line="240" w:lineRule="auto"/>
        <w:ind w:firstLine="709"/>
        <w:jc w:val="both"/>
        <w:rPr>
          <w:rFonts w:ascii="Times New Roman" w:eastAsia="Times New Roman" w:hAnsi="Times New Roman" w:cs="Times New Roman"/>
          <w:lang w:eastAsia="cs-CZ"/>
        </w:rPr>
      </w:pPr>
      <w:r w:rsidRPr="001153A0">
        <w:rPr>
          <w:rFonts w:ascii="Times New Roman" w:hAnsi="Times New Roman" w:cs="Times New Roman"/>
          <w:i/>
          <w:u w:val="single"/>
        </w:rPr>
        <w:t>Súhrnné zhodnotenie financovania</w:t>
      </w:r>
      <w:r>
        <w:rPr>
          <w:rFonts w:ascii="Times New Roman" w:hAnsi="Times New Roman" w:cs="Times New Roman"/>
          <w:i/>
          <w:u w:val="single"/>
        </w:rPr>
        <w:t xml:space="preserve"> samosprávnych pôsobností vykonávaných samosprávnymi krajmi</w:t>
      </w:r>
    </w:p>
    <w:p w:rsidR="0041596A" w:rsidRDefault="00B35792" w:rsidP="0041596A">
      <w:pPr>
        <w:spacing w:before="120" w:after="120" w:line="240" w:lineRule="auto"/>
        <w:ind w:firstLine="709"/>
        <w:jc w:val="both"/>
        <w:rPr>
          <w:rFonts w:ascii="Times New Roman" w:eastAsia="Times New Roman" w:hAnsi="Times New Roman" w:cs="Times New Roman"/>
          <w:lang w:eastAsia="cs-CZ"/>
        </w:rPr>
      </w:pPr>
      <w:r>
        <w:rPr>
          <w:rFonts w:ascii="Times New Roman" w:eastAsia="Times New Roman" w:hAnsi="Times New Roman" w:cs="Times New Roman"/>
          <w:lang w:eastAsia="cs-CZ"/>
        </w:rPr>
        <w:t>Z 10 ministerstiev ú</w:t>
      </w:r>
      <w:r w:rsidR="00127445">
        <w:rPr>
          <w:rFonts w:ascii="Times New Roman" w:eastAsia="Times New Roman" w:hAnsi="Times New Roman" w:cs="Times New Roman"/>
          <w:lang w:eastAsia="cs-CZ"/>
        </w:rPr>
        <w:t>daje poskytli len</w:t>
      </w:r>
      <w:r>
        <w:rPr>
          <w:rFonts w:ascii="Times New Roman" w:eastAsia="Times New Roman" w:hAnsi="Times New Roman" w:cs="Times New Roman"/>
          <w:lang w:eastAsia="cs-CZ"/>
        </w:rPr>
        <w:t xml:space="preserve"> 4</w:t>
      </w:r>
      <w:r w:rsidR="00127445">
        <w:rPr>
          <w:rFonts w:ascii="Times New Roman" w:eastAsia="Times New Roman" w:hAnsi="Times New Roman" w:cs="Times New Roman"/>
          <w:lang w:eastAsia="cs-CZ"/>
        </w:rPr>
        <w:t>:</w:t>
      </w:r>
    </w:p>
    <w:p w:rsidR="00A04E37" w:rsidRPr="00A04E37" w:rsidRDefault="0097152D" w:rsidP="00A04E37">
      <w:pPr>
        <w:spacing w:before="120" w:after="120" w:line="240" w:lineRule="auto"/>
        <w:jc w:val="center"/>
        <w:rPr>
          <w:rFonts w:ascii="Times New Roman" w:eastAsia="Times New Roman" w:hAnsi="Times New Roman" w:cs="Times New Roman"/>
          <w:sz w:val="16"/>
          <w:szCs w:val="16"/>
          <w:lang w:eastAsia="cs-CZ"/>
        </w:rPr>
      </w:pPr>
      <w:r>
        <w:rPr>
          <w:rFonts w:ascii="Times New Roman" w:eastAsia="Times New Roman" w:hAnsi="Times New Roman" w:cs="Times New Roman"/>
          <w:b/>
          <w:sz w:val="16"/>
          <w:szCs w:val="16"/>
          <w:lang w:eastAsia="cs-CZ"/>
        </w:rPr>
        <w:t>Tabuľka 14</w:t>
      </w:r>
      <w:r w:rsidR="00CA48B7">
        <w:rPr>
          <w:rFonts w:ascii="Times New Roman" w:eastAsia="Times New Roman" w:hAnsi="Times New Roman" w:cs="Times New Roman"/>
          <w:b/>
          <w:sz w:val="16"/>
          <w:szCs w:val="16"/>
          <w:lang w:eastAsia="cs-CZ"/>
        </w:rPr>
        <w:t>:</w:t>
      </w:r>
      <w:r w:rsidR="00A04E37" w:rsidRPr="00A04E37">
        <w:rPr>
          <w:rFonts w:ascii="Times New Roman" w:eastAsia="Times New Roman" w:hAnsi="Times New Roman" w:cs="Times New Roman"/>
          <w:sz w:val="16"/>
          <w:szCs w:val="16"/>
          <w:lang w:eastAsia="cs-CZ"/>
        </w:rPr>
        <w:t xml:space="preserve"> Údaje o financovaní úsekov samosprávnych pôsobností</w:t>
      </w:r>
      <w:r w:rsidR="00A04E37">
        <w:rPr>
          <w:rFonts w:ascii="Times New Roman" w:eastAsia="Times New Roman" w:hAnsi="Times New Roman" w:cs="Times New Roman"/>
          <w:sz w:val="16"/>
          <w:szCs w:val="16"/>
          <w:lang w:eastAsia="cs-CZ"/>
        </w:rPr>
        <w:t xml:space="preserve"> samosprávnych krajov</w:t>
      </w:r>
    </w:p>
    <w:tbl>
      <w:tblPr>
        <w:tblStyle w:val="Mriekatabuky"/>
        <w:tblW w:w="0" w:type="auto"/>
        <w:tblLook w:val="04A0" w:firstRow="1" w:lastRow="0" w:firstColumn="1" w:lastColumn="0" w:noHBand="0" w:noVBand="1"/>
      </w:tblPr>
      <w:tblGrid>
        <w:gridCol w:w="2093"/>
        <w:gridCol w:w="2977"/>
        <w:gridCol w:w="1559"/>
        <w:gridCol w:w="1559"/>
        <w:gridCol w:w="1478"/>
      </w:tblGrid>
      <w:tr w:rsidR="0041596A" w:rsidRPr="009766D2" w:rsidTr="00E430CB">
        <w:trPr>
          <w:trHeight w:val="240"/>
        </w:trPr>
        <w:tc>
          <w:tcPr>
            <w:tcW w:w="2093" w:type="dxa"/>
            <w:vMerge w:val="restart"/>
            <w:tcBorders>
              <w:top w:val="single" w:sz="8" w:space="0" w:color="auto"/>
              <w:left w:val="single" w:sz="8" w:space="0" w:color="auto"/>
              <w:bottom w:val="single" w:sz="8" w:space="0" w:color="auto"/>
              <w:right w:val="single" w:sz="8" w:space="0" w:color="auto"/>
            </w:tcBorders>
            <w:vAlign w:val="center"/>
          </w:tcPr>
          <w:p w:rsidR="0041596A" w:rsidRPr="00F5023D" w:rsidRDefault="00F5023D" w:rsidP="00F5023D">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m</w:t>
            </w:r>
            <w:r w:rsidR="0041596A" w:rsidRPr="00F5023D">
              <w:rPr>
                <w:rFonts w:ascii="Times New Roman" w:hAnsi="Times New Roman" w:cs="Times New Roman"/>
                <w:sz w:val="16"/>
                <w:szCs w:val="16"/>
              </w:rPr>
              <w:t>inisterstv</w:t>
            </w:r>
            <w:r w:rsidRPr="00F5023D">
              <w:rPr>
                <w:rFonts w:ascii="Times New Roman" w:hAnsi="Times New Roman" w:cs="Times New Roman"/>
                <w:sz w:val="16"/>
                <w:szCs w:val="16"/>
              </w:rPr>
              <w:t>á</w:t>
            </w:r>
          </w:p>
        </w:tc>
        <w:tc>
          <w:tcPr>
            <w:tcW w:w="2977" w:type="dxa"/>
            <w:vMerge w:val="restart"/>
            <w:tcBorders>
              <w:top w:val="single" w:sz="8" w:space="0" w:color="auto"/>
              <w:left w:val="single" w:sz="8" w:space="0" w:color="auto"/>
              <w:bottom w:val="single" w:sz="8" w:space="0" w:color="auto"/>
              <w:right w:val="single" w:sz="8" w:space="0" w:color="auto"/>
            </w:tcBorders>
            <w:vAlign w:val="center"/>
          </w:tcPr>
          <w:p w:rsidR="0041596A" w:rsidRPr="00F5023D" w:rsidRDefault="00F5023D"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ú</w:t>
            </w:r>
            <w:r w:rsidR="0041596A" w:rsidRPr="00F5023D">
              <w:rPr>
                <w:rFonts w:ascii="Times New Roman" w:hAnsi="Times New Roman" w:cs="Times New Roman"/>
                <w:sz w:val="16"/>
                <w:szCs w:val="16"/>
              </w:rPr>
              <w:t>seky, na ktorých obce vykonávajú samosprávne pôsobnosti</w:t>
            </w:r>
          </w:p>
        </w:tc>
        <w:tc>
          <w:tcPr>
            <w:tcW w:w="4596" w:type="dxa"/>
            <w:gridSpan w:val="3"/>
            <w:tcBorders>
              <w:top w:val="single" w:sz="8" w:space="0" w:color="auto"/>
              <w:left w:val="single" w:sz="8" w:space="0" w:color="auto"/>
              <w:bottom w:val="single" w:sz="8" w:space="0" w:color="auto"/>
              <w:right w:val="single" w:sz="8" w:space="0" w:color="auto"/>
            </w:tcBorders>
            <w:vAlign w:val="center"/>
          </w:tcPr>
          <w:p w:rsidR="0041596A" w:rsidRPr="00F5023D" w:rsidRDefault="00F5023D"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s</w:t>
            </w:r>
            <w:r w:rsidR="0041596A" w:rsidRPr="00F5023D">
              <w:rPr>
                <w:rFonts w:ascii="Times New Roman" w:hAnsi="Times New Roman" w:cs="Times New Roman"/>
                <w:sz w:val="16"/>
                <w:szCs w:val="16"/>
              </w:rPr>
              <w:t>amosprávne kraje (v tis. EUR)</w:t>
            </w:r>
          </w:p>
        </w:tc>
      </w:tr>
      <w:tr w:rsidR="0041596A" w:rsidRPr="009766D2" w:rsidTr="00E430CB">
        <w:tc>
          <w:tcPr>
            <w:tcW w:w="2093" w:type="dxa"/>
            <w:vMerge/>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rPr>
                <w:rFonts w:ascii="Times New Roman" w:hAnsi="Times New Roman" w:cs="Times New Roman"/>
                <w:sz w:val="16"/>
                <w:szCs w:val="16"/>
              </w:rPr>
            </w:pPr>
          </w:p>
        </w:tc>
        <w:tc>
          <w:tcPr>
            <w:tcW w:w="2977" w:type="dxa"/>
            <w:vMerge/>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rPr>
                <w:rFonts w:ascii="Times New Roman" w:hAnsi="Times New Roman" w:cs="Times New Roman"/>
                <w:sz w:val="16"/>
                <w:szCs w:val="16"/>
              </w:rPr>
            </w:pPr>
          </w:p>
        </w:tc>
        <w:tc>
          <w:tcPr>
            <w:tcW w:w="1559" w:type="dxa"/>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2001</w:t>
            </w:r>
          </w:p>
        </w:tc>
        <w:tc>
          <w:tcPr>
            <w:tcW w:w="1559" w:type="dxa"/>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2005</w:t>
            </w:r>
          </w:p>
        </w:tc>
        <w:tc>
          <w:tcPr>
            <w:tcW w:w="1478" w:type="dxa"/>
            <w:tcBorders>
              <w:top w:val="single" w:sz="8" w:space="0" w:color="auto"/>
              <w:left w:val="single" w:sz="8" w:space="0" w:color="auto"/>
              <w:bottom w:val="single" w:sz="12" w:space="0" w:color="auto"/>
              <w:right w:val="single" w:sz="8" w:space="0" w:color="auto"/>
            </w:tcBorders>
            <w:vAlign w:val="center"/>
          </w:tcPr>
          <w:p w:rsidR="0041596A" w:rsidRPr="00F5023D" w:rsidRDefault="0041596A" w:rsidP="00E430CB">
            <w:pPr>
              <w:spacing w:after="0" w:line="240" w:lineRule="auto"/>
              <w:jc w:val="center"/>
              <w:rPr>
                <w:rFonts w:ascii="Times New Roman" w:hAnsi="Times New Roman" w:cs="Times New Roman"/>
                <w:sz w:val="16"/>
                <w:szCs w:val="16"/>
              </w:rPr>
            </w:pPr>
            <w:r w:rsidRPr="00F5023D">
              <w:rPr>
                <w:rFonts w:ascii="Times New Roman" w:hAnsi="Times New Roman" w:cs="Times New Roman"/>
                <w:sz w:val="16"/>
                <w:szCs w:val="16"/>
              </w:rPr>
              <w:t>2011</w:t>
            </w:r>
          </w:p>
        </w:tc>
      </w:tr>
      <w:tr w:rsidR="0041596A" w:rsidRPr="009766D2" w:rsidTr="007B7B9A">
        <w:tc>
          <w:tcPr>
            <w:tcW w:w="2093" w:type="dxa"/>
            <w:vMerge w:val="restart"/>
            <w:tcBorders>
              <w:top w:val="single" w:sz="12" w:space="0" w:color="auto"/>
            </w:tcBorders>
            <w:vAlign w:val="center"/>
          </w:tcPr>
          <w:p w:rsidR="0041596A" w:rsidRPr="00B251C7" w:rsidRDefault="0041596A" w:rsidP="00E430CB">
            <w:pPr>
              <w:spacing w:after="0" w:line="240" w:lineRule="auto"/>
              <w:rPr>
                <w:rFonts w:ascii="Times New Roman" w:hAnsi="Times New Roman" w:cs="Times New Roman"/>
                <w:sz w:val="18"/>
                <w:szCs w:val="18"/>
              </w:rPr>
            </w:pPr>
            <w:r w:rsidRPr="00B251C7">
              <w:rPr>
                <w:rFonts w:ascii="Times New Roman" w:hAnsi="Times New Roman" w:cs="Times New Roman"/>
                <w:sz w:val="18"/>
                <w:szCs w:val="18"/>
              </w:rPr>
              <w:t>MDVRR SR</w:t>
            </w:r>
          </w:p>
        </w:tc>
        <w:tc>
          <w:tcPr>
            <w:tcW w:w="2977" w:type="dxa"/>
            <w:tcBorders>
              <w:top w:val="single" w:sz="12" w:space="0" w:color="auto"/>
              <w:bottom w:val="single" w:sz="4" w:space="0" w:color="auto"/>
            </w:tcBorders>
            <w:vAlign w:val="center"/>
          </w:tcPr>
          <w:p w:rsidR="0041596A" w:rsidRPr="0055736B" w:rsidRDefault="0041596A" w:rsidP="00E430CB">
            <w:pPr>
              <w:spacing w:after="0"/>
              <w:rPr>
                <w:rFonts w:ascii="Times New Roman" w:hAnsi="Times New Roman" w:cs="Times New Roman"/>
                <w:color w:val="000000"/>
                <w:sz w:val="18"/>
                <w:szCs w:val="18"/>
              </w:rPr>
            </w:pPr>
            <w:r w:rsidRPr="0055736B">
              <w:rPr>
                <w:rFonts w:ascii="Times New Roman" w:hAnsi="Times New Roman" w:cs="Times New Roman"/>
                <w:color w:val="000000"/>
                <w:sz w:val="18"/>
                <w:szCs w:val="18"/>
              </w:rPr>
              <w:t>úsek dráh</w:t>
            </w:r>
          </w:p>
        </w:tc>
        <w:tc>
          <w:tcPr>
            <w:tcW w:w="1559" w:type="dxa"/>
            <w:tcBorders>
              <w:top w:val="single" w:sz="12" w:space="0" w:color="auto"/>
              <w:bottom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w:t>
            </w:r>
          </w:p>
        </w:tc>
        <w:tc>
          <w:tcPr>
            <w:tcW w:w="1559" w:type="dxa"/>
            <w:tcBorders>
              <w:top w:val="single" w:sz="12" w:space="0" w:color="auto"/>
              <w:bottom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11,21</w:t>
            </w:r>
          </w:p>
        </w:tc>
        <w:tc>
          <w:tcPr>
            <w:tcW w:w="1478" w:type="dxa"/>
            <w:tcBorders>
              <w:top w:val="single" w:sz="12" w:space="0" w:color="auto"/>
              <w:bottom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14,97</w:t>
            </w:r>
          </w:p>
        </w:tc>
      </w:tr>
      <w:tr w:rsidR="0041596A" w:rsidRPr="009766D2" w:rsidTr="007B7B9A">
        <w:tc>
          <w:tcPr>
            <w:tcW w:w="2093" w:type="dxa"/>
            <w:vMerge/>
            <w:vAlign w:val="center"/>
          </w:tcPr>
          <w:p w:rsidR="0041596A" w:rsidRPr="00B251C7" w:rsidRDefault="0041596A" w:rsidP="00E430CB">
            <w:pPr>
              <w:spacing w:after="0" w:line="240" w:lineRule="auto"/>
              <w:rPr>
                <w:rFonts w:ascii="Times New Roman" w:hAnsi="Times New Roman" w:cs="Times New Roman"/>
                <w:sz w:val="18"/>
                <w:szCs w:val="18"/>
              </w:rPr>
            </w:pPr>
          </w:p>
        </w:tc>
        <w:tc>
          <w:tcPr>
            <w:tcW w:w="2977" w:type="dxa"/>
            <w:tcBorders>
              <w:top w:val="single" w:sz="4" w:space="0" w:color="auto"/>
              <w:bottom w:val="single" w:sz="4" w:space="0" w:color="auto"/>
            </w:tcBorders>
            <w:vAlign w:val="center"/>
          </w:tcPr>
          <w:p w:rsidR="0041596A" w:rsidRPr="0055736B" w:rsidRDefault="0041596A" w:rsidP="00E430CB">
            <w:pPr>
              <w:spacing w:after="0"/>
              <w:rPr>
                <w:rFonts w:ascii="Times New Roman" w:hAnsi="Times New Roman" w:cs="Times New Roman"/>
                <w:color w:val="000000"/>
                <w:sz w:val="18"/>
                <w:szCs w:val="18"/>
              </w:rPr>
            </w:pPr>
            <w:r w:rsidRPr="0055736B">
              <w:rPr>
                <w:rFonts w:ascii="Times New Roman" w:hAnsi="Times New Roman" w:cs="Times New Roman"/>
                <w:color w:val="000000"/>
                <w:sz w:val="18"/>
                <w:szCs w:val="18"/>
              </w:rPr>
              <w:t>úsek cestnej dopravy</w:t>
            </w:r>
          </w:p>
        </w:tc>
        <w:tc>
          <w:tcPr>
            <w:tcW w:w="1559" w:type="dxa"/>
            <w:tcBorders>
              <w:top w:val="single" w:sz="4" w:space="0" w:color="auto"/>
              <w:bottom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w:t>
            </w:r>
          </w:p>
        </w:tc>
        <w:tc>
          <w:tcPr>
            <w:tcW w:w="1559" w:type="dxa"/>
            <w:tcBorders>
              <w:top w:val="single" w:sz="4" w:space="0" w:color="auto"/>
              <w:bottom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204 089,20</w:t>
            </w:r>
          </w:p>
        </w:tc>
        <w:tc>
          <w:tcPr>
            <w:tcW w:w="1478" w:type="dxa"/>
            <w:tcBorders>
              <w:top w:val="single" w:sz="4" w:space="0" w:color="auto"/>
              <w:bottom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262 485,87</w:t>
            </w:r>
          </w:p>
        </w:tc>
      </w:tr>
      <w:tr w:rsidR="0041596A" w:rsidRPr="009766D2" w:rsidTr="007B7B9A">
        <w:tc>
          <w:tcPr>
            <w:tcW w:w="2093" w:type="dxa"/>
            <w:vMerge/>
            <w:vAlign w:val="center"/>
          </w:tcPr>
          <w:p w:rsidR="0041596A" w:rsidRPr="00B251C7" w:rsidRDefault="0041596A" w:rsidP="00E430CB">
            <w:pPr>
              <w:spacing w:after="0" w:line="240" w:lineRule="auto"/>
              <w:rPr>
                <w:rFonts w:ascii="Times New Roman" w:hAnsi="Times New Roman" w:cs="Times New Roman"/>
                <w:sz w:val="18"/>
                <w:szCs w:val="18"/>
              </w:rPr>
            </w:pPr>
          </w:p>
        </w:tc>
        <w:tc>
          <w:tcPr>
            <w:tcW w:w="2977" w:type="dxa"/>
            <w:tcBorders>
              <w:top w:val="single" w:sz="4" w:space="0" w:color="auto"/>
            </w:tcBorders>
            <w:vAlign w:val="bottom"/>
          </w:tcPr>
          <w:p w:rsidR="0041596A" w:rsidRDefault="0041596A" w:rsidP="00E430CB">
            <w:pPr>
              <w:spacing w:after="0"/>
              <w:rPr>
                <w:rFonts w:ascii="Calibri" w:hAnsi="Calibri" w:cs="Calibri"/>
                <w:color w:val="000000"/>
                <w:sz w:val="16"/>
                <w:szCs w:val="16"/>
              </w:rPr>
            </w:pPr>
            <w:r w:rsidRPr="0055736B">
              <w:rPr>
                <w:rFonts w:ascii="Times New Roman" w:hAnsi="Times New Roman" w:cs="Times New Roman"/>
                <w:color w:val="000000"/>
                <w:sz w:val="18"/>
                <w:szCs w:val="18"/>
              </w:rPr>
              <w:t>úsek územného plánovania</w:t>
            </w:r>
          </w:p>
        </w:tc>
        <w:tc>
          <w:tcPr>
            <w:tcW w:w="1559" w:type="dxa"/>
            <w:tcBorders>
              <w:top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w:t>
            </w:r>
          </w:p>
        </w:tc>
        <w:tc>
          <w:tcPr>
            <w:tcW w:w="1559" w:type="dxa"/>
            <w:tcBorders>
              <w:top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547,50</w:t>
            </w:r>
          </w:p>
        </w:tc>
        <w:tc>
          <w:tcPr>
            <w:tcW w:w="1478" w:type="dxa"/>
            <w:tcBorders>
              <w:top w:val="single" w:sz="4" w:space="0" w:color="auto"/>
            </w:tcBorders>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802,60</w:t>
            </w:r>
          </w:p>
        </w:tc>
      </w:tr>
      <w:tr w:rsidR="0041596A" w:rsidRPr="009766D2" w:rsidTr="009F2349">
        <w:trPr>
          <w:trHeight w:val="132"/>
        </w:trPr>
        <w:tc>
          <w:tcPr>
            <w:tcW w:w="2093" w:type="dxa"/>
            <w:vAlign w:val="center"/>
          </w:tcPr>
          <w:p w:rsidR="0041596A" w:rsidRPr="00B251C7" w:rsidRDefault="0041596A" w:rsidP="00E430CB">
            <w:pPr>
              <w:spacing w:after="0" w:line="240" w:lineRule="auto"/>
              <w:rPr>
                <w:rFonts w:ascii="Times New Roman" w:hAnsi="Times New Roman" w:cs="Times New Roman"/>
                <w:sz w:val="18"/>
                <w:szCs w:val="18"/>
              </w:rPr>
            </w:pPr>
            <w:r w:rsidRPr="00B251C7">
              <w:rPr>
                <w:rFonts w:ascii="Times New Roman" w:hAnsi="Times New Roman" w:cs="Times New Roman"/>
                <w:sz w:val="18"/>
                <w:szCs w:val="18"/>
              </w:rPr>
              <w:t>MK SR</w:t>
            </w:r>
          </w:p>
        </w:tc>
        <w:tc>
          <w:tcPr>
            <w:tcW w:w="2977" w:type="dxa"/>
            <w:vAlign w:val="center"/>
          </w:tcPr>
          <w:p w:rsidR="0041596A" w:rsidRPr="00B251C7" w:rsidRDefault="0041596A" w:rsidP="00E430CB">
            <w:pPr>
              <w:spacing w:after="0" w:line="240" w:lineRule="auto"/>
              <w:rPr>
                <w:rFonts w:ascii="Times New Roman" w:hAnsi="Times New Roman" w:cs="Times New Roman"/>
                <w:sz w:val="18"/>
                <w:szCs w:val="18"/>
              </w:rPr>
            </w:pPr>
            <w:r w:rsidRPr="00B251C7">
              <w:rPr>
                <w:rFonts w:ascii="Times New Roman" w:hAnsi="Times New Roman" w:cs="Times New Roman"/>
                <w:sz w:val="18"/>
                <w:szCs w:val="18"/>
              </w:rPr>
              <w:t xml:space="preserve">úsek inštitucionálnej kultúry (zriaďovanie, zlučovanie a zrušovanie </w:t>
            </w:r>
            <w:r w:rsidRPr="00B251C7">
              <w:rPr>
                <w:rFonts w:ascii="Times New Roman" w:hAnsi="Times New Roman" w:cs="Times New Roman"/>
                <w:sz w:val="18"/>
                <w:szCs w:val="18"/>
              </w:rPr>
              <w:lastRenderedPageBreak/>
              <w:t>kultúrnych inštitúcií)</w:t>
            </w:r>
          </w:p>
        </w:tc>
        <w:tc>
          <w:tcPr>
            <w:tcW w:w="1559" w:type="dxa"/>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lastRenderedPageBreak/>
              <w:t>24 444,00</w:t>
            </w:r>
          </w:p>
        </w:tc>
        <w:tc>
          <w:tcPr>
            <w:tcW w:w="1559" w:type="dxa"/>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31 267,00</w:t>
            </w:r>
          </w:p>
        </w:tc>
        <w:tc>
          <w:tcPr>
            <w:tcW w:w="1478" w:type="dxa"/>
            <w:vAlign w:val="center"/>
          </w:tcPr>
          <w:p w:rsidR="0041596A" w:rsidRPr="0055736B" w:rsidRDefault="0041596A" w:rsidP="007B7B9A">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41 133,00</w:t>
            </w:r>
          </w:p>
        </w:tc>
      </w:tr>
      <w:tr w:rsidR="007B7B9A" w:rsidRPr="009766D2" w:rsidTr="007B7B9A">
        <w:trPr>
          <w:trHeight w:val="303"/>
        </w:trPr>
        <w:tc>
          <w:tcPr>
            <w:tcW w:w="2093" w:type="dxa"/>
            <w:vAlign w:val="center"/>
          </w:tcPr>
          <w:p w:rsidR="007B7B9A" w:rsidRPr="00B251C7" w:rsidRDefault="007B7B9A" w:rsidP="00A448CC">
            <w:pPr>
              <w:spacing w:after="0" w:line="240" w:lineRule="auto"/>
              <w:rPr>
                <w:rFonts w:ascii="Times New Roman" w:hAnsi="Times New Roman" w:cs="Times New Roman"/>
                <w:sz w:val="18"/>
                <w:szCs w:val="18"/>
              </w:rPr>
            </w:pPr>
            <w:r w:rsidRPr="00B251C7">
              <w:rPr>
                <w:rFonts w:ascii="Times New Roman" w:hAnsi="Times New Roman" w:cs="Times New Roman"/>
                <w:sz w:val="18"/>
                <w:szCs w:val="18"/>
              </w:rPr>
              <w:lastRenderedPageBreak/>
              <w:t>MŠVVŠ SR</w:t>
            </w:r>
          </w:p>
        </w:tc>
        <w:tc>
          <w:tcPr>
            <w:tcW w:w="2977" w:type="dxa"/>
            <w:vAlign w:val="center"/>
          </w:tcPr>
          <w:p w:rsidR="007B7B9A" w:rsidRPr="00B251C7" w:rsidRDefault="007B7B9A" w:rsidP="00A448CC">
            <w:pPr>
              <w:spacing w:after="0" w:line="240" w:lineRule="auto"/>
              <w:rPr>
                <w:rFonts w:ascii="Times New Roman" w:hAnsi="Times New Roman" w:cs="Times New Roman"/>
                <w:sz w:val="18"/>
                <w:szCs w:val="18"/>
              </w:rPr>
            </w:pPr>
            <w:r w:rsidRPr="0055736B">
              <w:rPr>
                <w:rFonts w:ascii="Times New Roman" w:hAnsi="Times New Roman" w:cs="Times New Roman"/>
                <w:sz w:val="18"/>
                <w:szCs w:val="18"/>
              </w:rPr>
              <w:t xml:space="preserve">úsek školstva (zriaďovateľská pôsobnosť vo vzťahu k ZUŠ, JŠ, ŠI, zariadeniam </w:t>
            </w:r>
            <w:proofErr w:type="spellStart"/>
            <w:r w:rsidRPr="0055736B">
              <w:rPr>
                <w:rFonts w:ascii="Times New Roman" w:hAnsi="Times New Roman" w:cs="Times New Roman"/>
                <w:sz w:val="18"/>
                <w:szCs w:val="18"/>
              </w:rPr>
              <w:t>škol</w:t>
            </w:r>
            <w:proofErr w:type="spellEnd"/>
            <w:r w:rsidRPr="0055736B">
              <w:rPr>
                <w:rFonts w:ascii="Times New Roman" w:hAnsi="Times New Roman" w:cs="Times New Roman"/>
                <w:sz w:val="18"/>
                <w:szCs w:val="18"/>
              </w:rPr>
              <w:t>. stravovania, ŠH a SOP, SSŠ, školám v prírode, CVČ, ŠSZČ)</w:t>
            </w:r>
          </w:p>
        </w:tc>
        <w:tc>
          <w:tcPr>
            <w:tcW w:w="1559" w:type="dxa"/>
            <w:vAlign w:val="center"/>
          </w:tcPr>
          <w:p w:rsidR="007B7B9A" w:rsidRPr="00B251C7" w:rsidRDefault="007B7B9A" w:rsidP="00A448CC">
            <w:pPr>
              <w:spacing w:after="0"/>
              <w:jc w:val="center"/>
              <w:rPr>
                <w:rFonts w:ascii="Times New Roman" w:hAnsi="Times New Roman" w:cs="Times New Roman"/>
                <w:color w:val="000000"/>
                <w:sz w:val="18"/>
                <w:szCs w:val="18"/>
              </w:rPr>
            </w:pPr>
            <w:r w:rsidRPr="00B251C7">
              <w:rPr>
                <w:rFonts w:ascii="Times New Roman" w:hAnsi="Times New Roman" w:cs="Times New Roman"/>
                <w:color w:val="000000"/>
                <w:sz w:val="18"/>
                <w:szCs w:val="18"/>
              </w:rPr>
              <w:t>*</w:t>
            </w:r>
          </w:p>
        </w:tc>
        <w:tc>
          <w:tcPr>
            <w:tcW w:w="1559" w:type="dxa"/>
            <w:vAlign w:val="center"/>
          </w:tcPr>
          <w:p w:rsidR="007B7B9A" w:rsidRPr="0055736B" w:rsidRDefault="007B7B9A" w:rsidP="00A448CC">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44 296,00</w:t>
            </w:r>
          </w:p>
        </w:tc>
        <w:tc>
          <w:tcPr>
            <w:tcW w:w="1478" w:type="dxa"/>
            <w:vAlign w:val="center"/>
          </w:tcPr>
          <w:p w:rsidR="007B7B9A" w:rsidRPr="0055736B" w:rsidRDefault="007B7B9A" w:rsidP="00A448CC">
            <w:pPr>
              <w:spacing w:after="0"/>
              <w:jc w:val="center"/>
              <w:rPr>
                <w:rFonts w:ascii="Times New Roman" w:hAnsi="Times New Roman" w:cs="Times New Roman"/>
                <w:color w:val="000000"/>
                <w:sz w:val="18"/>
                <w:szCs w:val="18"/>
              </w:rPr>
            </w:pPr>
            <w:r w:rsidRPr="0055736B">
              <w:rPr>
                <w:rFonts w:ascii="Times New Roman" w:hAnsi="Times New Roman" w:cs="Times New Roman"/>
                <w:color w:val="000000"/>
                <w:sz w:val="18"/>
                <w:szCs w:val="18"/>
              </w:rPr>
              <w:t>60 565,36</w:t>
            </w:r>
          </w:p>
        </w:tc>
      </w:tr>
      <w:tr w:rsidR="007B7B9A" w:rsidRPr="009766D2" w:rsidTr="007B7B9A">
        <w:trPr>
          <w:trHeight w:val="526"/>
        </w:trPr>
        <w:tc>
          <w:tcPr>
            <w:tcW w:w="2093" w:type="dxa"/>
            <w:vAlign w:val="center"/>
          </w:tcPr>
          <w:p w:rsidR="007B7B9A" w:rsidRPr="00B251C7" w:rsidRDefault="007B7B9A" w:rsidP="00A448CC">
            <w:pPr>
              <w:spacing w:after="0" w:line="240" w:lineRule="auto"/>
              <w:rPr>
                <w:rFonts w:ascii="Times New Roman" w:hAnsi="Times New Roman" w:cs="Times New Roman"/>
                <w:sz w:val="18"/>
                <w:szCs w:val="18"/>
              </w:rPr>
            </w:pPr>
            <w:r>
              <w:rPr>
                <w:rFonts w:ascii="Times New Roman" w:hAnsi="Times New Roman" w:cs="Times New Roman"/>
                <w:sz w:val="18"/>
                <w:szCs w:val="18"/>
              </w:rPr>
              <w:t>MZ SR</w:t>
            </w:r>
          </w:p>
        </w:tc>
        <w:tc>
          <w:tcPr>
            <w:tcW w:w="2977" w:type="dxa"/>
            <w:vAlign w:val="center"/>
          </w:tcPr>
          <w:p w:rsidR="007B7B9A" w:rsidRPr="00B251C7" w:rsidRDefault="007B7B9A" w:rsidP="00A448CC">
            <w:pPr>
              <w:spacing w:after="0" w:line="240" w:lineRule="auto"/>
              <w:rPr>
                <w:rFonts w:ascii="Times New Roman" w:hAnsi="Times New Roman" w:cs="Times New Roman"/>
                <w:sz w:val="18"/>
                <w:szCs w:val="18"/>
              </w:rPr>
            </w:pPr>
            <w:r>
              <w:rPr>
                <w:rFonts w:ascii="Times New Roman" w:hAnsi="Times New Roman" w:cs="Times New Roman"/>
                <w:sz w:val="18"/>
                <w:szCs w:val="18"/>
              </w:rPr>
              <w:t>úsek zriaďovania polikliník a nemocníc s poliklinikou II. typu</w:t>
            </w:r>
          </w:p>
        </w:tc>
        <w:tc>
          <w:tcPr>
            <w:tcW w:w="1559" w:type="dxa"/>
            <w:vAlign w:val="center"/>
          </w:tcPr>
          <w:p w:rsidR="007B7B9A" w:rsidRPr="0055736B" w:rsidRDefault="007B7B9A" w:rsidP="00A448CC">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c>
          <w:tcPr>
            <w:tcW w:w="1559" w:type="dxa"/>
            <w:vAlign w:val="center"/>
          </w:tcPr>
          <w:p w:rsidR="007B7B9A" w:rsidRPr="0055736B" w:rsidRDefault="007B7B9A" w:rsidP="001066F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154</w:t>
            </w:r>
            <w:r w:rsidR="001066F9">
              <w:rPr>
                <w:rFonts w:ascii="Times New Roman" w:hAnsi="Times New Roman" w:cs="Times New Roman"/>
                <w:color w:val="000000"/>
                <w:sz w:val="18"/>
                <w:szCs w:val="18"/>
              </w:rPr>
              <w:t>,</w:t>
            </w:r>
            <w:r>
              <w:rPr>
                <w:rFonts w:ascii="Times New Roman" w:hAnsi="Times New Roman" w:cs="Times New Roman"/>
                <w:color w:val="000000"/>
                <w:sz w:val="18"/>
                <w:szCs w:val="18"/>
              </w:rPr>
              <w:t>8</w:t>
            </w:r>
            <w:r w:rsidR="001066F9">
              <w:rPr>
                <w:rFonts w:ascii="Times New Roman" w:hAnsi="Times New Roman" w:cs="Times New Roman"/>
                <w:color w:val="000000"/>
                <w:sz w:val="18"/>
                <w:szCs w:val="18"/>
              </w:rPr>
              <w:t>8</w:t>
            </w:r>
          </w:p>
        </w:tc>
        <w:tc>
          <w:tcPr>
            <w:tcW w:w="1478" w:type="dxa"/>
            <w:vAlign w:val="center"/>
          </w:tcPr>
          <w:p w:rsidR="007B7B9A" w:rsidRPr="0055736B" w:rsidRDefault="007B7B9A" w:rsidP="001066F9">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rPr>
              <w:t>239</w:t>
            </w:r>
            <w:r w:rsidR="001066F9">
              <w:rPr>
                <w:rFonts w:ascii="Times New Roman" w:hAnsi="Times New Roman" w:cs="Times New Roman"/>
                <w:color w:val="000000"/>
                <w:sz w:val="18"/>
                <w:szCs w:val="18"/>
              </w:rPr>
              <w:t>,08</w:t>
            </w:r>
          </w:p>
        </w:tc>
      </w:tr>
    </w:tbl>
    <w:p w:rsidR="004828E6" w:rsidRPr="00E81087" w:rsidRDefault="004828E6" w:rsidP="004828E6">
      <w:pPr>
        <w:pStyle w:val="Odsekzoznamu"/>
        <w:spacing w:after="0" w:line="240" w:lineRule="auto"/>
        <w:ind w:left="0"/>
        <w:jc w:val="both"/>
        <w:rPr>
          <w:rFonts w:ascii="Times New Roman" w:eastAsia="Times New Roman" w:hAnsi="Times New Roman" w:cs="Times New Roman"/>
          <w:sz w:val="16"/>
          <w:szCs w:val="16"/>
          <w:lang w:eastAsia="cs-CZ"/>
        </w:rPr>
      </w:pPr>
      <w:r w:rsidRPr="00E81087">
        <w:rPr>
          <w:rFonts w:ascii="Times New Roman" w:eastAsia="Times New Roman" w:hAnsi="Times New Roman" w:cs="Times New Roman"/>
          <w:sz w:val="16"/>
          <w:szCs w:val="16"/>
          <w:lang w:eastAsia="cs-CZ"/>
        </w:rPr>
        <w:t>Vysvetlivk</w:t>
      </w:r>
      <w:r>
        <w:rPr>
          <w:rFonts w:ascii="Times New Roman" w:eastAsia="Times New Roman" w:hAnsi="Times New Roman" w:cs="Times New Roman"/>
          <w:sz w:val="16"/>
          <w:szCs w:val="16"/>
          <w:lang w:eastAsia="cs-CZ"/>
        </w:rPr>
        <w:t>a k tabuľke</w:t>
      </w:r>
      <w:r w:rsidRPr="00E81087">
        <w:rPr>
          <w:rFonts w:ascii="Times New Roman" w:eastAsia="Times New Roman" w:hAnsi="Times New Roman" w:cs="Times New Roman"/>
          <w:sz w:val="16"/>
          <w:szCs w:val="16"/>
          <w:lang w:eastAsia="cs-CZ"/>
        </w:rPr>
        <w:t>:</w:t>
      </w:r>
    </w:p>
    <w:p w:rsidR="004828E6" w:rsidRPr="004828E6" w:rsidRDefault="004828E6" w:rsidP="004828E6">
      <w:pPr>
        <w:keepNext/>
        <w:tabs>
          <w:tab w:val="left" w:pos="284"/>
        </w:tabs>
        <w:spacing w:after="120" w:line="240" w:lineRule="auto"/>
        <w:jc w:val="both"/>
        <w:rPr>
          <w:rFonts w:ascii="Times New Roman" w:hAnsi="Times New Roman" w:cs="Times New Roman"/>
        </w:rPr>
      </w:pPr>
      <w:r w:rsidRPr="00E81087">
        <w:rPr>
          <w:rFonts w:ascii="Times New Roman" w:eastAsia="Times New Roman" w:hAnsi="Times New Roman" w:cs="Times New Roman"/>
          <w:sz w:val="16"/>
          <w:szCs w:val="16"/>
          <w:lang w:eastAsia="cs-CZ"/>
        </w:rPr>
        <w:t xml:space="preserve">* </w:t>
      </w:r>
      <w:r w:rsidRPr="00E81087">
        <w:rPr>
          <w:rFonts w:ascii="Times New Roman" w:eastAsia="Times New Roman" w:hAnsi="Times New Roman" w:cs="Times New Roman"/>
          <w:sz w:val="16"/>
          <w:szCs w:val="16"/>
          <w:lang w:eastAsia="cs-CZ"/>
        </w:rPr>
        <w:tab/>
        <w:t xml:space="preserve">Nebolo možné vyčísliť nakoľko </w:t>
      </w:r>
      <w:r>
        <w:rPr>
          <w:rFonts w:ascii="Times New Roman" w:eastAsia="Times New Roman" w:hAnsi="Times New Roman" w:cs="Times New Roman"/>
          <w:sz w:val="16"/>
          <w:szCs w:val="16"/>
          <w:lang w:eastAsia="cs-CZ"/>
        </w:rPr>
        <w:t>ministerstvo nemá údaje k dispozícii.</w:t>
      </w:r>
    </w:p>
    <w:p w:rsidR="0001740F" w:rsidRPr="00127445" w:rsidRDefault="0001740F" w:rsidP="00127445">
      <w:pPr>
        <w:keepNext/>
        <w:spacing w:before="120" w:after="0" w:line="240" w:lineRule="auto"/>
        <w:ind w:firstLine="709"/>
        <w:jc w:val="both"/>
        <w:rPr>
          <w:rFonts w:ascii="Times New Roman" w:hAnsi="Times New Roman" w:cs="Times New Roman"/>
          <w:i/>
          <w:u w:val="single"/>
        </w:rPr>
      </w:pPr>
      <w:r w:rsidRPr="00127445">
        <w:rPr>
          <w:rFonts w:ascii="Times New Roman" w:hAnsi="Times New Roman" w:cs="Times New Roman"/>
          <w:i/>
          <w:u w:val="single"/>
        </w:rPr>
        <w:t>Súhrnné zhodnotenie financovania výkonu samosprávnych pôsobností</w:t>
      </w:r>
    </w:p>
    <w:p w:rsidR="0001740F" w:rsidRDefault="00127445" w:rsidP="0001740F">
      <w:pPr>
        <w:spacing w:before="120"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Zo správ ministerstiev vyplývajú</w:t>
      </w:r>
      <w:r w:rsidR="0001740F">
        <w:rPr>
          <w:rFonts w:ascii="Times New Roman" w:eastAsia="Times New Roman" w:hAnsi="Times New Roman" w:cs="Times New Roman"/>
          <w:lang w:eastAsia="cs-CZ"/>
        </w:rPr>
        <w:t xml:space="preserve"> predovšetkým tieto spoločné črty </w:t>
      </w:r>
      <w:r>
        <w:rPr>
          <w:rFonts w:ascii="Times New Roman" w:eastAsia="Times New Roman" w:hAnsi="Times New Roman" w:cs="Times New Roman"/>
          <w:lang w:eastAsia="cs-CZ"/>
        </w:rPr>
        <w:t>týkajúce sa financovania</w:t>
      </w:r>
      <w:r w:rsidR="0001740F">
        <w:rPr>
          <w:rFonts w:ascii="Times New Roman" w:eastAsia="Times New Roman" w:hAnsi="Times New Roman" w:cs="Times New Roman"/>
          <w:lang w:eastAsia="cs-CZ"/>
        </w:rPr>
        <w:t>:</w:t>
      </w:r>
    </w:p>
    <w:p w:rsidR="0001740F" w:rsidRDefault="00F615B3" w:rsidP="0001740F">
      <w:pPr>
        <w:pStyle w:val="Odsekzoznamu"/>
        <w:numPr>
          <w:ilvl w:val="0"/>
          <w:numId w:val="21"/>
        </w:numPr>
        <w:tabs>
          <w:tab w:val="clear" w:pos="340"/>
        </w:tabs>
        <w:spacing w:before="60" w:after="0" w:line="240" w:lineRule="auto"/>
        <w:ind w:left="426"/>
        <w:jc w:val="both"/>
        <w:rPr>
          <w:rFonts w:ascii="Times New Roman" w:hAnsi="Times New Roman" w:cs="Times New Roman"/>
        </w:rPr>
      </w:pPr>
      <w:r>
        <w:rPr>
          <w:rFonts w:ascii="Times New Roman" w:eastAsia="Times New Roman" w:hAnsi="Times New Roman" w:cs="Times New Roman"/>
          <w:lang w:eastAsia="cs-CZ"/>
        </w:rPr>
        <w:t>Ministerstvá</w:t>
      </w:r>
      <w:r w:rsidR="0001740F">
        <w:rPr>
          <w:rFonts w:ascii="Times New Roman" w:eastAsia="Times New Roman" w:hAnsi="Times New Roman" w:cs="Times New Roman"/>
          <w:lang w:eastAsia="cs-CZ"/>
        </w:rPr>
        <w:t xml:space="preserve"> sa priamo nezaoberajú financovaním samosprávnych pôsobností a majú o nich</w:t>
      </w:r>
      <w:r w:rsidR="004D2569">
        <w:rPr>
          <w:rFonts w:ascii="Times New Roman" w:eastAsia="Times New Roman" w:hAnsi="Times New Roman" w:cs="Times New Roman"/>
          <w:lang w:eastAsia="cs-CZ"/>
        </w:rPr>
        <w:t xml:space="preserve"> iba sprostredkované informácie</w:t>
      </w:r>
      <w:r w:rsidR="0001740F">
        <w:rPr>
          <w:rFonts w:ascii="Times New Roman" w:hAnsi="Times New Roman" w:cs="Times New Roman"/>
        </w:rPr>
        <w:t>;</w:t>
      </w:r>
    </w:p>
    <w:p w:rsidR="0001740F" w:rsidRDefault="0001740F" w:rsidP="00F70B63">
      <w:pPr>
        <w:pStyle w:val="Odsekzoznamu"/>
        <w:numPr>
          <w:ilvl w:val="0"/>
          <w:numId w:val="21"/>
        </w:numPr>
        <w:tabs>
          <w:tab w:val="clear" w:pos="340"/>
        </w:tabs>
        <w:spacing w:before="60" w:after="0" w:line="240" w:lineRule="auto"/>
        <w:ind w:left="425"/>
        <w:contextualSpacing w:val="0"/>
        <w:jc w:val="both"/>
        <w:rPr>
          <w:rFonts w:ascii="Times New Roman" w:hAnsi="Times New Roman" w:cs="Times New Roman"/>
        </w:rPr>
      </w:pPr>
      <w:r>
        <w:rPr>
          <w:rFonts w:ascii="Times New Roman" w:hAnsi="Times New Roman" w:cs="Times New Roman"/>
        </w:rPr>
        <w:t>Žiad</w:t>
      </w:r>
      <w:r w:rsidR="00F615B3">
        <w:rPr>
          <w:rFonts w:ascii="Times New Roman" w:hAnsi="Times New Roman" w:cs="Times New Roman"/>
        </w:rPr>
        <w:t>ne ministerstvo nenavrh</w:t>
      </w:r>
      <w:r w:rsidR="004D2569">
        <w:rPr>
          <w:rFonts w:ascii="Times New Roman" w:hAnsi="Times New Roman" w:cs="Times New Roman"/>
        </w:rPr>
        <w:t>l</w:t>
      </w:r>
      <w:r w:rsidR="00F615B3">
        <w:rPr>
          <w:rFonts w:ascii="Times New Roman" w:hAnsi="Times New Roman" w:cs="Times New Roman"/>
        </w:rPr>
        <w:t>o</w:t>
      </w:r>
      <w:r w:rsidR="004D2569">
        <w:rPr>
          <w:rFonts w:ascii="Times New Roman" w:hAnsi="Times New Roman" w:cs="Times New Roman"/>
        </w:rPr>
        <w:t xml:space="preserve"> konkrétne opatrenia ohľadne financovania </w:t>
      </w:r>
      <w:r w:rsidR="00F615B3">
        <w:rPr>
          <w:rFonts w:ascii="Times New Roman" w:hAnsi="Times New Roman" w:cs="Times New Roman"/>
        </w:rPr>
        <w:t>výkonu samosprávnych pôsobností.</w:t>
      </w:r>
    </w:p>
    <w:p w:rsidR="00346F37" w:rsidRDefault="00346F37" w:rsidP="003D37C0">
      <w:pPr>
        <w:pStyle w:val="tla4"/>
        <w:keepNext/>
        <w:ind w:left="788" w:hanging="431"/>
      </w:pPr>
      <w:bookmarkStart w:id="24" w:name="_Toc373740554"/>
      <w:r w:rsidRPr="00F70B63">
        <w:t>Návrhy opatrení</w:t>
      </w:r>
      <w:bookmarkEnd w:id="24"/>
    </w:p>
    <w:p w:rsidR="00EF53B9" w:rsidRDefault="00EE7320" w:rsidP="00EF53B9">
      <w:pPr>
        <w:widowControl w:val="0"/>
        <w:spacing w:before="60" w:after="0" w:line="240" w:lineRule="auto"/>
        <w:ind w:firstLine="709"/>
        <w:jc w:val="both"/>
        <w:rPr>
          <w:rFonts w:ascii="Times New Roman" w:hAnsi="Times New Roman" w:cs="Times New Roman"/>
        </w:rPr>
      </w:pPr>
      <w:r>
        <w:rPr>
          <w:rFonts w:ascii="Times New Roman" w:hAnsi="Times New Roman" w:cs="Times New Roman"/>
        </w:rPr>
        <w:t>M</w:t>
      </w:r>
      <w:r w:rsidRPr="0048008A">
        <w:rPr>
          <w:rFonts w:ascii="Times New Roman" w:hAnsi="Times New Roman" w:cs="Times New Roman"/>
        </w:rPr>
        <w:t>inisterstvá navrhli viaceré opatrenia</w:t>
      </w:r>
      <w:r w:rsidRPr="00E77D40">
        <w:rPr>
          <w:rFonts w:ascii="Times New Roman" w:hAnsi="Times New Roman" w:cs="Times New Roman"/>
        </w:rPr>
        <w:t xml:space="preserve"> </w:t>
      </w:r>
      <w:r>
        <w:rPr>
          <w:rFonts w:ascii="Times New Roman" w:hAnsi="Times New Roman" w:cs="Times New Roman"/>
        </w:rPr>
        <w:t>(</w:t>
      </w:r>
      <w:r w:rsidRPr="0048008A">
        <w:rPr>
          <w:rFonts w:ascii="Times New Roman" w:hAnsi="Times New Roman" w:cs="Times New Roman"/>
        </w:rPr>
        <w:t>sú uvedené</w:t>
      </w:r>
      <w:r w:rsidR="005A6A1C">
        <w:rPr>
          <w:rFonts w:ascii="Times New Roman" w:hAnsi="Times New Roman" w:cs="Times New Roman"/>
        </w:rPr>
        <w:t xml:space="preserve"> v prílohe 7)</w:t>
      </w:r>
      <w:r w:rsidRPr="0048008A">
        <w:rPr>
          <w:rFonts w:ascii="Times New Roman" w:hAnsi="Times New Roman" w:cs="Times New Roman"/>
        </w:rPr>
        <w:t>.</w:t>
      </w:r>
      <w:r>
        <w:rPr>
          <w:rFonts w:ascii="Times New Roman" w:hAnsi="Times New Roman" w:cs="Times New Roman"/>
        </w:rPr>
        <w:t xml:space="preserve"> </w:t>
      </w:r>
    </w:p>
    <w:p w:rsidR="00EE7320" w:rsidRDefault="00EE7320" w:rsidP="00EF53B9">
      <w:pPr>
        <w:widowControl w:val="0"/>
        <w:spacing w:before="60" w:after="0" w:line="240" w:lineRule="auto"/>
        <w:ind w:firstLine="709"/>
        <w:jc w:val="both"/>
        <w:rPr>
          <w:rFonts w:ascii="Times New Roman" w:hAnsi="Times New Roman" w:cs="Times New Roman"/>
        </w:rPr>
      </w:pPr>
      <w:r w:rsidRPr="0048008A">
        <w:rPr>
          <w:rFonts w:ascii="Times New Roman" w:hAnsi="Times New Roman" w:cs="Times New Roman"/>
        </w:rPr>
        <w:t xml:space="preserve">Návrhy nepredložili </w:t>
      </w:r>
      <w:r w:rsidR="008D636A">
        <w:rPr>
          <w:rFonts w:ascii="Times New Roman" w:hAnsi="Times New Roman" w:cs="Times New Roman"/>
        </w:rPr>
        <w:t xml:space="preserve">ministerstvo hospodárstva, </w:t>
      </w:r>
      <w:r w:rsidR="000D6F57">
        <w:rPr>
          <w:rFonts w:ascii="Times New Roman" w:hAnsi="Times New Roman" w:cs="Times New Roman"/>
        </w:rPr>
        <w:t>M</w:t>
      </w:r>
      <w:r>
        <w:rPr>
          <w:rFonts w:ascii="Times New Roman" w:hAnsi="Times New Roman" w:cs="Times New Roman"/>
        </w:rPr>
        <w:t>inisterstvo kultúry</w:t>
      </w:r>
      <w:r w:rsidR="000D6F57">
        <w:rPr>
          <w:rFonts w:ascii="Times New Roman" w:hAnsi="Times New Roman" w:cs="Times New Roman"/>
        </w:rPr>
        <w:t xml:space="preserve"> Slovenskej republiky</w:t>
      </w:r>
      <w:r>
        <w:rPr>
          <w:rFonts w:ascii="Times New Roman" w:hAnsi="Times New Roman" w:cs="Times New Roman"/>
        </w:rPr>
        <w:t>, ministerstvo zdravotníctva</w:t>
      </w:r>
      <w:r w:rsidR="00EF53B9">
        <w:rPr>
          <w:rFonts w:ascii="Times New Roman" w:hAnsi="Times New Roman" w:cs="Times New Roman"/>
        </w:rPr>
        <w:t>,</w:t>
      </w:r>
      <w:r>
        <w:rPr>
          <w:rFonts w:ascii="Times New Roman" w:hAnsi="Times New Roman" w:cs="Times New Roman"/>
        </w:rPr>
        <w:t xml:space="preserve"> </w:t>
      </w:r>
      <w:r w:rsidR="00EF53B9">
        <w:rPr>
          <w:rFonts w:ascii="Times New Roman" w:hAnsi="Times New Roman" w:cs="Times New Roman"/>
        </w:rPr>
        <w:t xml:space="preserve">úrad vlády </w:t>
      </w:r>
      <w:r w:rsidRPr="0048008A">
        <w:rPr>
          <w:rFonts w:ascii="Times New Roman" w:hAnsi="Times New Roman" w:cs="Times New Roman"/>
        </w:rPr>
        <w:t>a úrad geodézie, kartografie a katastra.</w:t>
      </w:r>
    </w:p>
    <w:p w:rsidR="00EE7320" w:rsidRDefault="00EE7320" w:rsidP="00EE7320">
      <w:pPr>
        <w:shd w:val="clear" w:color="auto" w:fill="FFFFFF" w:themeFill="background1"/>
        <w:spacing w:before="120" w:after="0" w:line="240" w:lineRule="auto"/>
        <w:ind w:firstLine="709"/>
        <w:jc w:val="both"/>
        <w:rPr>
          <w:rFonts w:ascii="Times New Roman" w:hAnsi="Times New Roman" w:cs="Times New Roman"/>
        </w:rPr>
      </w:pPr>
      <w:r>
        <w:rPr>
          <w:rFonts w:ascii="Times New Roman" w:hAnsi="Times New Roman" w:cs="Times New Roman"/>
        </w:rPr>
        <w:t>N</w:t>
      </w:r>
      <w:r w:rsidRPr="008A0D87">
        <w:rPr>
          <w:rFonts w:ascii="Times New Roman" w:hAnsi="Times New Roman" w:cs="Times New Roman"/>
        </w:rPr>
        <w:t xml:space="preserve">a jednotlivých úsekoch samosprávnych pôsobností ministerstvo dopravy nenavrhuje žiadne zásadné zmeny alebo opatrenia. Na úseku cestnej dopravy navrhuje zavedenie centrálneho registra dopravných licencií. </w:t>
      </w:r>
    </w:p>
    <w:p w:rsidR="009079F6" w:rsidRDefault="009079F6" w:rsidP="009079F6">
      <w:pPr>
        <w:shd w:val="clear" w:color="auto" w:fill="FFFFFF" w:themeFill="background1"/>
        <w:spacing w:before="120" w:after="0" w:line="240" w:lineRule="auto"/>
        <w:ind w:firstLine="709"/>
        <w:jc w:val="both"/>
        <w:rPr>
          <w:rFonts w:ascii="Times New Roman" w:hAnsi="Times New Roman" w:cs="Times New Roman"/>
        </w:rPr>
      </w:pPr>
      <w:r w:rsidRPr="008A0D87">
        <w:rPr>
          <w:rFonts w:ascii="Times New Roman" w:hAnsi="Times New Roman" w:cs="Times New Roman"/>
        </w:rPr>
        <w:t xml:space="preserve">Ministerstvo financií </w:t>
      </w:r>
      <w:r w:rsidR="005178F5">
        <w:rPr>
          <w:rFonts w:ascii="Times New Roman" w:hAnsi="Times New Roman" w:cs="Times New Roman"/>
        </w:rPr>
        <w:t>formuluje niektoré námety</w:t>
      </w:r>
      <w:r w:rsidRPr="008A0D87">
        <w:rPr>
          <w:rFonts w:ascii="Times New Roman" w:hAnsi="Times New Roman" w:cs="Times New Roman"/>
        </w:rPr>
        <w:t xml:space="preserve"> pre etapy očakávaného vývoja v oblasti financovania územnej samosprávy, pre miestne dane, pre informačné systémy verejnej správy a</w:t>
      </w:r>
      <w:r w:rsidR="006F6EFA">
        <w:rPr>
          <w:rFonts w:ascii="Times New Roman" w:hAnsi="Times New Roman" w:cs="Times New Roman"/>
        </w:rPr>
        <w:t> </w:t>
      </w:r>
      <w:r w:rsidRPr="008A0D87">
        <w:rPr>
          <w:rFonts w:ascii="Times New Roman" w:hAnsi="Times New Roman" w:cs="Times New Roman"/>
        </w:rPr>
        <w:t>informatizáciu, pre oblasť kontroly a pre oblasť cien.</w:t>
      </w:r>
    </w:p>
    <w:p w:rsidR="009079F6" w:rsidRPr="009079F6" w:rsidRDefault="009079F6" w:rsidP="009079F6">
      <w:pPr>
        <w:spacing w:before="120" w:after="120" w:line="240" w:lineRule="auto"/>
        <w:ind w:firstLine="709"/>
        <w:jc w:val="both"/>
        <w:rPr>
          <w:rFonts w:ascii="Times New Roman" w:hAnsi="Times New Roman" w:cs="Times New Roman"/>
        </w:rPr>
      </w:pPr>
      <w:r w:rsidRPr="009079F6">
        <w:rPr>
          <w:rFonts w:ascii="Times New Roman" w:hAnsi="Times New Roman" w:cs="Times New Roman"/>
        </w:rPr>
        <w:t xml:space="preserve">Ministerstvo práce, sociálnych vecí a rodiny </w:t>
      </w:r>
      <w:r w:rsidR="000D6F57">
        <w:rPr>
          <w:rFonts w:ascii="Times New Roman" w:hAnsi="Times New Roman" w:cs="Times New Roman"/>
        </w:rPr>
        <w:t xml:space="preserve">Slovenskej republiky </w:t>
      </w:r>
      <w:r w:rsidRPr="009079F6">
        <w:rPr>
          <w:rFonts w:ascii="Times New Roman" w:hAnsi="Times New Roman" w:cs="Times New Roman"/>
        </w:rPr>
        <w:t>navrhuje pripraviť novelu zákona o sociálnych službách a v rámci nej sa zaoberať najmä problematikou vytvorenia podmienok nového systému dlhodobej starostlivosti a zabezpečenia financovania ošetrovateľských úkonov poskytovaných v zariadeniach sociálnych služieb zo zdrojov verejného zdravotného poistenia. Navrhuje aj združovanie obcí pri výkone vybraných samosprávnych úloh v oblasti sociálnych služieb, pokračovanie vo</w:t>
      </w:r>
      <w:r w:rsidR="006F6EFA">
        <w:rPr>
          <w:rFonts w:ascii="Times New Roman" w:hAnsi="Times New Roman" w:cs="Times New Roman"/>
        </w:rPr>
        <w:t> </w:t>
      </w:r>
      <w:r w:rsidRPr="009079F6">
        <w:rPr>
          <w:rFonts w:ascii="Times New Roman" w:hAnsi="Times New Roman" w:cs="Times New Roman"/>
        </w:rPr>
        <w:t>zvyšovaní participácie štátu na financovaní sociálnych služieb a riešenie</w:t>
      </w:r>
      <w:r>
        <w:rPr>
          <w:rFonts w:ascii="Times New Roman" w:hAnsi="Times New Roman" w:cs="Times New Roman"/>
        </w:rPr>
        <w:t xml:space="preserve"> otázky spolupráce a spolupôsob</w:t>
      </w:r>
      <w:r w:rsidRPr="009079F6">
        <w:rPr>
          <w:rFonts w:ascii="Times New Roman" w:hAnsi="Times New Roman" w:cs="Times New Roman"/>
        </w:rPr>
        <w:t>enia (orgánov štátu a orgánov územnej samosprávy) pri vykonávaní opatrení sociálnoprávnej ochrany detí a sociálnej kurately.</w:t>
      </w:r>
    </w:p>
    <w:p w:rsidR="00EE7320" w:rsidRPr="004D0885" w:rsidRDefault="00EE7320" w:rsidP="0097152D">
      <w:pPr>
        <w:keepNext/>
        <w:tabs>
          <w:tab w:val="left" w:pos="1276"/>
        </w:tabs>
        <w:spacing w:before="120" w:after="0" w:line="240" w:lineRule="auto"/>
        <w:ind w:firstLine="709"/>
        <w:jc w:val="both"/>
        <w:rPr>
          <w:rFonts w:ascii="Times New Roman" w:hAnsi="Times New Roman" w:cs="Times New Roman"/>
        </w:rPr>
      </w:pPr>
      <w:r>
        <w:rPr>
          <w:rFonts w:ascii="Times New Roman" w:eastAsia="Times New Roman" w:hAnsi="Times New Roman" w:cs="Times New Roman"/>
          <w:lang w:eastAsia="cs-CZ"/>
        </w:rPr>
        <w:t>Pri výkone samosprávnych pôsobností by  p</w:t>
      </w:r>
      <w:r w:rsidRPr="004D0885">
        <w:rPr>
          <w:rFonts w:ascii="Times New Roman" w:hAnsi="Times New Roman" w:cs="Times New Roman"/>
        </w:rPr>
        <w:t>odľa ministerstva školstva bolo potrebné legislatívne upraviť financovanie školského stravovania žiakov, poplatky za pobyt dieťaťa  alebo žiaka v materských školách, základných umeleckých školách, centrách voľného času, školských kluboch detí a v školách prírody. V oblasti personálnej navrh</w:t>
      </w:r>
      <w:r>
        <w:rPr>
          <w:rFonts w:ascii="Times New Roman" w:hAnsi="Times New Roman" w:cs="Times New Roman"/>
        </w:rPr>
        <w:t>uje</w:t>
      </w:r>
      <w:r w:rsidRPr="004D0885">
        <w:rPr>
          <w:rFonts w:ascii="Times New Roman" w:hAnsi="Times New Roman" w:cs="Times New Roman"/>
        </w:rPr>
        <w:t xml:space="preserve"> posunúť kvalifikačné požiadavky na zamestnancov školských úradov na úroveň riaditeľov škôl a školských zariadení.  Rezort </w:t>
      </w:r>
      <w:r>
        <w:rPr>
          <w:rFonts w:ascii="Times New Roman" w:hAnsi="Times New Roman" w:cs="Times New Roman"/>
        </w:rPr>
        <w:t xml:space="preserve">ďalej </w:t>
      </w:r>
      <w:r w:rsidRPr="004D0885">
        <w:rPr>
          <w:rFonts w:ascii="Times New Roman" w:hAnsi="Times New Roman" w:cs="Times New Roman"/>
        </w:rPr>
        <w:t xml:space="preserve"> navrh</w:t>
      </w:r>
      <w:r>
        <w:rPr>
          <w:rFonts w:ascii="Times New Roman" w:hAnsi="Times New Roman" w:cs="Times New Roman"/>
        </w:rPr>
        <w:t>uje</w:t>
      </w:r>
      <w:r w:rsidR="0097152D">
        <w:rPr>
          <w:rFonts w:ascii="Times New Roman" w:hAnsi="Times New Roman" w:cs="Times New Roman"/>
        </w:rPr>
        <w:t xml:space="preserve"> niektoré opatrenia vo</w:t>
      </w:r>
      <w:r w:rsidR="006F6EFA">
        <w:rPr>
          <w:rFonts w:ascii="Times New Roman" w:hAnsi="Times New Roman" w:cs="Times New Roman"/>
        </w:rPr>
        <w:t> </w:t>
      </w:r>
      <w:r w:rsidR="0097152D">
        <w:rPr>
          <w:rFonts w:ascii="Times New Roman" w:hAnsi="Times New Roman" w:cs="Times New Roman"/>
        </w:rPr>
        <w:t>vzťahu k úprave financovania a informačnej povinnosti v oblasti originálnych pôsobností obcí a samosprávnych krajov.</w:t>
      </w:r>
    </w:p>
    <w:p w:rsidR="008D636A" w:rsidRDefault="008D636A" w:rsidP="00EE7320">
      <w:pPr>
        <w:shd w:val="clear" w:color="auto" w:fill="FFFFFF" w:themeFill="background1"/>
        <w:spacing w:before="120" w:after="0" w:line="240" w:lineRule="auto"/>
        <w:ind w:firstLine="709"/>
        <w:jc w:val="both"/>
        <w:rPr>
          <w:rFonts w:ascii="Times New Roman" w:hAnsi="Times New Roman" w:cs="Times New Roman"/>
        </w:rPr>
      </w:pPr>
      <w:r>
        <w:rPr>
          <w:rFonts w:ascii="Times New Roman" w:hAnsi="Times New Roman" w:cs="Times New Roman"/>
        </w:rPr>
        <w:t>Návrhy opatrení predložené ministerstvom vnútra boli zamerané v legislatívnej oblasti na zmenu zákon</w:t>
      </w:r>
      <w:r w:rsidR="006F6EFA">
        <w:rPr>
          <w:rFonts w:ascii="Times New Roman" w:hAnsi="Times New Roman" w:cs="Times New Roman"/>
        </w:rPr>
        <w:t>a</w:t>
      </w:r>
      <w:r>
        <w:rPr>
          <w:rFonts w:ascii="Times New Roman" w:hAnsi="Times New Roman" w:cs="Times New Roman"/>
        </w:rPr>
        <w:t xml:space="preserve"> o osvedčovaní listín a podpisov na listinách obvodnými úradmi a obcami, na prípravu legislatívneho zámeru k zákonu o evidencii sankčných postihov za administratívnosprávne delikty,</w:t>
      </w:r>
      <w:r w:rsidR="00976C36">
        <w:rPr>
          <w:rFonts w:ascii="Times New Roman" w:hAnsi="Times New Roman" w:cs="Times New Roman"/>
        </w:rPr>
        <w:t xml:space="preserve"> na iniciovanie rokovania so združeniami zastupujúcimi obce s cieľom pripraviť možnosť legislatívnych zmien v oblasti úpravy výnosu pokút za priestupky, trov konania spojených s </w:t>
      </w:r>
      <w:proofErr w:type="spellStart"/>
      <w:r w:rsidR="00976C36">
        <w:rPr>
          <w:rFonts w:ascii="Times New Roman" w:hAnsi="Times New Roman" w:cs="Times New Roman"/>
        </w:rPr>
        <w:t>prejednaním</w:t>
      </w:r>
      <w:proofErr w:type="spellEnd"/>
      <w:r w:rsidR="00976C36">
        <w:rPr>
          <w:rFonts w:ascii="Times New Roman" w:hAnsi="Times New Roman" w:cs="Times New Roman"/>
        </w:rPr>
        <w:t xml:space="preserve"> priestupkov a výkonu rozhodnutia o uložení pokuty za priestupok, ktorá je príjmom obce, ako aj úpravy vymedzenia odvolacieho orgánu proti rozhodnutiam obce, uvedených v zákone o priestupkoch a zákone o obecnom zriadení. V inštitucionálnej oblasti ministerstvo vnútra navrhuje iniciovať rokovania so združeniami zastupujúcimi obce (kde </w:t>
      </w:r>
      <w:proofErr w:type="spellStart"/>
      <w:r w:rsidR="00976C36">
        <w:rPr>
          <w:rFonts w:ascii="Times New Roman" w:hAnsi="Times New Roman" w:cs="Times New Roman"/>
        </w:rPr>
        <w:t>prejednávajú</w:t>
      </w:r>
      <w:proofErr w:type="spellEnd"/>
      <w:r w:rsidR="00976C36">
        <w:rPr>
          <w:rFonts w:ascii="Times New Roman" w:hAnsi="Times New Roman" w:cs="Times New Roman"/>
        </w:rPr>
        <w:t xml:space="preserve"> priestupky obce) a s ústrednými orgánmi štátnej správy (v ktorých gescii sú oblasti verejnej správy) s cieľom prevziať </w:t>
      </w:r>
      <w:proofErr w:type="spellStart"/>
      <w:r w:rsidR="00976C36">
        <w:rPr>
          <w:rFonts w:ascii="Times New Roman" w:hAnsi="Times New Roman" w:cs="Times New Roman"/>
        </w:rPr>
        <w:t>prejednávanie</w:t>
      </w:r>
      <w:proofErr w:type="spellEnd"/>
      <w:r w:rsidR="00976C36">
        <w:rPr>
          <w:rFonts w:ascii="Times New Roman" w:hAnsi="Times New Roman" w:cs="Times New Roman"/>
        </w:rPr>
        <w:t xml:space="preserve"> priestupkov v správnom konaní z obcí na orgány miestnej štátnej správy. </w:t>
      </w:r>
      <w:r>
        <w:rPr>
          <w:rFonts w:ascii="Times New Roman" w:hAnsi="Times New Roman" w:cs="Times New Roman"/>
        </w:rPr>
        <w:t xml:space="preserve">  </w:t>
      </w:r>
    </w:p>
    <w:p w:rsidR="00EE7320" w:rsidRDefault="002904D4" w:rsidP="00EE7320">
      <w:pPr>
        <w:shd w:val="clear" w:color="auto" w:fill="FFFFFF" w:themeFill="background1"/>
        <w:spacing w:before="120" w:after="0" w:line="240" w:lineRule="auto"/>
        <w:ind w:firstLine="709"/>
        <w:jc w:val="both"/>
        <w:rPr>
          <w:rFonts w:ascii="Times New Roman" w:hAnsi="Times New Roman" w:cs="Times New Roman"/>
        </w:rPr>
      </w:pPr>
      <w:r>
        <w:rPr>
          <w:rFonts w:ascii="Times New Roman" w:hAnsi="Times New Roman" w:cs="Times New Roman"/>
        </w:rPr>
        <w:lastRenderedPageBreak/>
        <w:t>Ministerstvo životného prostredia v</w:t>
      </w:r>
      <w:r w:rsidR="00EE7320" w:rsidRPr="008A0D87">
        <w:rPr>
          <w:rFonts w:ascii="Times New Roman" w:hAnsi="Times New Roman" w:cs="Times New Roman"/>
        </w:rPr>
        <w:t> prípade samosprávnych pôsobností na úsekoch starostlivosti o životné prostredi</w:t>
      </w:r>
      <w:r>
        <w:rPr>
          <w:rFonts w:ascii="Times New Roman" w:hAnsi="Times New Roman" w:cs="Times New Roman"/>
        </w:rPr>
        <w:t>e</w:t>
      </w:r>
      <w:r w:rsidR="00EE7320" w:rsidRPr="008A0D87">
        <w:rPr>
          <w:rFonts w:ascii="Times New Roman" w:hAnsi="Times New Roman" w:cs="Times New Roman"/>
        </w:rPr>
        <w:t xml:space="preserve"> nenavrhuje žiadne rušenie pôsobností obcí. Návrhy smerujú k presnejšiemu legislatívnemu vymedzeniu niektorých pojmov, taktiež k úprave sadzieb poplatkov na úseku odpadového hospodárstva, k zlepšeniu čerpania finančných prostriedkov z fondov E</w:t>
      </w:r>
      <w:r w:rsidR="000D6F57">
        <w:rPr>
          <w:rFonts w:ascii="Times New Roman" w:hAnsi="Times New Roman" w:cs="Times New Roman"/>
        </w:rPr>
        <w:t>urópskej únie</w:t>
      </w:r>
      <w:r w:rsidR="00EE7320" w:rsidRPr="008A0D87">
        <w:rPr>
          <w:rFonts w:ascii="Times New Roman" w:hAnsi="Times New Roman" w:cs="Times New Roman"/>
        </w:rPr>
        <w:t>, ako aj k potrebe združovania obcí za účelom dosiahnutia lepších podmienok pre obce v rámci zabezpečenia odberu odpadov voči odberateľom. Na ostatných úsekoch, vzhľadom na uspokojivú kvalitu výkonu úloh, ministerstvo životného prostredia nenavrhuje žiadne podstatné zmeny.</w:t>
      </w:r>
    </w:p>
    <w:p w:rsidR="0097152D" w:rsidRDefault="00EE7320" w:rsidP="0097152D">
      <w:pPr>
        <w:spacing w:before="60" w:after="0" w:line="240" w:lineRule="auto"/>
        <w:ind w:firstLine="709"/>
        <w:jc w:val="both"/>
        <w:rPr>
          <w:rFonts w:ascii="Times New Roman" w:hAnsi="Times New Roman" w:cs="Times New Roman"/>
        </w:rPr>
      </w:pPr>
      <w:r w:rsidRPr="00400B41">
        <w:rPr>
          <w:rFonts w:ascii="Times New Roman" w:hAnsi="Times New Roman" w:cs="Times New Roman"/>
        </w:rPr>
        <w:t>V</w:t>
      </w:r>
      <w:r>
        <w:rPr>
          <w:rFonts w:ascii="Times New Roman" w:hAnsi="Times New Roman" w:cs="Times New Roman"/>
        </w:rPr>
        <w:t xml:space="preserve"> navrhovaných </w:t>
      </w:r>
      <w:r w:rsidRPr="00400B41">
        <w:rPr>
          <w:rFonts w:ascii="Times New Roman" w:hAnsi="Times New Roman" w:cs="Times New Roman"/>
        </w:rPr>
        <w:t>opatreniach absentujú vyjadrenia, resp. odporúčania pre oblasť financovania kompetencií obcí a</w:t>
      </w:r>
      <w:r>
        <w:rPr>
          <w:rFonts w:ascii="Times New Roman" w:hAnsi="Times New Roman" w:cs="Times New Roman"/>
        </w:rPr>
        <w:t> samosprávnych krajov</w:t>
      </w:r>
      <w:r w:rsidRPr="00400B41">
        <w:rPr>
          <w:rFonts w:ascii="Times New Roman" w:hAnsi="Times New Roman" w:cs="Times New Roman"/>
        </w:rPr>
        <w:t xml:space="preserve"> a jeho optimalizáciu v ďalšom období.</w:t>
      </w:r>
    </w:p>
    <w:p w:rsidR="0097152D" w:rsidRDefault="0097152D" w:rsidP="00E62A70">
      <w:pPr>
        <w:pStyle w:val="tla1"/>
        <w:rPr>
          <w:lang w:eastAsia="sk-SK"/>
        </w:rPr>
      </w:pPr>
      <w:bookmarkStart w:id="25" w:name="_Toc373740555"/>
      <w:r>
        <w:rPr>
          <w:lang w:eastAsia="sk-SK"/>
        </w:rPr>
        <w:t>Vývoj príjmov a výdavkov obcí a samosprávnych krajov v referenčných rokoch</w:t>
      </w:r>
      <w:bookmarkEnd w:id="25"/>
    </w:p>
    <w:p w:rsidR="0097152D" w:rsidRPr="00B26489" w:rsidRDefault="0097152D" w:rsidP="0097152D">
      <w:pPr>
        <w:spacing w:before="120" w:after="120" w:line="240" w:lineRule="auto"/>
        <w:jc w:val="center"/>
        <w:rPr>
          <w:rFonts w:ascii="Times New Roman" w:eastAsia="Times New Roman" w:hAnsi="Times New Roman" w:cs="Times New Roman"/>
          <w:sz w:val="16"/>
          <w:szCs w:val="16"/>
          <w:lang w:eastAsia="cs-CZ"/>
        </w:rPr>
      </w:pPr>
      <w:r>
        <w:rPr>
          <w:rFonts w:ascii="Times New Roman" w:eastAsia="Times New Roman" w:hAnsi="Times New Roman" w:cs="Times New Roman"/>
          <w:b/>
          <w:sz w:val="16"/>
          <w:szCs w:val="16"/>
          <w:lang w:eastAsia="cs-CZ"/>
        </w:rPr>
        <w:t>Tabuľka 15:</w:t>
      </w:r>
      <w:r w:rsidRPr="00B26489">
        <w:rPr>
          <w:rFonts w:ascii="Times New Roman" w:eastAsia="Times New Roman" w:hAnsi="Times New Roman" w:cs="Times New Roman"/>
          <w:sz w:val="16"/>
          <w:szCs w:val="16"/>
          <w:lang w:eastAsia="cs-CZ"/>
        </w:rPr>
        <w:t xml:space="preserve"> Rozpočtové hospodárenie obcí v referenčných rokoch</w:t>
      </w:r>
    </w:p>
    <w:tbl>
      <w:tblPr>
        <w:tblW w:w="9513" w:type="dxa"/>
        <w:tblInd w:w="55" w:type="dxa"/>
        <w:tblCellMar>
          <w:left w:w="70" w:type="dxa"/>
          <w:right w:w="70" w:type="dxa"/>
        </w:tblCellMar>
        <w:tblLook w:val="04A0" w:firstRow="1" w:lastRow="0" w:firstColumn="1" w:lastColumn="0" w:noHBand="0" w:noVBand="1"/>
      </w:tblPr>
      <w:tblGrid>
        <w:gridCol w:w="5118"/>
        <w:gridCol w:w="1560"/>
        <w:gridCol w:w="1417"/>
        <w:gridCol w:w="1418"/>
      </w:tblGrid>
      <w:tr w:rsidR="0097152D" w:rsidTr="0097152D">
        <w:trPr>
          <w:trHeight w:val="261"/>
        </w:trPr>
        <w:tc>
          <w:tcPr>
            <w:tcW w:w="5118" w:type="dxa"/>
            <w:vMerge w:val="restart"/>
            <w:tcBorders>
              <w:top w:val="single" w:sz="8" w:space="0" w:color="auto"/>
              <w:left w:val="single" w:sz="8" w:space="0" w:color="auto"/>
              <w:bottom w:val="single" w:sz="4" w:space="0" w:color="auto"/>
              <w:right w:val="single" w:sz="8" w:space="0" w:color="auto"/>
            </w:tcBorders>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 (v tis. eur)</w:t>
            </w:r>
          </w:p>
        </w:tc>
        <w:tc>
          <w:tcPr>
            <w:tcW w:w="4395" w:type="dxa"/>
            <w:gridSpan w:val="3"/>
            <w:tcBorders>
              <w:top w:val="single" w:sz="8" w:space="0" w:color="auto"/>
              <w:left w:val="nil"/>
              <w:bottom w:val="single" w:sz="8" w:space="0" w:color="auto"/>
              <w:right w:val="single" w:sz="8" w:space="0" w:color="auto"/>
            </w:tcBorders>
            <w:noWrap/>
            <w:vAlign w:val="center"/>
            <w:hideMark/>
          </w:tcPr>
          <w:p w:rsidR="0097152D" w:rsidRDefault="0097152D" w:rsidP="0097152D">
            <w:pPr>
              <w:spacing w:after="0"/>
              <w:jc w:val="center"/>
              <w:rPr>
                <w:rFonts w:ascii="Times New Roman" w:hAnsi="Times New Roman" w:cs="Times New Roman"/>
                <w:b/>
                <w:bCs/>
                <w:sz w:val="18"/>
                <w:szCs w:val="18"/>
              </w:rPr>
            </w:pPr>
            <w:r>
              <w:rPr>
                <w:rFonts w:ascii="Times New Roman" w:hAnsi="Times New Roman" w:cs="Times New Roman"/>
                <w:b/>
                <w:bCs/>
                <w:sz w:val="18"/>
                <w:szCs w:val="18"/>
              </w:rPr>
              <w:t xml:space="preserve"> Skutočnosť</w:t>
            </w:r>
          </w:p>
        </w:tc>
      </w:tr>
      <w:tr w:rsidR="0097152D" w:rsidTr="0097152D">
        <w:trPr>
          <w:trHeight w:val="97"/>
        </w:trPr>
        <w:tc>
          <w:tcPr>
            <w:tcW w:w="0" w:type="auto"/>
            <w:vMerge/>
            <w:tcBorders>
              <w:top w:val="single" w:sz="8" w:space="0" w:color="auto"/>
              <w:left w:val="single" w:sz="8" w:space="0" w:color="auto"/>
              <w:bottom w:val="single" w:sz="4" w:space="0" w:color="auto"/>
              <w:right w:val="single" w:sz="8" w:space="0" w:color="auto"/>
            </w:tcBorders>
            <w:vAlign w:val="center"/>
            <w:hideMark/>
          </w:tcPr>
          <w:p w:rsidR="0097152D" w:rsidRDefault="0097152D" w:rsidP="0097152D">
            <w:pPr>
              <w:spacing w:after="0" w:line="240" w:lineRule="auto"/>
              <w:rPr>
                <w:rFonts w:ascii="Times New Roman" w:hAnsi="Times New Roman" w:cs="Times New Roman"/>
                <w:sz w:val="18"/>
                <w:szCs w:val="18"/>
              </w:rPr>
            </w:pPr>
          </w:p>
        </w:tc>
        <w:tc>
          <w:tcPr>
            <w:tcW w:w="1560" w:type="dxa"/>
            <w:tcBorders>
              <w:top w:val="single" w:sz="8" w:space="0" w:color="auto"/>
              <w:left w:val="nil"/>
              <w:bottom w:val="single" w:sz="4" w:space="0" w:color="auto"/>
              <w:right w:val="single" w:sz="8" w:space="0" w:color="auto"/>
            </w:tcBorders>
            <w:hideMark/>
          </w:tcPr>
          <w:p w:rsidR="0097152D" w:rsidRDefault="0097152D" w:rsidP="0097152D">
            <w:pPr>
              <w:spacing w:after="0"/>
              <w:jc w:val="center"/>
              <w:rPr>
                <w:rFonts w:ascii="Times New Roman" w:hAnsi="Times New Roman" w:cs="Times New Roman"/>
                <w:b/>
                <w:bCs/>
                <w:sz w:val="18"/>
                <w:szCs w:val="18"/>
              </w:rPr>
            </w:pPr>
            <w:r>
              <w:rPr>
                <w:rFonts w:ascii="Times New Roman" w:hAnsi="Times New Roman" w:cs="Times New Roman"/>
                <w:b/>
                <w:bCs/>
                <w:sz w:val="18"/>
                <w:szCs w:val="18"/>
              </w:rPr>
              <w:t>2001</w:t>
            </w:r>
          </w:p>
        </w:tc>
        <w:tc>
          <w:tcPr>
            <w:tcW w:w="1417" w:type="dxa"/>
            <w:tcBorders>
              <w:top w:val="single" w:sz="8" w:space="0" w:color="auto"/>
              <w:left w:val="nil"/>
              <w:bottom w:val="single" w:sz="4" w:space="0" w:color="auto"/>
              <w:right w:val="single" w:sz="8" w:space="0" w:color="auto"/>
            </w:tcBorders>
            <w:hideMark/>
          </w:tcPr>
          <w:p w:rsidR="0097152D" w:rsidRDefault="0097152D" w:rsidP="0097152D">
            <w:pPr>
              <w:spacing w:after="0"/>
              <w:jc w:val="center"/>
              <w:rPr>
                <w:rFonts w:ascii="Times New Roman" w:hAnsi="Times New Roman" w:cs="Times New Roman"/>
                <w:b/>
                <w:bCs/>
                <w:sz w:val="18"/>
                <w:szCs w:val="18"/>
              </w:rPr>
            </w:pPr>
            <w:r>
              <w:rPr>
                <w:rFonts w:ascii="Times New Roman" w:hAnsi="Times New Roman" w:cs="Times New Roman"/>
                <w:b/>
                <w:bCs/>
                <w:sz w:val="18"/>
                <w:szCs w:val="18"/>
              </w:rPr>
              <w:t>2005</w:t>
            </w:r>
          </w:p>
        </w:tc>
        <w:tc>
          <w:tcPr>
            <w:tcW w:w="1418" w:type="dxa"/>
            <w:tcBorders>
              <w:top w:val="single" w:sz="8" w:space="0" w:color="auto"/>
              <w:left w:val="nil"/>
              <w:bottom w:val="single" w:sz="4" w:space="0" w:color="auto"/>
              <w:right w:val="single" w:sz="8" w:space="0" w:color="auto"/>
            </w:tcBorders>
            <w:hideMark/>
          </w:tcPr>
          <w:p w:rsidR="0097152D" w:rsidRDefault="0097152D" w:rsidP="0097152D">
            <w:pPr>
              <w:spacing w:after="0"/>
              <w:jc w:val="center"/>
              <w:rPr>
                <w:rFonts w:ascii="Times New Roman" w:hAnsi="Times New Roman" w:cs="Times New Roman"/>
                <w:b/>
                <w:bCs/>
                <w:sz w:val="18"/>
                <w:szCs w:val="18"/>
              </w:rPr>
            </w:pPr>
            <w:r>
              <w:rPr>
                <w:rFonts w:ascii="Times New Roman" w:hAnsi="Times New Roman" w:cs="Times New Roman"/>
                <w:b/>
                <w:bCs/>
                <w:sz w:val="18"/>
                <w:szCs w:val="18"/>
              </w:rPr>
              <w:t>2011</w:t>
            </w:r>
          </w:p>
        </w:tc>
      </w:tr>
      <w:tr w:rsidR="0097152D" w:rsidTr="0097152D">
        <w:trPr>
          <w:trHeight w:val="72"/>
        </w:trPr>
        <w:tc>
          <w:tcPr>
            <w:tcW w:w="5118"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Príjmy obcí  spolu</w:t>
            </w:r>
          </w:p>
        </w:tc>
        <w:tc>
          <w:tcPr>
            <w:tcW w:w="1560" w:type="dxa"/>
            <w:tcBorders>
              <w:top w:val="single" w:sz="4" w:space="0" w:color="auto"/>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b/>
                <w:bCs/>
                <w:iCs/>
                <w:sz w:val="18"/>
                <w:szCs w:val="18"/>
              </w:rPr>
            </w:pPr>
            <w:r>
              <w:rPr>
                <w:rFonts w:ascii="Times New Roman" w:hAnsi="Times New Roman" w:cs="Times New Roman"/>
                <w:b/>
                <w:bCs/>
                <w:iCs/>
                <w:sz w:val="18"/>
                <w:szCs w:val="18"/>
              </w:rPr>
              <w:t>1 086 042,0</w:t>
            </w:r>
          </w:p>
        </w:tc>
        <w:tc>
          <w:tcPr>
            <w:tcW w:w="1417" w:type="dxa"/>
            <w:tcBorders>
              <w:top w:val="single" w:sz="4" w:space="0" w:color="auto"/>
              <w:left w:val="nil"/>
              <w:bottom w:val="single" w:sz="4" w:space="0" w:color="auto"/>
              <w:right w:val="single" w:sz="4" w:space="0" w:color="auto"/>
            </w:tcBorders>
            <w:shd w:val="clear" w:color="auto" w:fill="FFFFFF"/>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2 835 086,0</w:t>
            </w:r>
          </w:p>
        </w:tc>
        <w:tc>
          <w:tcPr>
            <w:tcW w:w="1418" w:type="dxa"/>
            <w:tcBorders>
              <w:top w:val="single" w:sz="4" w:space="0" w:color="auto"/>
              <w:left w:val="nil"/>
              <w:bottom w:val="single" w:sz="4" w:space="0" w:color="auto"/>
              <w:right w:val="single" w:sz="4" w:space="0" w:color="auto"/>
            </w:tcBorders>
            <w:shd w:val="clear" w:color="auto" w:fill="FFFFFF"/>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3 998 577,5</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daňové príjmy </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464 462,6</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1 210 024,6</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1 618 978,7</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nedaňové príjmy</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317 659,2</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408 175,7</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411 852,1</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granty a transfery</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158 444,5</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910 595,5</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1 453 242,4</w:t>
            </w:r>
          </w:p>
        </w:tc>
      </w:tr>
      <w:tr w:rsidR="0097152D" w:rsidTr="0097152D">
        <w:trPr>
          <w:trHeight w:val="570"/>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zo splátok úverov, pôžičiek, z predaja majetkových účastí a FNM (FO)</w:t>
            </w:r>
          </w:p>
        </w:tc>
        <w:tc>
          <w:tcPr>
            <w:tcW w:w="1560" w:type="dxa"/>
            <w:tcBorders>
              <w:top w:val="nil"/>
              <w:left w:val="nil"/>
              <w:bottom w:val="single" w:sz="4" w:space="0" w:color="auto"/>
              <w:right w:val="single" w:sz="4" w:space="0" w:color="auto"/>
            </w:tcBorders>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9 861,9</w:t>
            </w:r>
          </w:p>
        </w:tc>
        <w:tc>
          <w:tcPr>
            <w:tcW w:w="1417" w:type="dxa"/>
            <w:tcBorders>
              <w:top w:val="nil"/>
              <w:left w:val="nil"/>
              <w:bottom w:val="single" w:sz="4" w:space="0" w:color="auto"/>
              <w:right w:val="single" w:sz="4" w:space="0" w:color="auto"/>
            </w:tcBorders>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8 653,7</w:t>
            </w:r>
          </w:p>
        </w:tc>
        <w:tc>
          <w:tcPr>
            <w:tcW w:w="1418" w:type="dxa"/>
            <w:tcBorders>
              <w:top w:val="nil"/>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2 076,0</w:t>
            </w:r>
          </w:p>
        </w:tc>
      </w:tr>
      <w:tr w:rsidR="0097152D" w:rsidTr="0097152D">
        <w:trPr>
          <w:trHeight w:val="5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zostatok prostriedkov z </w:t>
            </w:r>
            <w:proofErr w:type="spellStart"/>
            <w:r>
              <w:rPr>
                <w:rFonts w:ascii="Times New Roman" w:hAnsi="Times New Roman" w:cs="Times New Roman"/>
                <w:sz w:val="18"/>
                <w:szCs w:val="18"/>
              </w:rPr>
              <w:t>predch</w:t>
            </w:r>
            <w:proofErr w:type="spellEnd"/>
            <w:r>
              <w:rPr>
                <w:rFonts w:ascii="Times New Roman" w:hAnsi="Times New Roman" w:cs="Times New Roman"/>
                <w:sz w:val="18"/>
                <w:szCs w:val="18"/>
              </w:rPr>
              <w:t>. rokov a prevod prostriedkov z </w:t>
            </w:r>
            <w:proofErr w:type="spellStart"/>
            <w:r>
              <w:rPr>
                <w:rFonts w:ascii="Times New Roman" w:hAnsi="Times New Roman" w:cs="Times New Roman"/>
                <w:sz w:val="18"/>
                <w:szCs w:val="18"/>
              </w:rPr>
              <w:t>peňaž</w:t>
            </w:r>
            <w:proofErr w:type="spellEnd"/>
            <w:r>
              <w:rPr>
                <w:rFonts w:ascii="Times New Roman" w:hAnsi="Times New Roman" w:cs="Times New Roman"/>
                <w:sz w:val="18"/>
                <w:szCs w:val="18"/>
              </w:rPr>
              <w:t>. fondov a </w:t>
            </w:r>
            <w:proofErr w:type="spellStart"/>
            <w:r>
              <w:rPr>
                <w:rFonts w:ascii="Times New Roman" w:hAnsi="Times New Roman" w:cs="Times New Roman"/>
                <w:sz w:val="18"/>
                <w:szCs w:val="18"/>
              </w:rPr>
              <w:t>ost</w:t>
            </w:r>
            <w:proofErr w:type="spellEnd"/>
            <w:r>
              <w:rPr>
                <w:rFonts w:ascii="Times New Roman" w:hAnsi="Times New Roman" w:cs="Times New Roman"/>
                <w:sz w:val="18"/>
                <w:szCs w:val="18"/>
              </w:rPr>
              <w:t>. FO</w:t>
            </w:r>
          </w:p>
        </w:tc>
        <w:tc>
          <w:tcPr>
            <w:tcW w:w="1560" w:type="dxa"/>
            <w:tcBorders>
              <w:top w:val="nil"/>
              <w:left w:val="nil"/>
              <w:bottom w:val="single" w:sz="4" w:space="0" w:color="auto"/>
              <w:right w:val="single" w:sz="4" w:space="0" w:color="auto"/>
            </w:tcBorders>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44 977,8</w:t>
            </w:r>
          </w:p>
        </w:tc>
        <w:tc>
          <w:tcPr>
            <w:tcW w:w="1417" w:type="dxa"/>
            <w:tcBorders>
              <w:top w:val="nil"/>
              <w:left w:val="nil"/>
              <w:bottom w:val="single" w:sz="4" w:space="0" w:color="auto"/>
              <w:right w:val="single" w:sz="4" w:space="0" w:color="auto"/>
            </w:tcBorders>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146 803,4</w:t>
            </w:r>
          </w:p>
        </w:tc>
        <w:tc>
          <w:tcPr>
            <w:tcW w:w="1418" w:type="dxa"/>
            <w:tcBorders>
              <w:top w:val="nil"/>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178 361,5</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prijaté úvery  (FO)</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90 636,0</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150 833,2</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334 066,8</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Výdavky obcí  spolu</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b/>
                <w:bCs/>
                <w:iCs/>
                <w:sz w:val="18"/>
                <w:szCs w:val="18"/>
              </w:rPr>
            </w:pPr>
            <w:r>
              <w:rPr>
                <w:rFonts w:ascii="Times New Roman" w:hAnsi="Times New Roman" w:cs="Times New Roman"/>
                <w:b/>
                <w:bCs/>
                <w:iCs/>
                <w:sz w:val="18"/>
                <w:szCs w:val="18"/>
              </w:rPr>
              <w:t>1 049 771,0</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b/>
                <w:bCs/>
                <w:iCs/>
                <w:sz w:val="18"/>
                <w:szCs w:val="18"/>
              </w:rPr>
            </w:pPr>
            <w:r>
              <w:rPr>
                <w:rFonts w:ascii="Times New Roman" w:hAnsi="Times New Roman" w:cs="Times New Roman"/>
                <w:b/>
                <w:bCs/>
                <w:iCs/>
                <w:sz w:val="18"/>
                <w:szCs w:val="18"/>
              </w:rPr>
              <w:t>2 629 469,6</w:t>
            </w:r>
          </w:p>
        </w:tc>
        <w:tc>
          <w:tcPr>
            <w:tcW w:w="1418" w:type="dxa"/>
            <w:tcBorders>
              <w:top w:val="nil"/>
              <w:left w:val="nil"/>
              <w:bottom w:val="single" w:sz="4" w:space="0" w:color="auto"/>
              <w:right w:val="single" w:sz="4" w:space="0" w:color="auto"/>
            </w:tcBorders>
            <w:shd w:val="clear" w:color="auto" w:fill="FFFFFF"/>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3 848 533,2</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mzdy a odvody</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195 469,0</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913 519,9</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1 278 602,3</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tovary a služby </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293 547,1</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687 240,3</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940 606,5</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bežné transfery</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136 573,1</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243 590,3</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354 450,9</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splácanie úrokov </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34 080,2</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17 944,6</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29 655,1</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kapitálové výdavky</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290 579,6</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630 555,0</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861 541,4</w:t>
            </w:r>
          </w:p>
        </w:tc>
      </w:tr>
      <w:tr w:rsidR="0097152D" w:rsidTr="0097152D">
        <w:trPr>
          <w:trHeight w:val="270"/>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úvery a účasť na majetku (FO)  </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8 886,0</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77 614,0</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12 135,8</w:t>
            </w:r>
          </w:p>
        </w:tc>
      </w:tr>
      <w:tr w:rsidR="0097152D" w:rsidTr="0097152D">
        <w:trPr>
          <w:trHeight w:val="255"/>
        </w:trPr>
        <w:tc>
          <w:tcPr>
            <w:tcW w:w="5118"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splácanie istiny (FO)</w:t>
            </w:r>
          </w:p>
        </w:tc>
        <w:tc>
          <w:tcPr>
            <w:tcW w:w="1560"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56 127,6</w:t>
            </w:r>
          </w:p>
        </w:tc>
        <w:tc>
          <w:tcPr>
            <w:tcW w:w="1417"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59 005,5</w:t>
            </w:r>
          </w:p>
        </w:tc>
        <w:tc>
          <w:tcPr>
            <w:tcW w:w="1418"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371 541,2</w:t>
            </w:r>
          </w:p>
        </w:tc>
      </w:tr>
      <w:tr w:rsidR="0097152D" w:rsidTr="0097152D">
        <w:trPr>
          <w:trHeight w:val="255"/>
        </w:trPr>
        <w:tc>
          <w:tcPr>
            <w:tcW w:w="5118"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Celkový prebytok obcí</w:t>
            </w:r>
          </w:p>
        </w:tc>
        <w:tc>
          <w:tcPr>
            <w:tcW w:w="1560" w:type="dxa"/>
            <w:tcBorders>
              <w:top w:val="single" w:sz="4" w:space="0" w:color="auto"/>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36 271,0</w:t>
            </w:r>
          </w:p>
        </w:tc>
        <w:tc>
          <w:tcPr>
            <w:tcW w:w="1417" w:type="dxa"/>
            <w:tcBorders>
              <w:top w:val="single" w:sz="4" w:space="0" w:color="auto"/>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205 616,4</w:t>
            </w:r>
          </w:p>
        </w:tc>
        <w:tc>
          <w:tcPr>
            <w:tcW w:w="1418" w:type="dxa"/>
            <w:tcBorders>
              <w:top w:val="single" w:sz="4" w:space="0" w:color="auto"/>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150 044,3</w:t>
            </w:r>
          </w:p>
        </w:tc>
      </w:tr>
      <w:tr w:rsidR="0097152D" w:rsidTr="0097152D">
        <w:trPr>
          <w:trHeight w:val="255"/>
        </w:trPr>
        <w:tc>
          <w:tcPr>
            <w:tcW w:w="5118"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 vylúčenie finančných operácií</w:t>
            </w:r>
          </w:p>
        </w:tc>
        <w:tc>
          <w:tcPr>
            <w:tcW w:w="1560"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-80 462,1</w:t>
            </w:r>
          </w:p>
        </w:tc>
        <w:tc>
          <w:tcPr>
            <w:tcW w:w="1417"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-169 670,7</w:t>
            </w:r>
          </w:p>
        </w:tc>
        <w:tc>
          <w:tcPr>
            <w:tcW w:w="1418"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-130 827,3</w:t>
            </w:r>
          </w:p>
        </w:tc>
      </w:tr>
      <w:tr w:rsidR="0097152D" w:rsidTr="0097152D">
        <w:trPr>
          <w:trHeight w:val="255"/>
        </w:trPr>
        <w:tc>
          <w:tcPr>
            <w:tcW w:w="5118"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 xml:space="preserve">   z toho:</w:t>
            </w:r>
          </w:p>
        </w:tc>
        <w:tc>
          <w:tcPr>
            <w:tcW w:w="1560" w:type="dxa"/>
            <w:tcBorders>
              <w:top w:val="single" w:sz="4" w:space="0" w:color="auto"/>
              <w:left w:val="nil"/>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 </w:t>
            </w:r>
          </w:p>
        </w:tc>
        <w:tc>
          <w:tcPr>
            <w:tcW w:w="1417" w:type="dxa"/>
            <w:tcBorders>
              <w:top w:val="single" w:sz="4" w:space="0" w:color="auto"/>
              <w:left w:val="nil"/>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 </w:t>
            </w:r>
          </w:p>
        </w:tc>
        <w:tc>
          <w:tcPr>
            <w:tcW w:w="1418"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w:t>
            </w:r>
          </w:p>
        </w:tc>
      </w:tr>
      <w:tr w:rsidR="0097152D" w:rsidTr="0097152D">
        <w:trPr>
          <w:trHeight w:val="255"/>
        </w:trPr>
        <w:tc>
          <w:tcPr>
            <w:tcW w:w="5118"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vylúčenie príjmových FO</w:t>
            </w:r>
          </w:p>
        </w:tc>
        <w:tc>
          <w:tcPr>
            <w:tcW w:w="1560"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-145 475,7</w:t>
            </w:r>
          </w:p>
        </w:tc>
        <w:tc>
          <w:tcPr>
            <w:tcW w:w="1417"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-306 290,2</w:t>
            </w:r>
          </w:p>
        </w:tc>
        <w:tc>
          <w:tcPr>
            <w:tcW w:w="1418"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-514 504,3</w:t>
            </w:r>
          </w:p>
        </w:tc>
      </w:tr>
      <w:tr w:rsidR="0097152D" w:rsidTr="0097152D">
        <w:trPr>
          <w:trHeight w:val="255"/>
        </w:trPr>
        <w:tc>
          <w:tcPr>
            <w:tcW w:w="5118"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vylúčenie výdavkových FO</w:t>
            </w:r>
          </w:p>
        </w:tc>
        <w:tc>
          <w:tcPr>
            <w:tcW w:w="1560"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65 013,6</w:t>
            </w:r>
          </w:p>
        </w:tc>
        <w:tc>
          <w:tcPr>
            <w:tcW w:w="1417"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136 619,5</w:t>
            </w:r>
          </w:p>
        </w:tc>
        <w:tc>
          <w:tcPr>
            <w:tcW w:w="1418"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383 677,0</w:t>
            </w:r>
          </w:p>
        </w:tc>
      </w:tr>
      <w:tr w:rsidR="0097152D" w:rsidTr="0097152D">
        <w:trPr>
          <w:trHeight w:val="255"/>
        </w:trPr>
        <w:tc>
          <w:tcPr>
            <w:tcW w:w="5118"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Prebytok  obcí po vylúčení FO</w:t>
            </w:r>
          </w:p>
        </w:tc>
        <w:tc>
          <w:tcPr>
            <w:tcW w:w="1560"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-44 191,1</w:t>
            </w:r>
          </w:p>
        </w:tc>
        <w:tc>
          <w:tcPr>
            <w:tcW w:w="1417"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35 945,7</w:t>
            </w:r>
          </w:p>
        </w:tc>
        <w:tc>
          <w:tcPr>
            <w:tcW w:w="1418"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19 217,0</w:t>
            </w:r>
          </w:p>
        </w:tc>
      </w:tr>
      <w:tr w:rsidR="0097152D" w:rsidTr="0097152D">
        <w:trPr>
          <w:trHeight w:val="255"/>
        </w:trPr>
        <w:tc>
          <w:tcPr>
            <w:tcW w:w="5118" w:type="dxa"/>
            <w:tcBorders>
              <w:top w:val="single" w:sz="4" w:space="0" w:color="auto"/>
              <w:left w:val="single" w:sz="4" w:space="0" w:color="auto"/>
              <w:bottom w:val="single" w:sz="4" w:space="0" w:color="auto"/>
              <w:right w:val="single" w:sz="4" w:space="0" w:color="auto"/>
            </w:tcBorders>
            <w:noWrap/>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zmena stavu záväzkov a pohľad.</w:t>
            </w:r>
          </w:p>
        </w:tc>
        <w:tc>
          <w:tcPr>
            <w:tcW w:w="1560"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w:t>
            </w:r>
          </w:p>
        </w:tc>
        <w:tc>
          <w:tcPr>
            <w:tcW w:w="1417" w:type="dxa"/>
            <w:tcBorders>
              <w:top w:val="single" w:sz="4" w:space="0" w:color="auto"/>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-40 762,1</w:t>
            </w:r>
          </w:p>
        </w:tc>
        <w:tc>
          <w:tcPr>
            <w:tcW w:w="1418"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10 312,0</w:t>
            </w:r>
          </w:p>
        </w:tc>
      </w:tr>
      <w:tr w:rsidR="0097152D" w:rsidTr="0097152D">
        <w:trPr>
          <w:trHeight w:val="255"/>
        </w:trPr>
        <w:tc>
          <w:tcPr>
            <w:tcW w:w="5118" w:type="dxa"/>
            <w:tcBorders>
              <w:top w:val="single" w:sz="4" w:space="0" w:color="auto"/>
              <w:left w:val="single" w:sz="4" w:space="0" w:color="auto"/>
              <w:bottom w:val="single" w:sz="8" w:space="0" w:color="auto"/>
              <w:right w:val="single" w:sz="4" w:space="0" w:color="auto"/>
            </w:tcBorders>
            <w:noWrap/>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Schodok/prebytok ESA 95</w:t>
            </w:r>
          </w:p>
        </w:tc>
        <w:tc>
          <w:tcPr>
            <w:tcW w:w="1560" w:type="dxa"/>
            <w:tcBorders>
              <w:top w:val="single" w:sz="4" w:space="0" w:color="auto"/>
              <w:left w:val="nil"/>
              <w:bottom w:val="single" w:sz="8"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-44 191,1</w:t>
            </w:r>
          </w:p>
        </w:tc>
        <w:tc>
          <w:tcPr>
            <w:tcW w:w="1417" w:type="dxa"/>
            <w:tcBorders>
              <w:top w:val="single" w:sz="4" w:space="0" w:color="auto"/>
              <w:left w:val="nil"/>
              <w:bottom w:val="single" w:sz="8"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-4 816,4</w:t>
            </w:r>
          </w:p>
        </w:tc>
        <w:tc>
          <w:tcPr>
            <w:tcW w:w="1418" w:type="dxa"/>
            <w:tcBorders>
              <w:top w:val="single" w:sz="4" w:space="0" w:color="auto"/>
              <w:left w:val="nil"/>
              <w:bottom w:val="single" w:sz="8"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29 529,0</w:t>
            </w:r>
          </w:p>
        </w:tc>
      </w:tr>
    </w:tbl>
    <w:p w:rsidR="0097152D" w:rsidRPr="0068019F" w:rsidRDefault="0097152D" w:rsidP="0097152D">
      <w:pPr>
        <w:spacing w:before="60" w:after="120" w:line="240" w:lineRule="auto"/>
        <w:jc w:val="both"/>
        <w:rPr>
          <w:rFonts w:ascii="Times New Roman" w:eastAsia="Times New Roman" w:hAnsi="Times New Roman" w:cs="Times New Roman"/>
          <w:sz w:val="16"/>
          <w:szCs w:val="16"/>
          <w:lang w:eastAsia="cs-CZ"/>
        </w:rPr>
      </w:pPr>
      <w:r w:rsidRPr="0068019F">
        <w:rPr>
          <w:rFonts w:ascii="Times New Roman" w:eastAsia="Times New Roman" w:hAnsi="Times New Roman" w:cs="Times New Roman"/>
          <w:szCs w:val="36"/>
          <w:lang w:eastAsia="cs-CZ"/>
        </w:rPr>
        <w:t>*</w:t>
      </w:r>
      <w:r w:rsidRPr="0068019F">
        <w:rPr>
          <w:rFonts w:ascii="Times New Roman" w:eastAsia="Times New Roman" w:hAnsi="Times New Roman" w:cs="Times New Roman"/>
          <w:b/>
          <w:sz w:val="16"/>
          <w:szCs w:val="16"/>
          <w:lang w:eastAsia="cs-CZ"/>
        </w:rPr>
        <w:t>Poznámka:</w:t>
      </w:r>
      <w:r w:rsidRPr="0068019F">
        <w:rPr>
          <w:rFonts w:ascii="Times New Roman" w:eastAsia="Times New Roman" w:hAnsi="Times New Roman" w:cs="Times New Roman"/>
          <w:szCs w:val="36"/>
          <w:lang w:eastAsia="cs-CZ"/>
        </w:rPr>
        <w:t xml:space="preserve"> </w:t>
      </w:r>
      <w:r w:rsidRPr="0068019F">
        <w:rPr>
          <w:rFonts w:ascii="Times New Roman" w:eastAsia="Times New Roman" w:hAnsi="Times New Roman" w:cs="Times New Roman"/>
          <w:sz w:val="16"/>
          <w:szCs w:val="16"/>
          <w:lang w:eastAsia="cs-CZ"/>
        </w:rPr>
        <w:t>Údaje o schodku a prebytku boli na základe notifikácie neskoršie upravené nasledovne – v roku 2005 vykázaný prebytok 106 217,7 a v roku 2011 vykázaný schodok v sume -69 093,0. Zmena vyplýva z úpravy záväzkov a pohľadávok bez dopadu na vykázané príjmy a výdavky.</w:t>
      </w:r>
    </w:p>
    <w:p w:rsidR="0097152D" w:rsidRPr="0068019F" w:rsidRDefault="0097152D" w:rsidP="0097152D">
      <w:pPr>
        <w:spacing w:before="120" w:after="120" w:line="240" w:lineRule="auto"/>
        <w:ind w:firstLine="709"/>
        <w:jc w:val="both"/>
        <w:rPr>
          <w:rFonts w:ascii="Times New Roman" w:eastAsia="Times New Roman" w:hAnsi="Times New Roman" w:cs="Times New Roman"/>
          <w:szCs w:val="36"/>
          <w:lang w:eastAsia="cs-CZ"/>
        </w:rPr>
      </w:pPr>
      <w:r w:rsidRPr="0068019F">
        <w:rPr>
          <w:rFonts w:ascii="Times New Roman" w:eastAsia="Times New Roman" w:hAnsi="Times New Roman" w:cs="Times New Roman"/>
          <w:szCs w:val="36"/>
          <w:lang w:eastAsia="cs-CZ"/>
        </w:rPr>
        <w:t>Z uvedeného prehľadu vyplýva, že obce do roku 2001 financovali samosprávne kompetencie vyplývajúce zo zákona č. 369/1990 Zb. o obecnom zriadení v znení neskorších predpisov, ako aj z</w:t>
      </w:r>
      <w:r w:rsidR="006F6EFA">
        <w:rPr>
          <w:rFonts w:ascii="Times New Roman" w:eastAsia="Times New Roman" w:hAnsi="Times New Roman" w:cs="Times New Roman"/>
          <w:szCs w:val="36"/>
          <w:lang w:eastAsia="cs-CZ"/>
        </w:rPr>
        <w:t> </w:t>
      </w:r>
      <w:r w:rsidRPr="0068019F">
        <w:rPr>
          <w:rFonts w:ascii="Times New Roman" w:eastAsia="Times New Roman" w:hAnsi="Times New Roman" w:cs="Times New Roman"/>
          <w:szCs w:val="36"/>
          <w:lang w:eastAsia="cs-CZ"/>
        </w:rPr>
        <w:t xml:space="preserve">ďalších osobitných predpisov. V zmysle </w:t>
      </w:r>
      <w:r w:rsidR="007A4FAD">
        <w:rPr>
          <w:rFonts w:ascii="Times New Roman" w:hAnsi="Times New Roman" w:cs="Times New Roman"/>
        </w:rPr>
        <w:t xml:space="preserve">zákona č. 416/2001 Z. z. </w:t>
      </w:r>
      <w:r w:rsidR="007A4FAD" w:rsidRPr="00917AAB">
        <w:rPr>
          <w:rFonts w:ascii="Times New Roman" w:hAnsi="Times New Roman" w:cs="Times New Roman"/>
        </w:rPr>
        <w:t>o prechode niektorých pôsobností z</w:t>
      </w:r>
      <w:r w:rsidR="007A4FAD">
        <w:rPr>
          <w:rFonts w:ascii="Times New Roman" w:hAnsi="Times New Roman" w:cs="Times New Roman"/>
        </w:rPr>
        <w:t> </w:t>
      </w:r>
      <w:r w:rsidR="007A4FAD" w:rsidRPr="00917AAB">
        <w:rPr>
          <w:rFonts w:ascii="Times New Roman" w:hAnsi="Times New Roman" w:cs="Times New Roman"/>
        </w:rPr>
        <w:t>orgánov štátnej správy</w:t>
      </w:r>
      <w:r w:rsidR="007A4FAD" w:rsidRPr="0068019F">
        <w:rPr>
          <w:rFonts w:ascii="Times New Roman" w:eastAsia="Times New Roman" w:hAnsi="Times New Roman" w:cs="Times New Roman"/>
          <w:szCs w:val="36"/>
          <w:lang w:eastAsia="cs-CZ"/>
        </w:rPr>
        <w:t xml:space="preserve"> </w:t>
      </w:r>
      <w:r w:rsidRPr="0068019F">
        <w:rPr>
          <w:rFonts w:ascii="Times New Roman" w:eastAsia="Times New Roman" w:hAnsi="Times New Roman" w:cs="Times New Roman"/>
          <w:szCs w:val="36"/>
          <w:lang w:eastAsia="cs-CZ"/>
        </w:rPr>
        <w:t>boli od roku 2002 postupne do roku 2003 do pôsobnosti obcí presunuté kompetencie zo štátnej správy na úseku matričnej činnosti, kultúry, školstva, sociálnych vecí, ochrany prírody a vodného hospodárstva, stavebného konania, opatrovateľskej služby, špeciálneho stavebného úradu pre miestne komunikácie a účelové komunikácie a na úseku zdravotníctva – zdravotnícke zariadenia. S presunom kompetencií boli presunuté do rozpočtov obcí aj príslušné objemy finančných prostriedkov, čo vyplýva z údajov roka 200</w:t>
      </w:r>
      <w:r>
        <w:rPr>
          <w:rFonts w:ascii="Times New Roman" w:eastAsia="Times New Roman" w:hAnsi="Times New Roman" w:cs="Times New Roman"/>
          <w:szCs w:val="36"/>
          <w:lang w:eastAsia="cs-CZ"/>
        </w:rPr>
        <w:t>5</w:t>
      </w:r>
      <w:r w:rsidRPr="0068019F">
        <w:rPr>
          <w:rFonts w:ascii="Times New Roman" w:eastAsia="Times New Roman" w:hAnsi="Times New Roman" w:cs="Times New Roman"/>
          <w:szCs w:val="36"/>
          <w:lang w:eastAsia="cs-CZ"/>
        </w:rPr>
        <w:t>, kde sa rozpočet príjmov obcí zvýšil o 261 % a výdavkov o 250 %. Od roku 2002 do roku 200</w:t>
      </w:r>
      <w:r>
        <w:rPr>
          <w:rFonts w:ascii="Times New Roman" w:eastAsia="Times New Roman" w:hAnsi="Times New Roman" w:cs="Times New Roman"/>
          <w:szCs w:val="36"/>
          <w:lang w:eastAsia="cs-CZ"/>
        </w:rPr>
        <w:t>4</w:t>
      </w:r>
      <w:r w:rsidRPr="0068019F">
        <w:rPr>
          <w:rFonts w:ascii="Times New Roman" w:eastAsia="Times New Roman" w:hAnsi="Times New Roman" w:cs="Times New Roman"/>
          <w:szCs w:val="36"/>
          <w:lang w:eastAsia="cs-CZ"/>
        </w:rPr>
        <w:t xml:space="preserve"> boli decentralizované kompetencie financované prostredníctvom decentralizačnej dotácie zo štátneho rozpočtu. </w:t>
      </w:r>
    </w:p>
    <w:p w:rsidR="0097152D" w:rsidRPr="0068019F" w:rsidRDefault="0097152D" w:rsidP="0097152D">
      <w:pPr>
        <w:spacing w:before="120" w:after="120" w:line="240" w:lineRule="auto"/>
        <w:ind w:firstLine="709"/>
        <w:jc w:val="both"/>
        <w:rPr>
          <w:rFonts w:ascii="Times New Roman" w:eastAsia="Times New Roman" w:hAnsi="Times New Roman" w:cs="Times New Roman"/>
          <w:szCs w:val="36"/>
          <w:lang w:eastAsia="cs-CZ"/>
        </w:rPr>
      </w:pPr>
      <w:r w:rsidRPr="0068019F">
        <w:rPr>
          <w:rFonts w:ascii="Times New Roman" w:eastAsia="Times New Roman" w:hAnsi="Times New Roman" w:cs="Times New Roman"/>
          <w:szCs w:val="36"/>
          <w:lang w:eastAsia="cs-CZ"/>
        </w:rPr>
        <w:lastRenderedPageBreak/>
        <w:t>Od roku 2005 došlo v rámci fiškálnej decentralizácie k zmene spôsobu financovania. Financovanie or</w:t>
      </w:r>
      <w:r w:rsidR="006F6EFA">
        <w:rPr>
          <w:rFonts w:ascii="Times New Roman" w:eastAsia="Times New Roman" w:hAnsi="Times New Roman" w:cs="Times New Roman"/>
          <w:szCs w:val="36"/>
          <w:lang w:eastAsia="cs-CZ"/>
        </w:rPr>
        <w:t>iginálnych pôsobností</w:t>
      </w:r>
      <w:r w:rsidRPr="0068019F">
        <w:rPr>
          <w:rFonts w:ascii="Times New Roman" w:eastAsia="Times New Roman" w:hAnsi="Times New Roman" w:cs="Times New Roman"/>
          <w:szCs w:val="36"/>
          <w:lang w:eastAsia="cs-CZ"/>
        </w:rPr>
        <w:t xml:space="preserve"> bolo riešené financovaním z daňových príjmov (podiel na výnose dane z príjmov fyzických osôb a miestne dane). Prenesený výkon štátnej správy je financovaný dotáciami zo štátneho rozpočtu z príslušnej kapitoly. V roku 2011 bol nárast príjmov v rozpočtoch obcí v porovnaní s rokom 2005 o 141 % a výdavkov o 146 %. Podiel na náraste príjmov a výdavkov obcí má aj financovanie spoločných projektov EÚ a SR.</w:t>
      </w:r>
    </w:p>
    <w:p w:rsidR="0097152D" w:rsidRDefault="0097152D" w:rsidP="0097152D">
      <w:pPr>
        <w:spacing w:before="120" w:after="120" w:line="240" w:lineRule="auto"/>
        <w:ind w:firstLine="709"/>
        <w:jc w:val="both"/>
        <w:rPr>
          <w:rFonts w:ascii="Times New Roman" w:eastAsia="Times New Roman" w:hAnsi="Times New Roman" w:cs="Times New Roman"/>
          <w:lang w:eastAsia="cs-CZ"/>
        </w:rPr>
      </w:pPr>
      <w:r w:rsidRPr="0068019F">
        <w:rPr>
          <w:rFonts w:ascii="Times New Roman" w:eastAsia="Times New Roman" w:hAnsi="Times New Roman" w:cs="Times New Roman"/>
          <w:szCs w:val="36"/>
          <w:lang w:eastAsia="cs-CZ"/>
        </w:rPr>
        <w:t>Záverom možno konštatovať že pri porovnaní celkových príjmov obcí je zaznamenaný nárast v roku 2011 oproti roku 2001 o 368%. Celkové výdavky obcí bez rozlíšenia finančných objemov na originálny a prenesený výkon kompetencií v referenčných rokoch 2001, 2005 a 2011 vykazujú stúpajúci trend, výdavky roku 2011 v porovnaní s rokom 2005 narástli o 146%, v porovnaní s rokom 2001 až o 366%. Porovnaním nárastu príjmov a výdavkov v sledovaných parametroch sa dá konštatovať, že vývoj je vyvážený.</w:t>
      </w:r>
    </w:p>
    <w:p w:rsidR="0097152D" w:rsidRPr="00B26489" w:rsidRDefault="0097152D" w:rsidP="0097152D">
      <w:pPr>
        <w:spacing w:before="120" w:after="60" w:line="240" w:lineRule="auto"/>
        <w:jc w:val="center"/>
        <w:rPr>
          <w:rFonts w:ascii="Times New Roman" w:hAnsi="Times New Roman" w:cs="Times New Roman"/>
          <w:sz w:val="16"/>
          <w:szCs w:val="16"/>
        </w:rPr>
      </w:pPr>
      <w:r>
        <w:rPr>
          <w:rFonts w:ascii="Times New Roman" w:eastAsia="Times New Roman" w:hAnsi="Times New Roman" w:cs="Times New Roman"/>
          <w:b/>
          <w:sz w:val="16"/>
          <w:szCs w:val="16"/>
          <w:lang w:eastAsia="cs-CZ"/>
        </w:rPr>
        <w:t>Tabuľka 16</w:t>
      </w:r>
      <w:r>
        <w:rPr>
          <w:rFonts w:ascii="Times New Roman" w:eastAsia="Times New Roman" w:hAnsi="Times New Roman" w:cs="Times New Roman"/>
          <w:sz w:val="16"/>
          <w:szCs w:val="16"/>
          <w:lang w:eastAsia="cs-CZ"/>
        </w:rPr>
        <w:t>:</w:t>
      </w:r>
      <w:r w:rsidRPr="00B26489">
        <w:rPr>
          <w:rFonts w:ascii="Times New Roman" w:eastAsia="Times New Roman" w:hAnsi="Times New Roman" w:cs="Times New Roman"/>
          <w:sz w:val="16"/>
          <w:szCs w:val="16"/>
          <w:lang w:eastAsia="cs-CZ"/>
        </w:rPr>
        <w:t xml:space="preserve"> Rozpočtové hospodárenie samosprávnych krajov v referenčných rokoch</w:t>
      </w:r>
    </w:p>
    <w:tbl>
      <w:tblPr>
        <w:tblW w:w="9513" w:type="dxa"/>
        <w:tblInd w:w="55" w:type="dxa"/>
        <w:tblCellMar>
          <w:left w:w="70" w:type="dxa"/>
          <w:right w:w="70" w:type="dxa"/>
        </w:tblCellMar>
        <w:tblLook w:val="04A0" w:firstRow="1" w:lastRow="0" w:firstColumn="1" w:lastColumn="0" w:noHBand="0" w:noVBand="1"/>
      </w:tblPr>
      <w:tblGrid>
        <w:gridCol w:w="5402"/>
        <w:gridCol w:w="1559"/>
        <w:gridCol w:w="2552"/>
      </w:tblGrid>
      <w:tr w:rsidR="0097152D" w:rsidTr="0097152D">
        <w:trPr>
          <w:trHeight w:val="255"/>
        </w:trPr>
        <w:tc>
          <w:tcPr>
            <w:tcW w:w="5402" w:type="dxa"/>
            <w:vMerge w:val="restart"/>
            <w:tcBorders>
              <w:top w:val="single" w:sz="8" w:space="0" w:color="auto"/>
              <w:left w:val="single" w:sz="8" w:space="0" w:color="auto"/>
              <w:bottom w:val="single" w:sz="4" w:space="0" w:color="auto"/>
              <w:right w:val="single" w:sz="8" w:space="0" w:color="auto"/>
            </w:tcBorders>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(v tis. eur)</w:t>
            </w:r>
          </w:p>
        </w:tc>
        <w:tc>
          <w:tcPr>
            <w:tcW w:w="4111" w:type="dxa"/>
            <w:gridSpan w:val="2"/>
            <w:tcBorders>
              <w:top w:val="single" w:sz="8" w:space="0" w:color="auto"/>
              <w:left w:val="nil"/>
              <w:bottom w:val="single" w:sz="8" w:space="0" w:color="auto"/>
              <w:right w:val="single" w:sz="4" w:space="0" w:color="auto"/>
            </w:tcBorders>
            <w:noWrap/>
            <w:vAlign w:val="center"/>
            <w:hideMark/>
          </w:tcPr>
          <w:p w:rsidR="0097152D" w:rsidRDefault="0097152D" w:rsidP="0097152D">
            <w:pPr>
              <w:spacing w:after="0"/>
              <w:jc w:val="center"/>
              <w:rPr>
                <w:rFonts w:ascii="Times New Roman" w:hAnsi="Times New Roman" w:cs="Times New Roman"/>
                <w:b/>
                <w:bCs/>
                <w:sz w:val="18"/>
                <w:szCs w:val="18"/>
              </w:rPr>
            </w:pPr>
            <w:r>
              <w:rPr>
                <w:rFonts w:ascii="Times New Roman" w:hAnsi="Times New Roman" w:cs="Times New Roman"/>
                <w:b/>
                <w:bCs/>
                <w:sz w:val="18"/>
                <w:szCs w:val="18"/>
              </w:rPr>
              <w:t xml:space="preserve"> Skutočnosť</w:t>
            </w:r>
          </w:p>
        </w:tc>
      </w:tr>
      <w:tr w:rsidR="0097152D" w:rsidTr="0097152D">
        <w:trPr>
          <w:trHeight w:val="255"/>
        </w:trPr>
        <w:tc>
          <w:tcPr>
            <w:tcW w:w="0" w:type="auto"/>
            <w:vMerge/>
            <w:tcBorders>
              <w:top w:val="single" w:sz="8" w:space="0" w:color="auto"/>
              <w:left w:val="single" w:sz="8" w:space="0" w:color="auto"/>
              <w:bottom w:val="single" w:sz="4" w:space="0" w:color="auto"/>
              <w:right w:val="single" w:sz="8" w:space="0" w:color="auto"/>
            </w:tcBorders>
            <w:vAlign w:val="center"/>
            <w:hideMark/>
          </w:tcPr>
          <w:p w:rsidR="0097152D" w:rsidRDefault="0097152D" w:rsidP="0097152D">
            <w:pPr>
              <w:spacing w:after="0" w:line="240" w:lineRule="auto"/>
              <w:rPr>
                <w:rFonts w:ascii="Times New Roman" w:hAnsi="Times New Roman" w:cs="Times New Roman"/>
                <w:sz w:val="18"/>
                <w:szCs w:val="18"/>
              </w:rPr>
            </w:pPr>
          </w:p>
        </w:tc>
        <w:tc>
          <w:tcPr>
            <w:tcW w:w="1559" w:type="dxa"/>
            <w:tcBorders>
              <w:top w:val="single" w:sz="8" w:space="0" w:color="auto"/>
              <w:left w:val="nil"/>
              <w:bottom w:val="single" w:sz="4" w:space="0" w:color="auto"/>
              <w:right w:val="single" w:sz="8" w:space="0" w:color="auto"/>
            </w:tcBorders>
            <w:hideMark/>
          </w:tcPr>
          <w:p w:rsidR="0097152D" w:rsidRDefault="0097152D" w:rsidP="0097152D">
            <w:pPr>
              <w:spacing w:after="0"/>
              <w:jc w:val="center"/>
              <w:rPr>
                <w:rFonts w:ascii="Times New Roman" w:hAnsi="Times New Roman" w:cs="Times New Roman"/>
                <w:b/>
                <w:bCs/>
                <w:sz w:val="18"/>
                <w:szCs w:val="18"/>
              </w:rPr>
            </w:pPr>
            <w:r>
              <w:rPr>
                <w:rFonts w:ascii="Times New Roman" w:hAnsi="Times New Roman" w:cs="Times New Roman"/>
                <w:b/>
                <w:bCs/>
                <w:sz w:val="18"/>
                <w:szCs w:val="18"/>
              </w:rPr>
              <w:t>2005</w:t>
            </w:r>
          </w:p>
        </w:tc>
        <w:tc>
          <w:tcPr>
            <w:tcW w:w="2552" w:type="dxa"/>
            <w:tcBorders>
              <w:top w:val="single" w:sz="8" w:space="0" w:color="auto"/>
              <w:left w:val="nil"/>
              <w:bottom w:val="single" w:sz="4" w:space="0" w:color="auto"/>
              <w:right w:val="single" w:sz="4" w:space="0" w:color="auto"/>
            </w:tcBorders>
            <w:hideMark/>
          </w:tcPr>
          <w:p w:rsidR="0097152D" w:rsidRDefault="0097152D" w:rsidP="0097152D">
            <w:pPr>
              <w:spacing w:after="0"/>
              <w:jc w:val="center"/>
              <w:rPr>
                <w:rFonts w:ascii="Times New Roman" w:hAnsi="Times New Roman" w:cs="Times New Roman"/>
                <w:b/>
                <w:bCs/>
                <w:sz w:val="18"/>
                <w:szCs w:val="18"/>
              </w:rPr>
            </w:pPr>
            <w:r>
              <w:rPr>
                <w:rFonts w:ascii="Times New Roman" w:hAnsi="Times New Roman" w:cs="Times New Roman"/>
                <w:b/>
                <w:bCs/>
                <w:sz w:val="18"/>
                <w:szCs w:val="18"/>
              </w:rPr>
              <w:t>2011</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Príjmy VÚC spolu</w:t>
            </w:r>
          </w:p>
        </w:tc>
        <w:tc>
          <w:tcPr>
            <w:tcW w:w="1559" w:type="dxa"/>
            <w:tcBorders>
              <w:top w:val="single" w:sz="4" w:space="0" w:color="auto"/>
              <w:left w:val="nil"/>
              <w:bottom w:val="single" w:sz="4" w:space="0" w:color="auto"/>
              <w:right w:val="single" w:sz="4" w:space="0" w:color="auto"/>
            </w:tcBorders>
            <w:shd w:val="clear" w:color="auto" w:fill="FFFFFF"/>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815 030,2</w:t>
            </w:r>
          </w:p>
        </w:tc>
        <w:tc>
          <w:tcPr>
            <w:tcW w:w="2552" w:type="dxa"/>
            <w:tcBorders>
              <w:top w:val="single" w:sz="4" w:space="0" w:color="auto"/>
              <w:left w:val="nil"/>
              <w:bottom w:val="single" w:sz="4" w:space="0" w:color="auto"/>
              <w:right w:val="single" w:sz="4" w:space="0" w:color="auto"/>
            </w:tcBorders>
            <w:shd w:val="clear" w:color="auto" w:fill="FFFFFF"/>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1 315 250,6</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daňové príjmy </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388 232,8</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523 984,6</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nedaňové príjmy</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63 871,7</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78 792,8</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granty a transfery</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334 239,5</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485 977,1</w:t>
            </w:r>
          </w:p>
        </w:tc>
      </w:tr>
      <w:tr w:rsidR="0097152D" w:rsidTr="0097152D">
        <w:trPr>
          <w:trHeight w:val="5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zo splátok úverov, pôžičiek, z predaja majetkových účastí a FNM a iné (FO)</w:t>
            </w:r>
          </w:p>
        </w:tc>
        <w:tc>
          <w:tcPr>
            <w:tcW w:w="1559" w:type="dxa"/>
            <w:tcBorders>
              <w:top w:val="nil"/>
              <w:left w:val="nil"/>
              <w:bottom w:val="single" w:sz="4" w:space="0" w:color="auto"/>
              <w:right w:val="single" w:sz="4" w:space="0" w:color="auto"/>
            </w:tcBorders>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39,8</w:t>
            </w:r>
          </w:p>
        </w:tc>
        <w:tc>
          <w:tcPr>
            <w:tcW w:w="2552" w:type="dxa"/>
            <w:tcBorders>
              <w:top w:val="nil"/>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253,3</w:t>
            </w:r>
          </w:p>
        </w:tc>
      </w:tr>
      <w:tr w:rsidR="0097152D" w:rsidTr="0097152D">
        <w:trPr>
          <w:trHeight w:val="5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zostatok prostriedkov z </w:t>
            </w:r>
            <w:proofErr w:type="spellStart"/>
            <w:r>
              <w:rPr>
                <w:rFonts w:ascii="Times New Roman" w:hAnsi="Times New Roman" w:cs="Times New Roman"/>
                <w:sz w:val="18"/>
                <w:szCs w:val="18"/>
              </w:rPr>
              <w:t>predch</w:t>
            </w:r>
            <w:proofErr w:type="spellEnd"/>
            <w:r>
              <w:rPr>
                <w:rFonts w:ascii="Times New Roman" w:hAnsi="Times New Roman" w:cs="Times New Roman"/>
                <w:sz w:val="18"/>
                <w:szCs w:val="18"/>
              </w:rPr>
              <w:t>. rokov a prevod prostriedkov z peňažných fondov a </w:t>
            </w:r>
            <w:proofErr w:type="spellStart"/>
            <w:r>
              <w:rPr>
                <w:rFonts w:ascii="Times New Roman" w:hAnsi="Times New Roman" w:cs="Times New Roman"/>
                <w:sz w:val="18"/>
                <w:szCs w:val="18"/>
              </w:rPr>
              <w:t>ost</w:t>
            </w:r>
            <w:proofErr w:type="spellEnd"/>
            <w:r>
              <w:rPr>
                <w:rFonts w:ascii="Times New Roman" w:hAnsi="Times New Roman" w:cs="Times New Roman"/>
                <w:sz w:val="18"/>
                <w:szCs w:val="18"/>
              </w:rPr>
              <w:t>. FO</w:t>
            </w:r>
          </w:p>
        </w:tc>
        <w:tc>
          <w:tcPr>
            <w:tcW w:w="1559" w:type="dxa"/>
            <w:tcBorders>
              <w:top w:val="nil"/>
              <w:left w:val="nil"/>
              <w:bottom w:val="single" w:sz="4" w:space="0" w:color="auto"/>
              <w:right w:val="single" w:sz="4" w:space="0" w:color="auto"/>
            </w:tcBorders>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10 512,5</w:t>
            </w:r>
          </w:p>
        </w:tc>
        <w:tc>
          <w:tcPr>
            <w:tcW w:w="2552" w:type="dxa"/>
            <w:tcBorders>
              <w:top w:val="nil"/>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55 928,1</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prijaté úvery  (FO)</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18 133,8</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170 314,7</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Výdavky VÚC spolu</w:t>
            </w:r>
          </w:p>
        </w:tc>
        <w:tc>
          <w:tcPr>
            <w:tcW w:w="1559" w:type="dxa"/>
            <w:tcBorders>
              <w:top w:val="nil"/>
              <w:left w:val="nil"/>
              <w:bottom w:val="single" w:sz="4" w:space="0" w:color="auto"/>
              <w:right w:val="single" w:sz="4" w:space="0" w:color="auto"/>
            </w:tcBorders>
            <w:shd w:val="clear" w:color="auto" w:fill="FFFFFF"/>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796 358,6</w:t>
            </w:r>
          </w:p>
        </w:tc>
        <w:tc>
          <w:tcPr>
            <w:tcW w:w="2552" w:type="dxa"/>
            <w:tcBorders>
              <w:top w:val="nil"/>
              <w:left w:val="nil"/>
              <w:bottom w:val="single" w:sz="4" w:space="0" w:color="auto"/>
              <w:right w:val="single" w:sz="4" w:space="0" w:color="auto"/>
            </w:tcBorders>
            <w:shd w:val="clear" w:color="auto" w:fill="FFFFFF"/>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1 250 034,5</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mzdy a odvody</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271 695,5</w:t>
            </w:r>
          </w:p>
        </w:tc>
        <w:tc>
          <w:tcPr>
            <w:tcW w:w="2552" w:type="dxa"/>
            <w:tcBorders>
              <w:top w:val="nil"/>
              <w:left w:val="nil"/>
              <w:bottom w:val="single" w:sz="4" w:space="0" w:color="auto"/>
              <w:right w:val="single" w:sz="4" w:space="0" w:color="auto"/>
            </w:tcBorders>
            <w:shd w:val="clear" w:color="auto" w:fill="FFFFFF"/>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340 667,0</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tovary a služby </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160 519,2</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210 422,2</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bežné transfery</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276 492,1</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409 408,4</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splácanie úrokov </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434,8</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8 258,6</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kapitálové výdavky</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86 373,9</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122 375,8</w:t>
            </w:r>
          </w:p>
        </w:tc>
      </w:tr>
      <w:tr w:rsidR="0097152D" w:rsidTr="0097152D">
        <w:trPr>
          <w:trHeight w:val="300"/>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úvery a účasť na majetku (FO)  </w:t>
            </w:r>
          </w:p>
        </w:tc>
        <w:tc>
          <w:tcPr>
            <w:tcW w:w="1559" w:type="dxa"/>
            <w:tcBorders>
              <w:top w:val="nil"/>
              <w:left w:val="nil"/>
              <w:bottom w:val="single" w:sz="4" w:space="0" w:color="auto"/>
              <w:right w:val="single" w:sz="4" w:space="0" w:color="auto"/>
            </w:tcBorders>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418,2</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1 381,9</w:t>
            </w:r>
          </w:p>
        </w:tc>
      </w:tr>
      <w:tr w:rsidR="0097152D" w:rsidTr="0097152D">
        <w:trPr>
          <w:trHeight w:val="255"/>
        </w:trPr>
        <w:tc>
          <w:tcPr>
            <w:tcW w:w="5402" w:type="dxa"/>
            <w:tcBorders>
              <w:top w:val="nil"/>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splácanie istiny (FO)</w:t>
            </w:r>
          </w:p>
        </w:tc>
        <w:tc>
          <w:tcPr>
            <w:tcW w:w="1559" w:type="dxa"/>
            <w:tcBorders>
              <w:top w:val="nil"/>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424,9</w:t>
            </w:r>
          </w:p>
        </w:tc>
        <w:tc>
          <w:tcPr>
            <w:tcW w:w="2552" w:type="dxa"/>
            <w:tcBorders>
              <w:top w:val="nil"/>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157 520,6</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Celkový prebytok VÚC</w:t>
            </w:r>
          </w:p>
        </w:tc>
        <w:tc>
          <w:tcPr>
            <w:tcW w:w="1559" w:type="dxa"/>
            <w:tcBorders>
              <w:top w:val="single" w:sz="4" w:space="0" w:color="auto"/>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18 671,5</w:t>
            </w:r>
          </w:p>
        </w:tc>
        <w:tc>
          <w:tcPr>
            <w:tcW w:w="2552" w:type="dxa"/>
            <w:tcBorders>
              <w:top w:val="single" w:sz="4" w:space="0" w:color="auto"/>
              <w:left w:val="nil"/>
              <w:bottom w:val="single" w:sz="4" w:space="0" w:color="auto"/>
              <w:right w:val="single" w:sz="4" w:space="0" w:color="auto"/>
            </w:tcBorders>
            <w:noWrap/>
            <w:vAlign w:val="center"/>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65 216,1</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 vylúčenie finančných operácií</w:t>
            </w:r>
          </w:p>
        </w:tc>
        <w:tc>
          <w:tcPr>
            <w:tcW w:w="1559"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-27 843,0</w:t>
            </w:r>
          </w:p>
        </w:tc>
        <w:tc>
          <w:tcPr>
            <w:tcW w:w="2552"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-67 593,6</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 xml:space="preserve">   z toho:</w:t>
            </w:r>
          </w:p>
        </w:tc>
        <w:tc>
          <w:tcPr>
            <w:tcW w:w="1559" w:type="dxa"/>
            <w:tcBorders>
              <w:top w:val="single" w:sz="4" w:space="0" w:color="auto"/>
              <w:left w:val="nil"/>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 </w:t>
            </w:r>
          </w:p>
        </w:tc>
        <w:tc>
          <w:tcPr>
            <w:tcW w:w="2552"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vylúčenie príjmových FO</w:t>
            </w:r>
          </w:p>
        </w:tc>
        <w:tc>
          <w:tcPr>
            <w:tcW w:w="1559"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-28 686,1</w:t>
            </w:r>
          </w:p>
        </w:tc>
        <w:tc>
          <w:tcPr>
            <w:tcW w:w="2552"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-226 496,1</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vylúčenie výdavkových FO</w:t>
            </w:r>
          </w:p>
        </w:tc>
        <w:tc>
          <w:tcPr>
            <w:tcW w:w="1559"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843,1</w:t>
            </w:r>
          </w:p>
        </w:tc>
        <w:tc>
          <w:tcPr>
            <w:tcW w:w="2552"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158 902,5</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hideMark/>
          </w:tcPr>
          <w:p w:rsidR="0097152D" w:rsidRDefault="0097152D" w:rsidP="0097152D">
            <w:pPr>
              <w:spacing w:after="0"/>
              <w:rPr>
                <w:rFonts w:ascii="Times New Roman" w:hAnsi="Times New Roman" w:cs="Times New Roman"/>
                <w:b/>
                <w:bCs/>
                <w:iCs/>
                <w:sz w:val="18"/>
                <w:szCs w:val="18"/>
              </w:rPr>
            </w:pPr>
            <w:r>
              <w:rPr>
                <w:rFonts w:ascii="Times New Roman" w:hAnsi="Times New Roman" w:cs="Times New Roman"/>
                <w:b/>
                <w:bCs/>
                <w:iCs/>
                <w:sz w:val="18"/>
                <w:szCs w:val="18"/>
              </w:rPr>
              <w:t>Prebytok VÚC po vylúčení FO</w:t>
            </w:r>
          </w:p>
        </w:tc>
        <w:tc>
          <w:tcPr>
            <w:tcW w:w="1559"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-9 171,5</w:t>
            </w:r>
          </w:p>
        </w:tc>
        <w:tc>
          <w:tcPr>
            <w:tcW w:w="2552"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b/>
                <w:bCs/>
                <w:sz w:val="18"/>
                <w:szCs w:val="18"/>
              </w:rPr>
            </w:pPr>
            <w:r>
              <w:rPr>
                <w:rFonts w:ascii="Times New Roman" w:hAnsi="Times New Roman" w:cs="Times New Roman"/>
                <w:b/>
                <w:bCs/>
                <w:sz w:val="18"/>
                <w:szCs w:val="18"/>
              </w:rPr>
              <w:t>-2 377,5</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noWrap/>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 xml:space="preserve"> -zmena stavu záväzkov a pohľad. a </w:t>
            </w:r>
            <w:proofErr w:type="spellStart"/>
            <w:r>
              <w:rPr>
                <w:rFonts w:ascii="Times New Roman" w:hAnsi="Times New Roman" w:cs="Times New Roman"/>
                <w:sz w:val="18"/>
                <w:szCs w:val="18"/>
              </w:rPr>
              <w:t>ost</w:t>
            </w:r>
            <w:proofErr w:type="spellEnd"/>
            <w:r>
              <w:rPr>
                <w:rFonts w:ascii="Times New Roman" w:hAnsi="Times New Roman" w:cs="Times New Roman"/>
                <w:sz w:val="18"/>
                <w:szCs w:val="18"/>
              </w:rPr>
              <w:t>.</w:t>
            </w:r>
            <w:r w:rsidR="00D55A7B">
              <w:rPr>
                <w:rFonts w:ascii="Times New Roman" w:hAnsi="Times New Roman" w:cs="Times New Roman"/>
                <w:sz w:val="18"/>
                <w:szCs w:val="18"/>
              </w:rPr>
              <w:t xml:space="preserve"> </w:t>
            </w:r>
            <w:r>
              <w:rPr>
                <w:rFonts w:ascii="Times New Roman" w:hAnsi="Times New Roman" w:cs="Times New Roman"/>
                <w:sz w:val="18"/>
                <w:szCs w:val="18"/>
              </w:rPr>
              <w:t>úpravy</w:t>
            </w:r>
          </w:p>
        </w:tc>
        <w:tc>
          <w:tcPr>
            <w:tcW w:w="1559" w:type="dxa"/>
            <w:tcBorders>
              <w:top w:val="single" w:sz="4" w:space="0" w:color="auto"/>
              <w:left w:val="nil"/>
              <w:bottom w:val="single" w:sz="4" w:space="0" w:color="auto"/>
              <w:right w:val="single" w:sz="4" w:space="0" w:color="auto"/>
            </w:tcBorders>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-85 043,0</w:t>
            </w:r>
          </w:p>
        </w:tc>
        <w:tc>
          <w:tcPr>
            <w:tcW w:w="2552"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2 596,0</w:t>
            </w:r>
          </w:p>
        </w:tc>
      </w:tr>
      <w:tr w:rsidR="0097152D" w:rsidTr="0097152D">
        <w:trPr>
          <w:trHeight w:val="255"/>
        </w:trPr>
        <w:tc>
          <w:tcPr>
            <w:tcW w:w="5402" w:type="dxa"/>
            <w:tcBorders>
              <w:top w:val="single" w:sz="4" w:space="0" w:color="auto"/>
              <w:left w:val="single" w:sz="4" w:space="0" w:color="auto"/>
              <w:bottom w:val="single" w:sz="4" w:space="0" w:color="auto"/>
              <w:right w:val="single" w:sz="4" w:space="0" w:color="auto"/>
            </w:tcBorders>
            <w:noWrap/>
            <w:vAlign w:val="bottom"/>
            <w:hideMark/>
          </w:tcPr>
          <w:p w:rsidR="0097152D" w:rsidRDefault="0097152D" w:rsidP="0097152D">
            <w:pPr>
              <w:spacing w:after="0"/>
              <w:rPr>
                <w:rFonts w:ascii="Times New Roman" w:hAnsi="Times New Roman" w:cs="Times New Roman"/>
                <w:sz w:val="18"/>
                <w:szCs w:val="18"/>
              </w:rPr>
            </w:pPr>
            <w:r>
              <w:rPr>
                <w:rFonts w:ascii="Times New Roman" w:hAnsi="Times New Roman" w:cs="Times New Roman"/>
                <w:sz w:val="18"/>
                <w:szCs w:val="18"/>
              </w:rPr>
              <w:t>Schodok/prebytok ESA 95</w:t>
            </w:r>
          </w:p>
        </w:tc>
        <w:tc>
          <w:tcPr>
            <w:tcW w:w="1559"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-94 214,5</w:t>
            </w:r>
          </w:p>
        </w:tc>
        <w:tc>
          <w:tcPr>
            <w:tcW w:w="2552" w:type="dxa"/>
            <w:tcBorders>
              <w:top w:val="single" w:sz="4" w:space="0" w:color="auto"/>
              <w:left w:val="nil"/>
              <w:bottom w:val="single" w:sz="4" w:space="0" w:color="auto"/>
              <w:right w:val="single" w:sz="4" w:space="0" w:color="auto"/>
            </w:tcBorders>
            <w:noWrap/>
            <w:vAlign w:val="bottom"/>
            <w:hideMark/>
          </w:tcPr>
          <w:p w:rsidR="0097152D" w:rsidRDefault="0097152D" w:rsidP="0097152D">
            <w:pPr>
              <w:spacing w:after="0"/>
              <w:jc w:val="right"/>
              <w:rPr>
                <w:rFonts w:ascii="Times New Roman" w:hAnsi="Times New Roman" w:cs="Times New Roman"/>
                <w:sz w:val="18"/>
                <w:szCs w:val="18"/>
              </w:rPr>
            </w:pPr>
            <w:r>
              <w:rPr>
                <w:rFonts w:ascii="Times New Roman" w:hAnsi="Times New Roman" w:cs="Times New Roman"/>
                <w:sz w:val="18"/>
                <w:szCs w:val="18"/>
              </w:rPr>
              <w:t>218,5</w:t>
            </w:r>
          </w:p>
        </w:tc>
      </w:tr>
    </w:tbl>
    <w:p w:rsidR="0097152D" w:rsidRPr="0068019F" w:rsidRDefault="0097152D" w:rsidP="0097152D">
      <w:pPr>
        <w:spacing w:before="60" w:after="120" w:line="240" w:lineRule="auto"/>
        <w:jc w:val="both"/>
        <w:rPr>
          <w:rFonts w:ascii="Times New Roman" w:eastAsia="Times New Roman" w:hAnsi="Times New Roman" w:cs="Times New Roman"/>
          <w:sz w:val="16"/>
          <w:szCs w:val="16"/>
          <w:lang w:eastAsia="cs-CZ"/>
        </w:rPr>
      </w:pPr>
      <w:r w:rsidRPr="0068019F">
        <w:rPr>
          <w:rFonts w:ascii="Times New Roman" w:eastAsia="Times New Roman" w:hAnsi="Times New Roman" w:cs="Times New Roman"/>
          <w:szCs w:val="36"/>
          <w:lang w:eastAsia="cs-CZ"/>
        </w:rPr>
        <w:t>*</w:t>
      </w:r>
      <w:r w:rsidRPr="0068019F">
        <w:rPr>
          <w:rFonts w:ascii="Times New Roman" w:eastAsia="Times New Roman" w:hAnsi="Times New Roman" w:cs="Times New Roman"/>
          <w:b/>
          <w:sz w:val="16"/>
          <w:szCs w:val="16"/>
          <w:lang w:eastAsia="cs-CZ"/>
        </w:rPr>
        <w:t>Poznámka:</w:t>
      </w:r>
      <w:r w:rsidRPr="0068019F">
        <w:rPr>
          <w:rFonts w:ascii="Times New Roman" w:eastAsia="Times New Roman" w:hAnsi="Times New Roman" w:cs="Times New Roman"/>
          <w:szCs w:val="36"/>
          <w:lang w:eastAsia="cs-CZ"/>
        </w:rPr>
        <w:t xml:space="preserve"> </w:t>
      </w:r>
      <w:r w:rsidRPr="0068019F">
        <w:rPr>
          <w:rFonts w:ascii="Times New Roman" w:eastAsia="Times New Roman" w:hAnsi="Times New Roman" w:cs="Times New Roman"/>
          <w:sz w:val="16"/>
          <w:szCs w:val="16"/>
          <w:lang w:eastAsia="cs-CZ"/>
        </w:rPr>
        <w:t>Údaje o prebytku za rok 2011 boli na základe notifikácie neskoršie upravené nasledovne – prebytok v roku 2011 na 4 134,5. Zmena vyplýva z úpravy záväzkov a pohľadávok bez dopadu na vykázané príjmy a výdavky.</w:t>
      </w:r>
    </w:p>
    <w:p w:rsidR="0097152D" w:rsidRPr="0068019F" w:rsidRDefault="0097152D" w:rsidP="0097152D">
      <w:pPr>
        <w:spacing w:before="120" w:after="120" w:line="240" w:lineRule="auto"/>
        <w:ind w:firstLine="709"/>
        <w:jc w:val="both"/>
        <w:rPr>
          <w:rFonts w:ascii="Times New Roman" w:eastAsia="Times New Roman" w:hAnsi="Times New Roman" w:cs="Times New Roman"/>
          <w:szCs w:val="36"/>
          <w:lang w:eastAsia="cs-CZ"/>
        </w:rPr>
      </w:pPr>
      <w:r w:rsidRPr="0068019F">
        <w:rPr>
          <w:rFonts w:ascii="Times New Roman" w:eastAsia="Times New Roman" w:hAnsi="Times New Roman" w:cs="Times New Roman"/>
          <w:szCs w:val="36"/>
          <w:lang w:eastAsia="cs-CZ"/>
        </w:rPr>
        <w:t>Vyššie územné celky začali svoju činnosť od roku 2002 podľa zákona č. 302/2001 Z. z. o samosprávnych krajoch. Zriadením samosprávnych krajov sa do ich pôsobnosti presúvali kompetencie zo</w:t>
      </w:r>
      <w:r w:rsidR="006F6EFA">
        <w:rPr>
          <w:rFonts w:ascii="Times New Roman" w:eastAsia="Times New Roman" w:hAnsi="Times New Roman" w:cs="Times New Roman"/>
          <w:szCs w:val="36"/>
          <w:lang w:eastAsia="cs-CZ"/>
        </w:rPr>
        <w:t> </w:t>
      </w:r>
      <w:r w:rsidRPr="0068019F">
        <w:rPr>
          <w:rFonts w:ascii="Times New Roman" w:eastAsia="Times New Roman" w:hAnsi="Times New Roman" w:cs="Times New Roman"/>
          <w:szCs w:val="36"/>
          <w:lang w:eastAsia="cs-CZ"/>
        </w:rPr>
        <w:t xml:space="preserve">štátnej správy postupne v rokoch 2002 až do roku 2004 podľa </w:t>
      </w:r>
      <w:r w:rsidR="007A4FAD">
        <w:rPr>
          <w:rFonts w:ascii="Times New Roman" w:hAnsi="Times New Roman" w:cs="Times New Roman"/>
        </w:rPr>
        <w:t xml:space="preserve">zákona č. 416/2001 Z. z. </w:t>
      </w:r>
      <w:r w:rsidR="007A4FAD" w:rsidRPr="00917AAB">
        <w:rPr>
          <w:rFonts w:ascii="Times New Roman" w:hAnsi="Times New Roman" w:cs="Times New Roman"/>
        </w:rPr>
        <w:t>o prechode niektorých pôsobností z orgánov štátnej správy</w:t>
      </w:r>
      <w:r w:rsidR="007A4FAD">
        <w:rPr>
          <w:rFonts w:ascii="Times New Roman" w:eastAsia="Times New Roman" w:hAnsi="Times New Roman" w:cs="Times New Roman"/>
          <w:szCs w:val="36"/>
          <w:lang w:eastAsia="cs-CZ"/>
        </w:rPr>
        <w:t xml:space="preserve"> </w:t>
      </w:r>
      <w:r>
        <w:rPr>
          <w:rFonts w:ascii="Times New Roman" w:eastAsia="Times New Roman" w:hAnsi="Times New Roman" w:cs="Times New Roman"/>
          <w:szCs w:val="36"/>
          <w:lang w:eastAsia="cs-CZ"/>
        </w:rPr>
        <w:t>na úseku regionálneho</w:t>
      </w:r>
      <w:r w:rsidRPr="0068019F">
        <w:rPr>
          <w:rFonts w:ascii="Times New Roman" w:eastAsia="Times New Roman" w:hAnsi="Times New Roman" w:cs="Times New Roman"/>
          <w:szCs w:val="36"/>
          <w:lang w:eastAsia="cs-CZ"/>
        </w:rPr>
        <w:t xml:space="preserve"> rozvoj</w:t>
      </w:r>
      <w:r>
        <w:rPr>
          <w:rFonts w:ascii="Times New Roman" w:eastAsia="Times New Roman" w:hAnsi="Times New Roman" w:cs="Times New Roman"/>
          <w:szCs w:val="36"/>
          <w:lang w:eastAsia="cs-CZ"/>
        </w:rPr>
        <w:t>a,</w:t>
      </w:r>
      <w:r w:rsidRPr="0068019F">
        <w:rPr>
          <w:rFonts w:ascii="Times New Roman" w:eastAsia="Times New Roman" w:hAnsi="Times New Roman" w:cs="Times New Roman"/>
          <w:szCs w:val="36"/>
          <w:lang w:eastAsia="cs-CZ"/>
        </w:rPr>
        <w:t xml:space="preserve"> cestovného ruchu, civilnej ochrany obyvateľstva, kultúry, dopravy – autobusová doprava, školstva, sociálnych služieb, zdravotnej starostlivosti, humánnej farmácie, zdravotníckych zariadení a cestného hospodárstva - správy a údržby ciest II. a III. triedy. S presunom kompetencií bol do rozpočtov samosprávnych krajov presunutý aj príslušný objem finančných prostriedkov. Činnosť úradov samosprávnych krajov aj presunuté kompetencie od roku 2002 do roku 2004 boli financované z decentralizačnej dotácie zo štátneho rozpočtu. Od roku 2005 sú kompetencie financované formou daňových príjmov – podiel na výnose dane z príjmov fyzických osôb a výnos dane z motorových vozidiel (ich vlastný daňový príjem) a formou dotácií zo štátneho rozpočtu. Z daňových príjmov sú financované samosprávne pôsobnosti a z dotácií zo štátneho rozpočtu sú </w:t>
      </w:r>
      <w:r w:rsidRPr="0068019F">
        <w:rPr>
          <w:rFonts w:ascii="Times New Roman" w:eastAsia="Times New Roman" w:hAnsi="Times New Roman" w:cs="Times New Roman"/>
          <w:szCs w:val="36"/>
          <w:lang w:eastAsia="cs-CZ"/>
        </w:rPr>
        <w:lastRenderedPageBreak/>
        <w:t xml:space="preserve">financované pôsobnosti preneseného výkonu štátnej správy a niektoré spoločné úlohy štátu a samosprávy. Porovnaním úrovní príjmov a výdavkov samosprávnych krajov za referenčné roky možno konštatovať, že vývoj v objemoch finančných prostriedkov je navzájom vyvážený. </w:t>
      </w:r>
    </w:p>
    <w:p w:rsidR="0097152D" w:rsidRPr="0097152D" w:rsidRDefault="0097152D" w:rsidP="0097152D">
      <w:pPr>
        <w:spacing w:before="120" w:after="120" w:line="240" w:lineRule="auto"/>
        <w:ind w:firstLine="709"/>
        <w:jc w:val="both"/>
        <w:rPr>
          <w:rFonts w:ascii="Times New Roman" w:eastAsia="Times New Roman" w:hAnsi="Times New Roman" w:cs="Times New Roman"/>
          <w:szCs w:val="36"/>
          <w:lang w:eastAsia="cs-CZ"/>
        </w:rPr>
      </w:pPr>
      <w:r w:rsidRPr="0068019F">
        <w:rPr>
          <w:rFonts w:ascii="Times New Roman" w:eastAsia="Times New Roman" w:hAnsi="Times New Roman" w:cs="Times New Roman"/>
          <w:szCs w:val="36"/>
          <w:lang w:eastAsia="cs-CZ"/>
        </w:rPr>
        <w:t xml:space="preserve">Nárast celkových príjmov v roku 2011 v porovnaní s rokom 2005 je 161 % a celkových výdavkov o 157 %. Podiel na náraste príjmov a výdavkov VÚC má aj financovanie spoločných projektov EÚ a SR. </w:t>
      </w:r>
    </w:p>
    <w:p w:rsidR="00087B04" w:rsidRDefault="00087B04" w:rsidP="00E62A70">
      <w:pPr>
        <w:pStyle w:val="tla1"/>
        <w:rPr>
          <w:lang w:eastAsia="sk-SK"/>
        </w:rPr>
      </w:pPr>
      <w:bookmarkStart w:id="26" w:name="_Toc373740556"/>
      <w:r w:rsidRPr="00E73ABF">
        <w:rPr>
          <w:lang w:eastAsia="sk-SK"/>
        </w:rPr>
        <w:t>Záver</w:t>
      </w:r>
      <w:bookmarkEnd w:id="26"/>
    </w:p>
    <w:p w:rsidR="0037308D" w:rsidRPr="0037308D" w:rsidRDefault="0037308D" w:rsidP="007B584B">
      <w:pPr>
        <w:spacing w:before="120" w:after="0" w:line="240" w:lineRule="auto"/>
        <w:ind w:firstLine="709"/>
        <w:jc w:val="both"/>
        <w:rPr>
          <w:rFonts w:ascii="Times New Roman" w:eastAsia="Times New Roman" w:hAnsi="Times New Roman" w:cs="Times New Roman"/>
          <w:lang w:eastAsia="sk-SK"/>
        </w:rPr>
      </w:pPr>
      <w:r w:rsidRPr="0037308D">
        <w:rPr>
          <w:rFonts w:ascii="Times New Roman" w:eastAsia="Times New Roman" w:hAnsi="Times New Roman" w:cs="Times New Roman"/>
          <w:lang w:eastAsia="sk-SK"/>
        </w:rPr>
        <w:t xml:space="preserve">Počas uplynulých 22 rokov sa uskutočnili pokusy dokumentovať a analyzovať (aspoň parciálne) niektoré oblasti činnosti územných samospráv. Úspešnosť týchto aktivít bola v podstate minimálna. Na posúdenie tak zložitého systému ako je územná samospráva, nemôže postačiť jednorazový zber informácií. </w:t>
      </w:r>
    </w:p>
    <w:p w:rsidR="00FC6729" w:rsidRDefault="00FE447F" w:rsidP="007B584B">
      <w:pPr>
        <w:spacing w:before="120" w:after="0" w:line="240" w:lineRule="auto"/>
        <w:ind w:firstLine="709"/>
        <w:jc w:val="both"/>
        <w:rPr>
          <w:rFonts w:ascii="Times New Roman" w:eastAsia="Times New Roman" w:hAnsi="Times New Roman" w:cs="Times New Roman"/>
          <w:lang w:eastAsia="sk-SK"/>
        </w:rPr>
      </w:pPr>
      <w:r w:rsidRPr="0037308D">
        <w:rPr>
          <w:rFonts w:ascii="Times New Roman" w:eastAsia="Times New Roman" w:hAnsi="Times New Roman" w:cs="Times New Roman"/>
          <w:lang w:eastAsia="sk-SK"/>
        </w:rPr>
        <w:t>V územnej samospráve (ako aj v celej verejnej správe) už roky absentuje systémovo ošetrený pravidelný monitoring všetkých relevantných parametrov (legislatívny</w:t>
      </w:r>
      <w:r w:rsidR="00BB4C2A">
        <w:rPr>
          <w:rFonts w:ascii="Times New Roman" w:eastAsia="Times New Roman" w:hAnsi="Times New Roman" w:cs="Times New Roman"/>
          <w:lang w:eastAsia="sk-SK"/>
        </w:rPr>
        <w:t>ch, ekonomických,</w:t>
      </w:r>
      <w:r w:rsidRPr="0037308D">
        <w:rPr>
          <w:rFonts w:ascii="Times New Roman" w:eastAsia="Times New Roman" w:hAnsi="Times New Roman" w:cs="Times New Roman"/>
          <w:lang w:eastAsia="sk-SK"/>
        </w:rPr>
        <w:t xml:space="preserve"> sociálnych atď.). Ani audit nepreukázal zlepšenie uvedeného stavu. </w:t>
      </w:r>
    </w:p>
    <w:p w:rsidR="00FC6729" w:rsidRDefault="00FC6729" w:rsidP="007B584B">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Zo správ jednotlivých ministerstiev vyplýva</w:t>
      </w:r>
      <w:r w:rsidRPr="00FC6729">
        <w:rPr>
          <w:rFonts w:ascii="Times New Roman" w:eastAsia="Times New Roman" w:hAnsi="Times New Roman" w:cs="Times New Roman"/>
          <w:lang w:eastAsia="sk-SK"/>
        </w:rPr>
        <w:t xml:space="preserve">, že ústredné orgány štátnej správy </w:t>
      </w:r>
      <w:r w:rsidR="00D55B52">
        <w:rPr>
          <w:rFonts w:ascii="Times New Roman" w:eastAsia="Times New Roman" w:hAnsi="Times New Roman" w:cs="Times New Roman"/>
          <w:lang w:eastAsia="sk-SK"/>
        </w:rPr>
        <w:t xml:space="preserve">dlhodobo </w:t>
      </w:r>
      <w:r w:rsidRPr="00FC6729">
        <w:rPr>
          <w:rFonts w:ascii="Times New Roman" w:eastAsia="Times New Roman" w:hAnsi="Times New Roman" w:cs="Times New Roman"/>
          <w:lang w:eastAsia="sk-SK"/>
        </w:rPr>
        <w:t>nemajú vytvorenú príslušnú databázu ukazovateľov a údajov o výkone prenesených pôsobností štátnej správy na územnú samosprávu.</w:t>
      </w:r>
    </w:p>
    <w:p w:rsidR="00FE447F" w:rsidRDefault="00070080" w:rsidP="007B584B">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Z tohto dôvodu </w:t>
      </w:r>
      <w:r w:rsidR="00FC6729" w:rsidRPr="0037308D">
        <w:rPr>
          <w:rFonts w:ascii="Times New Roman" w:eastAsia="Times New Roman" w:hAnsi="Times New Roman" w:cs="Times New Roman"/>
          <w:lang w:eastAsia="sk-SK"/>
        </w:rPr>
        <w:t>si</w:t>
      </w:r>
      <w:r w:rsidR="00FC6729">
        <w:rPr>
          <w:rFonts w:ascii="Times New Roman" w:eastAsia="Times New Roman" w:hAnsi="Times New Roman" w:cs="Times New Roman"/>
          <w:lang w:eastAsia="sk-SK"/>
        </w:rPr>
        <w:t xml:space="preserve"> </w:t>
      </w:r>
      <w:r>
        <w:rPr>
          <w:rFonts w:ascii="Times New Roman" w:eastAsia="Times New Roman" w:hAnsi="Times New Roman" w:cs="Times New Roman"/>
          <w:lang w:eastAsia="sk-SK"/>
        </w:rPr>
        <w:t>n</w:t>
      </w:r>
      <w:r w:rsidR="00946B6B">
        <w:rPr>
          <w:rFonts w:ascii="Times New Roman" w:eastAsia="Times New Roman" w:hAnsi="Times New Roman" w:cs="Times New Roman"/>
          <w:lang w:eastAsia="sk-SK"/>
        </w:rPr>
        <w:t>iektoré ministerstvá p</w:t>
      </w:r>
      <w:r w:rsidR="00FE447F" w:rsidRPr="0037308D">
        <w:rPr>
          <w:rFonts w:ascii="Times New Roman" w:eastAsia="Times New Roman" w:hAnsi="Times New Roman" w:cs="Times New Roman"/>
          <w:lang w:eastAsia="sk-SK"/>
        </w:rPr>
        <w:t>re potreby auditu vytvárali nové ukazovatele kvality. Vhodnosť a dostatočnosť týchto ukazovateľov pritom len ojedinele konzultovali so ZMOS a SK8.</w:t>
      </w:r>
    </w:p>
    <w:p w:rsidR="004B6199" w:rsidRDefault="00913BF3" w:rsidP="004B6199">
      <w:pPr>
        <w:spacing w:before="120" w:after="0" w:line="240" w:lineRule="auto"/>
        <w:ind w:firstLine="709"/>
        <w:jc w:val="both"/>
        <w:rPr>
          <w:rFonts w:ascii="Times New Roman" w:eastAsia="Times New Roman" w:hAnsi="Times New Roman" w:cs="Times New Roman"/>
          <w:lang w:eastAsia="sk-SK"/>
        </w:rPr>
      </w:pPr>
      <w:r w:rsidRPr="0037308D">
        <w:rPr>
          <w:rFonts w:ascii="Times New Roman" w:eastAsia="Times New Roman" w:hAnsi="Times New Roman" w:cs="Times New Roman"/>
          <w:lang w:eastAsia="sk-SK"/>
        </w:rPr>
        <w:t>Ministerstvá získavali podklady z rôznych druhov zdrojov. Niektoré priamo oslovovali obce a</w:t>
      </w:r>
      <w:r w:rsidR="00BB4C2A">
        <w:rPr>
          <w:rFonts w:ascii="Times New Roman" w:eastAsia="Times New Roman" w:hAnsi="Times New Roman" w:cs="Times New Roman"/>
          <w:lang w:eastAsia="sk-SK"/>
        </w:rPr>
        <w:t> </w:t>
      </w:r>
      <w:r w:rsidRPr="0037308D">
        <w:rPr>
          <w:rFonts w:ascii="Times New Roman" w:eastAsia="Times New Roman" w:hAnsi="Times New Roman" w:cs="Times New Roman"/>
          <w:lang w:eastAsia="sk-SK"/>
        </w:rPr>
        <w:t xml:space="preserve">samosprávne kraje, niektoré získavali podklady prostredníctvom obvodných úradov, iné oslovili ZMOS alebo využívali vlastné databázy. </w:t>
      </w:r>
    </w:p>
    <w:p w:rsidR="00CE253A" w:rsidRPr="00FC6729" w:rsidRDefault="005178F5" w:rsidP="004B6199">
      <w:pPr>
        <w:spacing w:before="120" w:after="0" w:line="240" w:lineRule="auto"/>
        <w:ind w:firstLine="709"/>
        <w:jc w:val="both"/>
        <w:rPr>
          <w:rFonts w:ascii="Times New Roman" w:eastAsia="Times New Roman" w:hAnsi="Times New Roman" w:cs="Times New Roman"/>
          <w:lang w:eastAsia="sk-SK"/>
        </w:rPr>
      </w:pPr>
      <w:r>
        <w:rPr>
          <w:rFonts w:ascii="Times New Roman" w:eastAsia="Times New Roman" w:hAnsi="Times New Roman" w:cs="Times New Roman"/>
          <w:lang w:eastAsia="sk-SK"/>
        </w:rPr>
        <w:t>V prípade oslovovania obcí a samosprávnych krajov, ú</w:t>
      </w:r>
      <w:r w:rsidRPr="00FC6729">
        <w:rPr>
          <w:rFonts w:ascii="Times New Roman" w:eastAsia="Times New Roman" w:hAnsi="Times New Roman" w:cs="Times New Roman"/>
          <w:lang w:eastAsia="sk-SK"/>
        </w:rPr>
        <w:t>daje boli</w:t>
      </w:r>
      <w:r>
        <w:rPr>
          <w:rFonts w:ascii="Times New Roman" w:eastAsia="Times New Roman" w:hAnsi="Times New Roman" w:cs="Times New Roman"/>
          <w:lang w:eastAsia="sk-SK"/>
        </w:rPr>
        <w:t xml:space="preserve"> často získavané separátne, t. j. jednotlivé ministerstvá, dokonca i útvary ministerstiev (týka sa to ministerstva dopravy) konali samostatne, resp. izolovane (nekoordinovali svoj postup). </w:t>
      </w:r>
      <w:r w:rsidR="00CE253A">
        <w:rPr>
          <w:rFonts w:ascii="Times New Roman" w:eastAsia="Times New Roman" w:hAnsi="Times New Roman" w:cs="Times New Roman"/>
          <w:lang w:eastAsia="sk-SK"/>
        </w:rPr>
        <w:t xml:space="preserve">Údaje boli zbierané najčastejšie </w:t>
      </w:r>
      <w:r w:rsidR="00CE253A" w:rsidRPr="00FC6729">
        <w:rPr>
          <w:rFonts w:ascii="Times New Roman" w:eastAsia="Times New Roman" w:hAnsi="Times New Roman" w:cs="Times New Roman"/>
          <w:lang w:eastAsia="sk-SK"/>
        </w:rPr>
        <w:t>len pre potreby auditu</w:t>
      </w:r>
      <w:r w:rsidR="00CE253A">
        <w:rPr>
          <w:rFonts w:ascii="Times New Roman" w:eastAsia="Times New Roman" w:hAnsi="Times New Roman" w:cs="Times New Roman"/>
          <w:lang w:eastAsia="sk-SK"/>
        </w:rPr>
        <w:t xml:space="preserve"> </w:t>
      </w:r>
      <w:r w:rsidR="00CE253A" w:rsidRPr="00FC6729">
        <w:rPr>
          <w:rFonts w:ascii="Times New Roman" w:eastAsia="Times New Roman" w:hAnsi="Times New Roman" w:cs="Times New Roman"/>
          <w:lang w:eastAsia="sk-SK"/>
        </w:rPr>
        <w:t>formou dotazníkov</w:t>
      </w:r>
      <w:r w:rsidR="00CE253A">
        <w:rPr>
          <w:rFonts w:ascii="Times New Roman" w:eastAsia="Times New Roman" w:hAnsi="Times New Roman" w:cs="Times New Roman"/>
          <w:lang w:eastAsia="sk-SK"/>
        </w:rPr>
        <w:t xml:space="preserve"> a</w:t>
      </w:r>
      <w:r w:rsidR="004B6199">
        <w:rPr>
          <w:rFonts w:ascii="Times New Roman" w:eastAsia="Times New Roman" w:hAnsi="Times New Roman" w:cs="Times New Roman"/>
          <w:lang w:eastAsia="sk-SK"/>
        </w:rPr>
        <w:t xml:space="preserve"> zasielaním </w:t>
      </w:r>
      <w:r w:rsidR="00CE253A">
        <w:rPr>
          <w:rFonts w:ascii="Times New Roman" w:eastAsia="Times New Roman" w:hAnsi="Times New Roman" w:cs="Times New Roman"/>
          <w:lang w:eastAsia="sk-SK"/>
        </w:rPr>
        <w:t>požiada</w:t>
      </w:r>
      <w:r w:rsidR="004B6199">
        <w:rPr>
          <w:rFonts w:ascii="Times New Roman" w:eastAsia="Times New Roman" w:hAnsi="Times New Roman" w:cs="Times New Roman"/>
          <w:lang w:eastAsia="sk-SK"/>
        </w:rPr>
        <w:t>viek</w:t>
      </w:r>
      <w:r w:rsidR="00CE253A">
        <w:rPr>
          <w:rFonts w:ascii="Times New Roman" w:eastAsia="Times New Roman" w:hAnsi="Times New Roman" w:cs="Times New Roman"/>
          <w:lang w:eastAsia="sk-SK"/>
        </w:rPr>
        <w:t xml:space="preserve"> na doplnenie údajov do tabuliek</w:t>
      </w:r>
      <w:r w:rsidR="00CE253A" w:rsidRPr="00FC6729">
        <w:rPr>
          <w:rFonts w:ascii="Times New Roman" w:eastAsia="Times New Roman" w:hAnsi="Times New Roman" w:cs="Times New Roman"/>
          <w:lang w:eastAsia="sk-SK"/>
        </w:rPr>
        <w:t>. Vyplňovanie dotazníkov</w:t>
      </w:r>
      <w:r w:rsidR="00CE253A">
        <w:rPr>
          <w:rFonts w:ascii="Times New Roman" w:eastAsia="Times New Roman" w:hAnsi="Times New Roman" w:cs="Times New Roman"/>
          <w:lang w:eastAsia="sk-SK"/>
        </w:rPr>
        <w:t xml:space="preserve"> a tabuliek</w:t>
      </w:r>
      <w:r w:rsidR="00CE253A" w:rsidRPr="00FC6729">
        <w:rPr>
          <w:rFonts w:ascii="Times New Roman" w:eastAsia="Times New Roman" w:hAnsi="Times New Roman" w:cs="Times New Roman"/>
          <w:lang w:eastAsia="sk-SK"/>
        </w:rPr>
        <w:t xml:space="preserve"> bolo na báze dobrovoľnosti a podľa informácií zo správ, návratnosť údajo</w:t>
      </w:r>
      <w:r w:rsidR="00DE5B33">
        <w:rPr>
          <w:rFonts w:ascii="Times New Roman" w:eastAsia="Times New Roman" w:hAnsi="Times New Roman" w:cs="Times New Roman"/>
          <w:lang w:eastAsia="sk-SK"/>
        </w:rPr>
        <w:t>v zo strany obcí nedosiahla ani</w:t>
      </w:r>
      <w:r w:rsidR="00CE253A" w:rsidRPr="00FC6729">
        <w:rPr>
          <w:rFonts w:ascii="Times New Roman" w:eastAsia="Times New Roman" w:hAnsi="Times New Roman" w:cs="Times New Roman"/>
          <w:lang w:eastAsia="sk-SK"/>
        </w:rPr>
        <w:t xml:space="preserve"> 50 %. Niektoré </w:t>
      </w:r>
      <w:r w:rsidR="00CE253A">
        <w:rPr>
          <w:rFonts w:ascii="Times New Roman" w:eastAsia="Times New Roman" w:hAnsi="Times New Roman" w:cs="Times New Roman"/>
          <w:lang w:eastAsia="sk-SK"/>
        </w:rPr>
        <w:t>ministerstvá</w:t>
      </w:r>
      <w:r w:rsidR="00CE253A" w:rsidRPr="00FC6729">
        <w:rPr>
          <w:rFonts w:ascii="Times New Roman" w:eastAsia="Times New Roman" w:hAnsi="Times New Roman" w:cs="Times New Roman"/>
          <w:lang w:eastAsia="sk-SK"/>
        </w:rPr>
        <w:t xml:space="preserve"> v správe dokonca poukazujú, že hodnovernosť údajov je skreslená a limitovaná spôsobom zberu.</w:t>
      </w:r>
    </w:p>
    <w:p w:rsidR="00FC6729" w:rsidRDefault="00FC6729" w:rsidP="00FC6729">
      <w:pPr>
        <w:spacing w:before="120" w:after="0" w:line="240" w:lineRule="auto"/>
        <w:ind w:firstLine="709"/>
        <w:jc w:val="both"/>
        <w:rPr>
          <w:rFonts w:ascii="Times New Roman" w:eastAsia="Times New Roman" w:hAnsi="Times New Roman" w:cs="Times New Roman"/>
          <w:lang w:eastAsia="sk-SK"/>
        </w:rPr>
      </w:pPr>
      <w:r w:rsidRPr="00FC6729">
        <w:rPr>
          <w:rFonts w:ascii="Times New Roman" w:eastAsia="Times New Roman" w:hAnsi="Times New Roman" w:cs="Times New Roman"/>
          <w:lang w:eastAsia="sk-SK"/>
        </w:rPr>
        <w:t>Z uvedeného vyplýva, že jednotlivým rezortom chýba spätná väzba potrebná na vyhodnotenie kvantity a kvality zabezpečenia prenesených kompetencií</w:t>
      </w:r>
      <w:r w:rsidR="00E77D40">
        <w:rPr>
          <w:rFonts w:ascii="Times New Roman" w:eastAsia="Times New Roman" w:hAnsi="Times New Roman" w:cs="Times New Roman"/>
          <w:lang w:eastAsia="sk-SK"/>
        </w:rPr>
        <w:t>,</w:t>
      </w:r>
      <w:r w:rsidRPr="00FC6729">
        <w:rPr>
          <w:rFonts w:ascii="Times New Roman" w:eastAsia="Times New Roman" w:hAnsi="Times New Roman" w:cs="Times New Roman"/>
          <w:lang w:eastAsia="sk-SK"/>
        </w:rPr>
        <w:t xml:space="preserve"> ako aj úrovne ich finančného krytia. V správe rezorty poukazujú na absenciu zákonnej úpravy o povinnosti zberu relevantných údajov.</w:t>
      </w:r>
    </w:p>
    <w:p w:rsidR="00AA63FE" w:rsidRPr="0037308D" w:rsidRDefault="00AA63FE" w:rsidP="007B584B">
      <w:pPr>
        <w:spacing w:before="120" w:after="0" w:line="240" w:lineRule="auto"/>
        <w:ind w:firstLine="709"/>
        <w:jc w:val="both"/>
        <w:rPr>
          <w:rFonts w:ascii="Times New Roman" w:eastAsia="Times New Roman" w:hAnsi="Times New Roman" w:cs="Times New Roman"/>
          <w:lang w:eastAsia="sk-SK"/>
        </w:rPr>
      </w:pPr>
      <w:r w:rsidRPr="00AA63FE">
        <w:rPr>
          <w:rFonts w:ascii="Times New Roman" w:eastAsia="Times New Roman" w:hAnsi="Times New Roman" w:cs="Times New Roman"/>
          <w:lang w:eastAsia="sk-SK"/>
        </w:rPr>
        <w:t>Kritické názory sú prezentované na nedostatočnú odbornú spôsobilosť zamestnancov obcí na niektorých úsekoch činnosti, a preto jednoznačne požadujú zaviesť povinnosť plnenia osobitného kvalifikačného predpokladu na výkon všetkých odborných pozícií (najmä úsek životného prostredia, školstva, stavebného poriadku a pozemných komunikácií).</w:t>
      </w:r>
    </w:p>
    <w:p w:rsidR="00AA63FE" w:rsidRDefault="00CE7D2C" w:rsidP="007B584B">
      <w:pPr>
        <w:spacing w:before="120" w:after="0" w:line="240" w:lineRule="auto"/>
        <w:ind w:firstLine="709"/>
        <w:jc w:val="both"/>
        <w:rPr>
          <w:rFonts w:ascii="Times New Roman" w:eastAsia="Times New Roman" w:hAnsi="Times New Roman" w:cs="Times New Roman"/>
          <w:lang w:eastAsia="sk-SK"/>
        </w:rPr>
      </w:pPr>
      <w:r w:rsidRPr="0037308D">
        <w:rPr>
          <w:rFonts w:ascii="Times New Roman" w:eastAsia="Times New Roman" w:hAnsi="Times New Roman" w:cs="Times New Roman"/>
          <w:lang w:eastAsia="sk-SK"/>
        </w:rPr>
        <w:t xml:space="preserve">Ministerstvá o výkone samosprávnych pôsobností </w:t>
      </w:r>
      <w:r w:rsidR="001F3622">
        <w:rPr>
          <w:rFonts w:ascii="Times New Roman" w:eastAsia="Times New Roman" w:hAnsi="Times New Roman" w:cs="Times New Roman"/>
          <w:lang w:eastAsia="sk-SK"/>
        </w:rPr>
        <w:t>majú obmedzené</w:t>
      </w:r>
      <w:r w:rsidRPr="0037308D">
        <w:rPr>
          <w:rFonts w:ascii="Times New Roman" w:eastAsia="Times New Roman" w:hAnsi="Times New Roman" w:cs="Times New Roman"/>
          <w:lang w:eastAsia="sk-SK"/>
        </w:rPr>
        <w:t xml:space="preserve"> poznatky</w:t>
      </w:r>
      <w:r>
        <w:rPr>
          <w:rFonts w:ascii="Times New Roman" w:eastAsia="Times New Roman" w:hAnsi="Times New Roman" w:cs="Times New Roman"/>
          <w:lang w:eastAsia="sk-SK"/>
        </w:rPr>
        <w:t xml:space="preserve">, preto v časti </w:t>
      </w:r>
      <w:r w:rsidR="0067049A">
        <w:rPr>
          <w:rFonts w:ascii="Times New Roman" w:eastAsia="Times New Roman" w:hAnsi="Times New Roman" w:cs="Times New Roman"/>
          <w:lang w:eastAsia="sk-SK"/>
        </w:rPr>
        <w:t>správ o </w:t>
      </w:r>
      <w:r w:rsidR="009B3657">
        <w:rPr>
          <w:rFonts w:ascii="Times New Roman" w:eastAsia="Times New Roman" w:hAnsi="Times New Roman" w:cs="Times New Roman"/>
          <w:lang w:eastAsia="sk-SK"/>
        </w:rPr>
        <w:t>samosprávnych pôsobnostiach</w:t>
      </w:r>
      <w:r>
        <w:rPr>
          <w:rFonts w:ascii="Times New Roman" w:eastAsia="Times New Roman" w:hAnsi="Times New Roman" w:cs="Times New Roman"/>
          <w:lang w:eastAsia="sk-SK"/>
        </w:rPr>
        <w:t xml:space="preserve"> chýbajú údaje a hodnotenia.</w:t>
      </w:r>
      <w:r w:rsidRPr="0037308D">
        <w:rPr>
          <w:rFonts w:ascii="Times New Roman" w:eastAsia="Times New Roman" w:hAnsi="Times New Roman" w:cs="Times New Roman"/>
          <w:lang w:eastAsia="sk-SK"/>
        </w:rPr>
        <w:t xml:space="preserve"> </w:t>
      </w:r>
    </w:p>
    <w:p w:rsidR="0065406C" w:rsidRDefault="0037308D" w:rsidP="007B584B">
      <w:pPr>
        <w:spacing w:before="120" w:after="0" w:line="240" w:lineRule="auto"/>
        <w:ind w:firstLine="709"/>
        <w:jc w:val="both"/>
        <w:rPr>
          <w:rFonts w:ascii="Times New Roman" w:eastAsia="Times New Roman" w:hAnsi="Times New Roman" w:cs="Times New Roman"/>
          <w:lang w:eastAsia="sk-SK"/>
        </w:rPr>
      </w:pPr>
      <w:r w:rsidRPr="0037308D">
        <w:rPr>
          <w:rFonts w:ascii="Times New Roman" w:eastAsia="Times New Roman" w:hAnsi="Times New Roman" w:cs="Times New Roman"/>
          <w:lang w:eastAsia="sk-SK"/>
        </w:rPr>
        <w:t>Ministerstvá sa pri hodnotení výkonu pôsobností sústredili len na základné ukazovatele.</w:t>
      </w:r>
      <w:r w:rsidR="00C446D0" w:rsidRPr="00C446D0">
        <w:rPr>
          <w:rFonts w:ascii="Times New Roman" w:eastAsia="Times New Roman" w:hAnsi="Times New Roman" w:cs="Times New Roman"/>
          <w:lang w:eastAsia="sk-SK"/>
        </w:rPr>
        <w:t xml:space="preserve"> </w:t>
      </w:r>
    </w:p>
    <w:p w:rsidR="00761429" w:rsidRDefault="0037308D" w:rsidP="00172C93">
      <w:pPr>
        <w:spacing w:before="120" w:after="0" w:line="240" w:lineRule="auto"/>
        <w:ind w:firstLine="709"/>
        <w:jc w:val="both"/>
        <w:rPr>
          <w:rFonts w:ascii="Times New Roman" w:eastAsia="Times New Roman" w:hAnsi="Times New Roman" w:cs="Times New Roman"/>
          <w:lang w:eastAsia="sk-SK"/>
        </w:rPr>
      </w:pPr>
      <w:r w:rsidRPr="0037308D">
        <w:rPr>
          <w:rFonts w:ascii="Times New Roman" w:eastAsia="Times New Roman" w:hAnsi="Times New Roman" w:cs="Times New Roman"/>
          <w:lang w:eastAsia="sk-SK"/>
        </w:rPr>
        <w:t xml:space="preserve">Napriek </w:t>
      </w:r>
      <w:r w:rsidR="004520AA">
        <w:rPr>
          <w:rFonts w:ascii="Times New Roman" w:eastAsia="Times New Roman" w:hAnsi="Times New Roman" w:cs="Times New Roman"/>
          <w:lang w:eastAsia="sk-SK"/>
        </w:rPr>
        <w:t xml:space="preserve">čiastkovým </w:t>
      </w:r>
      <w:r w:rsidRPr="0037308D">
        <w:rPr>
          <w:rFonts w:ascii="Times New Roman" w:eastAsia="Times New Roman" w:hAnsi="Times New Roman" w:cs="Times New Roman"/>
          <w:lang w:eastAsia="sk-SK"/>
        </w:rPr>
        <w:t xml:space="preserve">nedostatkom pri vypracovávaní správy o audite niektoré ministerstvá poskytli návrhy opatrení na zlepšenie aplikačnej praxe, ktoré sú uvedené v prílohe </w:t>
      </w:r>
      <w:r w:rsidR="0098643A">
        <w:rPr>
          <w:rFonts w:ascii="Times New Roman" w:eastAsia="Times New Roman" w:hAnsi="Times New Roman" w:cs="Times New Roman"/>
          <w:lang w:eastAsia="sk-SK"/>
        </w:rPr>
        <w:t>7</w:t>
      </w:r>
      <w:r w:rsidRPr="0037308D">
        <w:rPr>
          <w:rFonts w:ascii="Times New Roman" w:eastAsia="Times New Roman" w:hAnsi="Times New Roman" w:cs="Times New Roman"/>
          <w:lang w:eastAsia="sk-SK"/>
        </w:rPr>
        <w:t>. Niektoré ministerstvá už začali</w:t>
      </w:r>
      <w:r w:rsidR="00172C93">
        <w:rPr>
          <w:rFonts w:ascii="Times New Roman" w:eastAsia="Times New Roman" w:hAnsi="Times New Roman" w:cs="Times New Roman"/>
          <w:lang w:eastAsia="sk-SK"/>
        </w:rPr>
        <w:t xml:space="preserve"> svoje opatrenia aj realizovať.</w:t>
      </w:r>
    </w:p>
    <w:p w:rsidR="00904BBC" w:rsidRDefault="00904BBC" w:rsidP="00CA5E57">
      <w:pPr>
        <w:spacing w:before="120" w:after="0" w:line="240" w:lineRule="auto"/>
        <w:ind w:firstLine="709"/>
        <w:jc w:val="both"/>
        <w:rPr>
          <w:rFonts w:ascii="Times New Roman" w:eastAsia="Times New Roman" w:hAnsi="Times New Roman" w:cs="Times New Roman"/>
          <w:lang w:eastAsia="sk-SK"/>
        </w:rPr>
      </w:pPr>
      <w:r w:rsidRPr="00904BBC">
        <w:rPr>
          <w:rFonts w:ascii="Times New Roman" w:eastAsia="Times New Roman" w:hAnsi="Times New Roman" w:cs="Times New Roman"/>
          <w:lang w:eastAsia="sk-SK"/>
        </w:rPr>
        <w:t>V rámci rezortných návrhov o</w:t>
      </w:r>
      <w:r>
        <w:rPr>
          <w:rFonts w:ascii="Times New Roman" w:eastAsia="Times New Roman" w:hAnsi="Times New Roman" w:cs="Times New Roman"/>
          <w:lang w:eastAsia="sk-SK"/>
        </w:rPr>
        <w:t xml:space="preserve">patrení sú čiastočne vyjadrené </w:t>
      </w:r>
      <w:r w:rsidRPr="00904BBC">
        <w:rPr>
          <w:rFonts w:ascii="Times New Roman" w:eastAsia="Times New Roman" w:hAnsi="Times New Roman" w:cs="Times New Roman"/>
          <w:lang w:eastAsia="sk-SK"/>
        </w:rPr>
        <w:t>tiež návrhy na zabezpečenie financovania kompetencií vecne príslušných odvetví verejnej správy. Uznesenie vlády 638 z 21. novembra 2012 k Správe o niektorých problémoch v oblasti územnej samosprávy a návrhoch na ich riešenie uložilo príslušným ministrom a predsedom ostatných ústredných orgánov štátnej správy predložiť návrh optimalizácie financovania vyšších územných celkov a obcí v nadväznosti na výsledky auditu verejnej správy v termíne do 31. decembra 2013. V kontexte uvedenej úlohy bude možné následne formulovať komplexné návrhy možných úprav financovania kompetencií verejnej správy.</w:t>
      </w:r>
    </w:p>
    <w:p w:rsidR="00CA5E57" w:rsidRDefault="00CA5E57" w:rsidP="00D55B52">
      <w:pPr>
        <w:keepNext/>
        <w:spacing w:before="120" w:after="0" w:line="240" w:lineRule="auto"/>
        <w:ind w:firstLine="709"/>
        <w:jc w:val="both"/>
        <w:rPr>
          <w:rFonts w:ascii="Times New Roman" w:eastAsia="Times New Roman" w:hAnsi="Times New Roman" w:cs="Times New Roman"/>
          <w:lang w:eastAsia="sk-SK"/>
        </w:rPr>
      </w:pPr>
      <w:r w:rsidRPr="0037308D">
        <w:rPr>
          <w:rFonts w:ascii="Times New Roman" w:eastAsia="Times New Roman" w:hAnsi="Times New Roman" w:cs="Times New Roman"/>
          <w:lang w:eastAsia="sk-SK"/>
        </w:rPr>
        <w:lastRenderedPageBreak/>
        <w:t>Zo správ jednotlivých rezortov o vykonanom audite vyplýva spoločná potreba</w:t>
      </w:r>
      <w:r>
        <w:rPr>
          <w:rFonts w:ascii="Times New Roman" w:eastAsia="Times New Roman" w:hAnsi="Times New Roman" w:cs="Times New Roman"/>
          <w:lang w:eastAsia="sk-SK"/>
        </w:rPr>
        <w:t>:</w:t>
      </w:r>
      <w:r w:rsidRPr="0037308D">
        <w:rPr>
          <w:rFonts w:ascii="Times New Roman" w:eastAsia="Times New Roman" w:hAnsi="Times New Roman" w:cs="Times New Roman"/>
          <w:lang w:eastAsia="sk-SK"/>
        </w:rPr>
        <w:t xml:space="preserve"> </w:t>
      </w:r>
    </w:p>
    <w:p w:rsidR="00CA5E57" w:rsidRDefault="00CA5E57" w:rsidP="0080684F">
      <w:pPr>
        <w:pStyle w:val="Odsekzoznamu"/>
        <w:numPr>
          <w:ilvl w:val="0"/>
          <w:numId w:val="16"/>
        </w:numPr>
        <w:spacing w:before="60" w:after="0" w:line="240" w:lineRule="auto"/>
        <w:ind w:left="714" w:hanging="357"/>
        <w:jc w:val="both"/>
        <w:rPr>
          <w:rFonts w:ascii="Times New Roman" w:eastAsia="Times New Roman" w:hAnsi="Times New Roman" w:cs="Times New Roman"/>
          <w:lang w:eastAsia="sk-SK"/>
        </w:rPr>
      </w:pPr>
      <w:r w:rsidRPr="003303E2">
        <w:rPr>
          <w:rFonts w:ascii="Times New Roman" w:eastAsia="Times New Roman" w:hAnsi="Times New Roman" w:cs="Times New Roman"/>
          <w:lang w:eastAsia="sk-SK"/>
        </w:rPr>
        <w:t xml:space="preserve">permanentne monitorovať </w:t>
      </w:r>
      <w:r w:rsidR="004520AA">
        <w:rPr>
          <w:rFonts w:ascii="Times New Roman" w:eastAsia="Times New Roman" w:hAnsi="Times New Roman" w:cs="Times New Roman"/>
          <w:lang w:eastAsia="sk-SK"/>
        </w:rPr>
        <w:t xml:space="preserve">frekvenciu a kvalitu </w:t>
      </w:r>
      <w:r w:rsidRPr="003303E2">
        <w:rPr>
          <w:rFonts w:ascii="Times New Roman" w:eastAsia="Times New Roman" w:hAnsi="Times New Roman" w:cs="Times New Roman"/>
          <w:lang w:eastAsia="sk-SK"/>
        </w:rPr>
        <w:t>výkon</w:t>
      </w:r>
      <w:r w:rsidR="004520AA">
        <w:rPr>
          <w:rFonts w:ascii="Times New Roman" w:eastAsia="Times New Roman" w:hAnsi="Times New Roman" w:cs="Times New Roman"/>
          <w:lang w:eastAsia="sk-SK"/>
        </w:rPr>
        <w:t>u</w:t>
      </w:r>
      <w:r w:rsidRPr="003303E2">
        <w:rPr>
          <w:rFonts w:ascii="Times New Roman" w:eastAsia="Times New Roman" w:hAnsi="Times New Roman" w:cs="Times New Roman"/>
          <w:lang w:eastAsia="sk-SK"/>
        </w:rPr>
        <w:t xml:space="preserve"> pôsobností a zákonom uložiť obciam a samosprávnym krajom povinnosť poskytovať orgánom štátu údaje o svojej činnosti</w:t>
      </w:r>
      <w:r>
        <w:rPr>
          <w:rFonts w:ascii="Times New Roman" w:eastAsia="Times New Roman" w:hAnsi="Times New Roman" w:cs="Times New Roman"/>
          <w:lang w:eastAsia="sk-SK"/>
        </w:rPr>
        <w:t>;</w:t>
      </w:r>
    </w:p>
    <w:p w:rsidR="009266D8" w:rsidRPr="00400B41" w:rsidRDefault="00CA5E57" w:rsidP="0080684F">
      <w:pPr>
        <w:pStyle w:val="Odsekzoznamu"/>
        <w:numPr>
          <w:ilvl w:val="0"/>
          <w:numId w:val="16"/>
        </w:numPr>
        <w:spacing w:before="60" w:after="0" w:line="240" w:lineRule="auto"/>
        <w:ind w:left="714" w:hanging="357"/>
        <w:contextualSpacing w:val="0"/>
        <w:jc w:val="both"/>
        <w:rPr>
          <w:rFonts w:ascii="Times New Roman" w:eastAsia="Times New Roman" w:hAnsi="Times New Roman" w:cs="Times New Roman"/>
          <w:b/>
          <w:lang w:eastAsia="sk-SK"/>
        </w:rPr>
      </w:pPr>
      <w:r w:rsidRPr="002D5842">
        <w:rPr>
          <w:rFonts w:ascii="Times New Roman" w:eastAsia="Times New Roman" w:hAnsi="Times New Roman" w:cs="Times New Roman"/>
          <w:lang w:eastAsia="sk-SK"/>
        </w:rPr>
        <w:t xml:space="preserve">zlepšiť úroveň informatizácie na </w:t>
      </w:r>
      <w:r w:rsidR="00400B41">
        <w:rPr>
          <w:rFonts w:ascii="Times New Roman" w:eastAsia="Times New Roman" w:hAnsi="Times New Roman" w:cs="Times New Roman"/>
          <w:lang w:eastAsia="sk-SK"/>
        </w:rPr>
        <w:t>obciach a samosprávnych krajoch,</w:t>
      </w:r>
    </w:p>
    <w:p w:rsidR="00EF53B9" w:rsidRPr="0097152D" w:rsidRDefault="004520AA" w:rsidP="0097152D">
      <w:pPr>
        <w:pStyle w:val="Odsekzoznamu"/>
        <w:numPr>
          <w:ilvl w:val="0"/>
          <w:numId w:val="16"/>
        </w:numPr>
        <w:spacing w:before="60" w:after="120" w:line="240" w:lineRule="auto"/>
        <w:ind w:left="714" w:hanging="357"/>
        <w:contextualSpacing w:val="0"/>
        <w:jc w:val="both"/>
        <w:rPr>
          <w:rFonts w:ascii="Times New Roman" w:eastAsia="Times New Roman" w:hAnsi="Times New Roman" w:cs="Times New Roman"/>
          <w:b/>
          <w:lang w:eastAsia="cs-CZ"/>
        </w:rPr>
      </w:pPr>
      <w:r>
        <w:rPr>
          <w:rFonts w:ascii="Times New Roman" w:eastAsia="Times New Roman" w:hAnsi="Times New Roman" w:cs="Times New Roman"/>
          <w:lang w:eastAsia="sk-SK"/>
        </w:rPr>
        <w:t>riešiť</w:t>
      </w:r>
      <w:r w:rsidR="00400B41" w:rsidRPr="00EF53B9">
        <w:rPr>
          <w:rFonts w:ascii="Times New Roman" w:eastAsia="Times New Roman" w:hAnsi="Times New Roman" w:cs="Times New Roman"/>
          <w:lang w:eastAsia="sk-SK"/>
        </w:rPr>
        <w:t xml:space="preserve"> </w:t>
      </w:r>
      <w:r w:rsidR="00C623B5">
        <w:rPr>
          <w:rFonts w:ascii="Times New Roman" w:eastAsia="Times New Roman" w:hAnsi="Times New Roman" w:cs="Times New Roman"/>
          <w:lang w:eastAsia="sk-SK"/>
        </w:rPr>
        <w:t xml:space="preserve">obligatórne </w:t>
      </w:r>
      <w:r w:rsidR="00400B41" w:rsidRPr="00EF53B9">
        <w:rPr>
          <w:rFonts w:ascii="Times New Roman" w:eastAsia="Times New Roman" w:hAnsi="Times New Roman" w:cs="Times New Roman"/>
          <w:lang w:eastAsia="sk-SK"/>
        </w:rPr>
        <w:t>združovanie obcí do spoločných obecných úradov</w:t>
      </w:r>
      <w:r w:rsidR="00C623B5">
        <w:rPr>
          <w:rFonts w:ascii="Times New Roman" w:eastAsia="Times New Roman" w:hAnsi="Times New Roman" w:cs="Times New Roman"/>
          <w:lang w:eastAsia="sk-SK"/>
        </w:rPr>
        <w:t xml:space="preserve"> primárne na výkon prenesených pôsobností</w:t>
      </w:r>
      <w:r w:rsidR="00400B41" w:rsidRPr="00EF53B9">
        <w:rPr>
          <w:rFonts w:ascii="Times New Roman" w:eastAsia="Times New Roman" w:hAnsi="Times New Roman" w:cs="Times New Roman"/>
          <w:lang w:eastAsia="sk-SK"/>
        </w:rPr>
        <w:t>, s určením ich spádového územia, resp. obvodu.</w:t>
      </w:r>
    </w:p>
    <w:p w:rsidR="00AD164E" w:rsidRDefault="004520AA" w:rsidP="0080684F">
      <w:pPr>
        <w:spacing w:before="60" w:after="120" w:line="240" w:lineRule="auto"/>
        <w:ind w:firstLine="708"/>
        <w:jc w:val="both"/>
        <w:rPr>
          <w:rFonts w:ascii="Times New Roman" w:eastAsia="Times New Roman" w:hAnsi="Times New Roman" w:cs="Times New Roman"/>
          <w:lang w:eastAsia="cs-CZ"/>
        </w:rPr>
      </w:pPr>
      <w:r>
        <w:rPr>
          <w:rFonts w:ascii="Times New Roman" w:eastAsia="Times New Roman" w:hAnsi="Times New Roman" w:cs="Times New Roman"/>
          <w:lang w:eastAsia="cs-CZ"/>
        </w:rPr>
        <w:t>V</w:t>
      </w:r>
      <w:r w:rsidR="00F87334" w:rsidRPr="00F87334">
        <w:rPr>
          <w:rFonts w:ascii="Times New Roman" w:eastAsia="Times New Roman" w:hAnsi="Times New Roman" w:cs="Times New Roman"/>
          <w:lang w:eastAsia="cs-CZ"/>
        </w:rPr>
        <w:t xml:space="preserve">ýsledky vyplývajúce z uskutočneného auditu </w:t>
      </w:r>
      <w:r w:rsidRPr="004520AA">
        <w:rPr>
          <w:rFonts w:ascii="Times New Roman" w:eastAsia="Times New Roman" w:hAnsi="Times New Roman" w:cs="Times New Roman"/>
          <w:lang w:eastAsia="cs-CZ"/>
        </w:rPr>
        <w:t>potvrdzujú zámer vlády z rokov 2007 – 2010 pripraviť realizáciu</w:t>
      </w:r>
      <w:r>
        <w:rPr>
          <w:rFonts w:ascii="Times New Roman" w:eastAsia="Times New Roman" w:hAnsi="Times New Roman" w:cs="Times New Roman"/>
          <w:lang w:eastAsia="cs-CZ"/>
        </w:rPr>
        <w:t xml:space="preserve"> </w:t>
      </w:r>
      <w:r w:rsidRPr="004520AA">
        <w:rPr>
          <w:rFonts w:ascii="Times New Roman" w:eastAsia="Times New Roman" w:hAnsi="Times New Roman" w:cs="Times New Roman"/>
          <w:lang w:eastAsia="cs-CZ"/>
        </w:rPr>
        <w:t xml:space="preserve">komplexnej modernizácie činnosti územnej samosprávy v kontexte trendov realizovaných v uplynulom desaťročí vo vyspelých </w:t>
      </w:r>
      <w:r>
        <w:rPr>
          <w:rFonts w:ascii="Times New Roman" w:eastAsia="Times New Roman" w:hAnsi="Times New Roman" w:cs="Times New Roman"/>
          <w:lang w:eastAsia="cs-CZ"/>
        </w:rPr>
        <w:t>e</w:t>
      </w:r>
      <w:r w:rsidRPr="004520AA">
        <w:rPr>
          <w:rFonts w:ascii="Times New Roman" w:eastAsia="Times New Roman" w:hAnsi="Times New Roman" w:cs="Times New Roman"/>
          <w:lang w:eastAsia="cs-CZ"/>
        </w:rPr>
        <w:t>urópskych krajinách</w:t>
      </w:r>
      <w:r w:rsidR="00F87334" w:rsidRPr="00F87334">
        <w:rPr>
          <w:rFonts w:ascii="Times New Roman" w:eastAsia="Times New Roman" w:hAnsi="Times New Roman" w:cs="Times New Roman"/>
          <w:lang w:eastAsia="cs-CZ"/>
        </w:rPr>
        <w:t xml:space="preserve">. </w:t>
      </w:r>
    </w:p>
    <w:p w:rsidR="004520AA" w:rsidRPr="004520AA" w:rsidRDefault="004520AA" w:rsidP="004520AA">
      <w:pPr>
        <w:spacing w:before="60" w:after="120" w:line="240" w:lineRule="auto"/>
        <w:ind w:firstLine="708"/>
        <w:jc w:val="both"/>
        <w:rPr>
          <w:rFonts w:ascii="Times New Roman" w:eastAsia="Times New Roman" w:hAnsi="Times New Roman" w:cs="Times New Roman"/>
          <w:lang w:eastAsia="cs-CZ"/>
        </w:rPr>
      </w:pPr>
      <w:r w:rsidRPr="004520AA">
        <w:rPr>
          <w:rFonts w:ascii="Times New Roman" w:eastAsia="Times New Roman" w:hAnsi="Times New Roman" w:cs="Times New Roman"/>
          <w:lang w:eastAsia="cs-CZ"/>
        </w:rPr>
        <w:t>Za týmto cieľom bola širo</w:t>
      </w:r>
      <w:r w:rsidR="002C2F7B">
        <w:rPr>
          <w:rFonts w:ascii="Times New Roman" w:eastAsia="Times New Roman" w:hAnsi="Times New Roman" w:cs="Times New Roman"/>
          <w:lang w:eastAsia="cs-CZ"/>
        </w:rPr>
        <w:t>kým okruhom odborníkov, vrátane</w:t>
      </w:r>
      <w:r w:rsidRPr="004520AA">
        <w:rPr>
          <w:rFonts w:ascii="Times New Roman" w:eastAsia="Times New Roman" w:hAnsi="Times New Roman" w:cs="Times New Roman"/>
          <w:lang w:eastAsia="cs-CZ"/>
        </w:rPr>
        <w:t xml:space="preserve"> predstaviteľov </w:t>
      </w:r>
      <w:proofErr w:type="spellStart"/>
      <w:r w:rsidRPr="004520AA">
        <w:rPr>
          <w:rFonts w:ascii="Times New Roman" w:eastAsia="Times New Roman" w:hAnsi="Times New Roman" w:cs="Times New Roman"/>
          <w:lang w:eastAsia="cs-CZ"/>
        </w:rPr>
        <w:t>ZMOS</w:t>
      </w:r>
      <w:r>
        <w:rPr>
          <w:rFonts w:ascii="Times New Roman" w:eastAsia="Times New Roman" w:hAnsi="Times New Roman" w:cs="Times New Roman"/>
          <w:lang w:eastAsia="cs-CZ"/>
        </w:rPr>
        <w:t>-</w:t>
      </w:r>
      <w:r w:rsidRPr="004520AA">
        <w:rPr>
          <w:rFonts w:ascii="Times New Roman" w:eastAsia="Times New Roman" w:hAnsi="Times New Roman" w:cs="Times New Roman"/>
          <w:lang w:eastAsia="cs-CZ"/>
        </w:rPr>
        <w:t>u</w:t>
      </w:r>
      <w:proofErr w:type="spellEnd"/>
      <w:r w:rsidR="002C2F7B">
        <w:rPr>
          <w:rFonts w:ascii="Times New Roman" w:eastAsia="Times New Roman" w:hAnsi="Times New Roman" w:cs="Times New Roman"/>
          <w:lang w:eastAsia="cs-CZ"/>
        </w:rPr>
        <w:t>,</w:t>
      </w:r>
      <w:r w:rsidRPr="004520AA">
        <w:rPr>
          <w:rFonts w:ascii="Times New Roman" w:eastAsia="Times New Roman" w:hAnsi="Times New Roman" w:cs="Times New Roman"/>
          <w:lang w:eastAsia="cs-CZ"/>
        </w:rPr>
        <w:t xml:space="preserve"> vypracovaná </w:t>
      </w:r>
      <w:r w:rsidR="00F87334" w:rsidRPr="00F87334">
        <w:rPr>
          <w:rFonts w:ascii="Times New Roman" w:eastAsia="Times New Roman" w:hAnsi="Times New Roman" w:cs="Times New Roman"/>
          <w:lang w:eastAsia="cs-CZ"/>
        </w:rPr>
        <w:t xml:space="preserve">Koncepcia modernizácie územnej samosprávy v Slovenskej republike (ďalej len „Koncepcia“), ktorú vláda vzala na vedomie svojím uznesením č. 497 z 8. júla 2009 a následne prijala uznesenie č. 52 z 19. januára 2010, ktorého obsahom bol návrh postupu realizácie jednotlivých úloh vyplývajúcich z Koncepcie. </w:t>
      </w:r>
      <w:r w:rsidRPr="004520AA">
        <w:rPr>
          <w:rFonts w:ascii="Times New Roman" w:eastAsia="Times New Roman" w:hAnsi="Times New Roman" w:cs="Times New Roman"/>
          <w:lang w:eastAsia="cs-CZ"/>
        </w:rPr>
        <w:t xml:space="preserve">Zmenou vlády v roku 2010 boli práce na uplatnení Koncepcie prerušené. </w:t>
      </w:r>
    </w:p>
    <w:p w:rsidR="004520AA" w:rsidRPr="004520AA" w:rsidRDefault="004520AA" w:rsidP="004520AA">
      <w:pPr>
        <w:spacing w:before="60" w:after="0" w:line="240" w:lineRule="auto"/>
        <w:ind w:firstLine="709"/>
        <w:jc w:val="both"/>
        <w:rPr>
          <w:rFonts w:ascii="Times New Roman" w:eastAsia="Times New Roman" w:hAnsi="Times New Roman" w:cs="Times New Roman"/>
          <w:lang w:eastAsia="cs-CZ"/>
        </w:rPr>
      </w:pPr>
      <w:r w:rsidRPr="004520AA">
        <w:rPr>
          <w:rFonts w:ascii="Times New Roman" w:eastAsia="Times New Roman" w:hAnsi="Times New Roman" w:cs="Times New Roman"/>
          <w:lang w:eastAsia="cs-CZ"/>
        </w:rPr>
        <w:t>Dokument mal tieto základné cieľové oblasti:</w:t>
      </w:r>
    </w:p>
    <w:p w:rsidR="004520AA" w:rsidRPr="004520AA" w:rsidRDefault="004520AA" w:rsidP="004520AA">
      <w:pPr>
        <w:pStyle w:val="Odsekzoznamu"/>
        <w:numPr>
          <w:ilvl w:val="0"/>
          <w:numId w:val="35"/>
        </w:numPr>
        <w:spacing w:before="60" w:after="0" w:line="240" w:lineRule="auto"/>
        <w:ind w:left="993"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e</w:t>
      </w:r>
      <w:r w:rsidRPr="004520AA">
        <w:rPr>
          <w:rFonts w:ascii="Times New Roman" w:eastAsia="Times New Roman" w:hAnsi="Times New Roman" w:cs="Times New Roman"/>
          <w:lang w:eastAsia="cs-CZ"/>
        </w:rPr>
        <w:t>konomizácia územnej samosprávy</w:t>
      </w:r>
      <w:r>
        <w:rPr>
          <w:rFonts w:ascii="Times New Roman" w:eastAsia="Times New Roman" w:hAnsi="Times New Roman" w:cs="Times New Roman"/>
          <w:lang w:eastAsia="cs-CZ"/>
        </w:rPr>
        <w:t>,</w:t>
      </w:r>
    </w:p>
    <w:p w:rsidR="004520AA" w:rsidRPr="004520AA" w:rsidRDefault="004520AA" w:rsidP="004520AA">
      <w:pPr>
        <w:pStyle w:val="Odsekzoznamu"/>
        <w:numPr>
          <w:ilvl w:val="0"/>
          <w:numId w:val="35"/>
        </w:numPr>
        <w:spacing w:before="60" w:after="0" w:line="240" w:lineRule="auto"/>
        <w:ind w:left="993"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i</w:t>
      </w:r>
      <w:r w:rsidRPr="004520AA">
        <w:rPr>
          <w:rFonts w:ascii="Times New Roman" w:eastAsia="Times New Roman" w:hAnsi="Times New Roman" w:cs="Times New Roman"/>
          <w:lang w:eastAsia="cs-CZ"/>
        </w:rPr>
        <w:t>nformatizácia územnej samosprávy</w:t>
      </w:r>
      <w:r>
        <w:rPr>
          <w:rFonts w:ascii="Times New Roman" w:eastAsia="Times New Roman" w:hAnsi="Times New Roman" w:cs="Times New Roman"/>
          <w:lang w:eastAsia="cs-CZ"/>
        </w:rPr>
        <w:t>,</w:t>
      </w:r>
    </w:p>
    <w:p w:rsidR="004520AA" w:rsidRPr="004520AA" w:rsidRDefault="004520AA" w:rsidP="004520AA">
      <w:pPr>
        <w:pStyle w:val="Odsekzoznamu"/>
        <w:numPr>
          <w:ilvl w:val="0"/>
          <w:numId w:val="35"/>
        </w:numPr>
        <w:spacing w:before="60" w:after="0" w:line="240" w:lineRule="auto"/>
        <w:ind w:left="993"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r</w:t>
      </w:r>
      <w:r w:rsidRPr="004520AA">
        <w:rPr>
          <w:rFonts w:ascii="Times New Roman" w:eastAsia="Times New Roman" w:hAnsi="Times New Roman" w:cs="Times New Roman"/>
          <w:lang w:eastAsia="cs-CZ"/>
        </w:rPr>
        <w:t>ozvoj ľudských zdrojov</w:t>
      </w:r>
      <w:r>
        <w:rPr>
          <w:rFonts w:ascii="Times New Roman" w:eastAsia="Times New Roman" w:hAnsi="Times New Roman" w:cs="Times New Roman"/>
          <w:lang w:eastAsia="cs-CZ"/>
        </w:rPr>
        <w:t>,</w:t>
      </w:r>
    </w:p>
    <w:p w:rsidR="004520AA" w:rsidRPr="004520AA" w:rsidRDefault="004520AA" w:rsidP="004520AA">
      <w:pPr>
        <w:pStyle w:val="Odsekzoznamu"/>
        <w:numPr>
          <w:ilvl w:val="0"/>
          <w:numId w:val="35"/>
        </w:numPr>
        <w:spacing w:before="60" w:after="0" w:line="240" w:lineRule="auto"/>
        <w:ind w:left="993"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m</w:t>
      </w:r>
      <w:r w:rsidRPr="004520AA">
        <w:rPr>
          <w:rFonts w:ascii="Times New Roman" w:eastAsia="Times New Roman" w:hAnsi="Times New Roman" w:cs="Times New Roman"/>
          <w:lang w:eastAsia="cs-CZ"/>
        </w:rPr>
        <w:t>onitoring územnej samosprávy</w:t>
      </w:r>
      <w:r>
        <w:rPr>
          <w:rFonts w:ascii="Times New Roman" w:eastAsia="Times New Roman" w:hAnsi="Times New Roman" w:cs="Times New Roman"/>
          <w:lang w:eastAsia="cs-CZ"/>
        </w:rPr>
        <w:t>,</w:t>
      </w:r>
    </w:p>
    <w:p w:rsidR="00DE5B33" w:rsidRPr="004520AA" w:rsidRDefault="004520AA" w:rsidP="004520AA">
      <w:pPr>
        <w:pStyle w:val="Odsekzoznamu"/>
        <w:numPr>
          <w:ilvl w:val="0"/>
          <w:numId w:val="35"/>
        </w:numPr>
        <w:spacing w:before="60" w:after="0" w:line="240" w:lineRule="auto"/>
        <w:ind w:left="993" w:hanging="284"/>
        <w:jc w:val="both"/>
        <w:rPr>
          <w:rFonts w:ascii="Times New Roman" w:eastAsia="Times New Roman" w:hAnsi="Times New Roman" w:cs="Times New Roman"/>
          <w:lang w:eastAsia="cs-CZ"/>
        </w:rPr>
      </w:pPr>
      <w:r>
        <w:rPr>
          <w:rFonts w:ascii="Times New Roman" w:eastAsia="Times New Roman" w:hAnsi="Times New Roman" w:cs="Times New Roman"/>
          <w:lang w:eastAsia="cs-CZ"/>
        </w:rPr>
        <w:t>s</w:t>
      </w:r>
      <w:r w:rsidRPr="004520AA">
        <w:rPr>
          <w:rFonts w:ascii="Times New Roman" w:eastAsia="Times New Roman" w:hAnsi="Times New Roman" w:cs="Times New Roman"/>
          <w:lang w:eastAsia="cs-CZ"/>
        </w:rPr>
        <w:t>poločné obecné úradovne</w:t>
      </w:r>
      <w:r>
        <w:rPr>
          <w:rFonts w:ascii="Times New Roman" w:eastAsia="Times New Roman" w:hAnsi="Times New Roman" w:cs="Times New Roman"/>
          <w:lang w:eastAsia="cs-CZ"/>
        </w:rPr>
        <w:t>.</w:t>
      </w:r>
    </w:p>
    <w:p w:rsidR="00AD164E" w:rsidRDefault="004520AA" w:rsidP="00AD164E">
      <w:pPr>
        <w:spacing w:before="60" w:after="120" w:line="240" w:lineRule="auto"/>
        <w:ind w:firstLine="708"/>
        <w:jc w:val="both"/>
        <w:rPr>
          <w:rFonts w:ascii="Times New Roman" w:eastAsia="Times New Roman" w:hAnsi="Times New Roman" w:cs="Times New Roman"/>
          <w:lang w:eastAsia="cs-CZ"/>
        </w:rPr>
      </w:pPr>
      <w:r w:rsidRPr="004520AA">
        <w:rPr>
          <w:rFonts w:ascii="Times New Roman" w:eastAsia="Times New Roman" w:hAnsi="Times New Roman" w:cs="Times New Roman"/>
          <w:lang w:eastAsia="cs-CZ"/>
        </w:rPr>
        <w:t>Cieľ modernizovať verejnú s</w:t>
      </w:r>
      <w:r w:rsidR="002C2F7B">
        <w:rPr>
          <w:rFonts w:ascii="Times New Roman" w:eastAsia="Times New Roman" w:hAnsi="Times New Roman" w:cs="Times New Roman"/>
          <w:lang w:eastAsia="cs-CZ"/>
        </w:rPr>
        <w:t xml:space="preserve">právu terajšia vláda vyjadrila </w:t>
      </w:r>
      <w:r w:rsidRPr="004520AA">
        <w:rPr>
          <w:rFonts w:ascii="Times New Roman" w:eastAsia="Times New Roman" w:hAnsi="Times New Roman" w:cs="Times New Roman"/>
          <w:lang w:eastAsia="cs-CZ"/>
        </w:rPr>
        <w:t>aj vo</w:t>
      </w:r>
      <w:r w:rsidR="002C2F7B">
        <w:rPr>
          <w:rFonts w:ascii="Times New Roman" w:eastAsia="Times New Roman" w:hAnsi="Times New Roman" w:cs="Times New Roman"/>
          <w:lang w:eastAsia="cs-CZ"/>
        </w:rPr>
        <w:t xml:space="preserve"> svojom programovom vyhlásení v </w:t>
      </w:r>
      <w:r w:rsidRPr="004520AA">
        <w:rPr>
          <w:rFonts w:ascii="Times New Roman" w:eastAsia="Times New Roman" w:hAnsi="Times New Roman" w:cs="Times New Roman"/>
          <w:lang w:eastAsia="cs-CZ"/>
        </w:rPr>
        <w:t xml:space="preserve">ktorom sa uvádza: „V kontexte rozpracovanej „Koncepcie modernizácie územnej samosprávy“ vláda podporí vybudovanie siete „Spoločných obecných úradovní“ a ich vybavenie informačnými a komunikačnými technológiami. Tieto by mali vytvoriť základnú sieť na komunikáciu „občan – úrad“ na miestnej úrovni. Zároveň by prispeli k racionalizácii a k skvalitneniu činnosti miestnej samosprávy“. Výsledky auditu zmysluplnosť uvedeného smerovania jednoznačne potvrdzujú. </w:t>
      </w:r>
      <w:r w:rsidR="00AD164E" w:rsidRPr="00AD164E">
        <w:rPr>
          <w:rFonts w:ascii="Times New Roman" w:eastAsia="Times New Roman" w:hAnsi="Times New Roman" w:cs="Times New Roman"/>
          <w:lang w:eastAsia="cs-CZ"/>
        </w:rPr>
        <w:t xml:space="preserve"> </w:t>
      </w:r>
    </w:p>
    <w:p w:rsidR="00AD164E" w:rsidRDefault="00AD164E" w:rsidP="00AD164E">
      <w:pPr>
        <w:spacing w:before="60" w:after="120" w:line="240" w:lineRule="auto"/>
        <w:ind w:firstLine="708"/>
        <w:jc w:val="both"/>
        <w:rPr>
          <w:rFonts w:ascii="Times New Roman" w:eastAsia="Times New Roman" w:hAnsi="Times New Roman" w:cs="Times New Roman"/>
          <w:lang w:eastAsia="cs-CZ"/>
        </w:rPr>
      </w:pPr>
      <w:r>
        <w:rPr>
          <w:rFonts w:ascii="Times New Roman" w:eastAsia="Times New Roman" w:hAnsi="Times New Roman" w:cs="Times New Roman"/>
          <w:lang w:eastAsia="cs-CZ"/>
        </w:rPr>
        <w:t>Proces</w:t>
      </w:r>
      <w:r w:rsidRPr="004D45A0">
        <w:rPr>
          <w:rFonts w:ascii="Times New Roman" w:eastAsia="Times New Roman" w:hAnsi="Times New Roman" w:cs="Times New Roman"/>
          <w:lang w:eastAsia="cs-CZ"/>
        </w:rPr>
        <w:t xml:space="preserve"> mo</w:t>
      </w:r>
      <w:r>
        <w:rPr>
          <w:rFonts w:ascii="Times New Roman" w:eastAsia="Times New Roman" w:hAnsi="Times New Roman" w:cs="Times New Roman"/>
          <w:lang w:eastAsia="cs-CZ"/>
        </w:rPr>
        <w:t>dernizácie územnej samosprávy v </w:t>
      </w:r>
      <w:r w:rsidRPr="004D45A0">
        <w:rPr>
          <w:rFonts w:ascii="Times New Roman" w:eastAsia="Times New Roman" w:hAnsi="Times New Roman" w:cs="Times New Roman"/>
          <w:lang w:eastAsia="cs-CZ"/>
        </w:rPr>
        <w:t>Slovenskej republike</w:t>
      </w:r>
      <w:r>
        <w:rPr>
          <w:rFonts w:ascii="Times New Roman" w:eastAsia="Times New Roman" w:hAnsi="Times New Roman" w:cs="Times New Roman"/>
          <w:lang w:eastAsia="cs-CZ"/>
        </w:rPr>
        <w:t xml:space="preserve"> je potrebné konzekventne </w:t>
      </w:r>
      <w:r w:rsidRPr="004D45A0">
        <w:rPr>
          <w:rFonts w:ascii="Times New Roman" w:eastAsia="Times New Roman" w:hAnsi="Times New Roman" w:cs="Times New Roman"/>
          <w:lang w:eastAsia="cs-CZ"/>
        </w:rPr>
        <w:t>rozpracova</w:t>
      </w:r>
      <w:r>
        <w:rPr>
          <w:rFonts w:ascii="Times New Roman" w:eastAsia="Times New Roman" w:hAnsi="Times New Roman" w:cs="Times New Roman"/>
          <w:lang w:eastAsia="cs-CZ"/>
        </w:rPr>
        <w:t>ť</w:t>
      </w:r>
      <w:r w:rsidR="004520AA">
        <w:rPr>
          <w:rFonts w:ascii="Times New Roman" w:eastAsia="Times New Roman" w:hAnsi="Times New Roman" w:cs="Times New Roman"/>
          <w:lang w:eastAsia="cs-CZ"/>
        </w:rPr>
        <w:t xml:space="preserve">, </w:t>
      </w:r>
      <w:r w:rsidR="004520AA" w:rsidRPr="004520AA">
        <w:rPr>
          <w:rFonts w:ascii="Times New Roman" w:eastAsia="Times New Roman" w:hAnsi="Times New Roman" w:cs="Times New Roman"/>
          <w:lang w:eastAsia="cs-CZ"/>
        </w:rPr>
        <w:t>čo je vyjadrené v návrhu uznesenia vlády</w:t>
      </w:r>
      <w:r>
        <w:rPr>
          <w:rFonts w:ascii="Times New Roman" w:eastAsia="Times New Roman" w:hAnsi="Times New Roman" w:cs="Times New Roman"/>
          <w:lang w:eastAsia="cs-CZ"/>
        </w:rPr>
        <w:t>.</w:t>
      </w:r>
    </w:p>
    <w:p w:rsidR="002C2F7B" w:rsidRDefault="00AB4EAD" w:rsidP="002C2F7B">
      <w:pPr>
        <w:spacing w:before="60" w:after="120" w:line="240" w:lineRule="auto"/>
        <w:ind w:firstLine="708"/>
        <w:jc w:val="both"/>
        <w:rPr>
          <w:rFonts w:ascii="Times New Roman" w:eastAsia="Times New Roman" w:hAnsi="Times New Roman" w:cs="Times New Roman"/>
          <w:lang w:eastAsia="cs-CZ"/>
        </w:rPr>
      </w:pPr>
      <w:r w:rsidRPr="00DE5B33">
        <w:rPr>
          <w:rFonts w:ascii="Times New Roman" w:eastAsia="Times New Roman" w:hAnsi="Times New Roman" w:cs="Times New Roman"/>
          <w:lang w:eastAsia="cs-CZ"/>
        </w:rPr>
        <w:t xml:space="preserve">Ministerstvami parciálne vyjadrené potreby, vzhľadom na skutočnosť, že sa nelíšia v cieľoch, je </w:t>
      </w:r>
      <w:proofErr w:type="spellStart"/>
      <w:r w:rsidRPr="00DE5B33">
        <w:rPr>
          <w:rFonts w:ascii="Times New Roman" w:eastAsia="Times New Roman" w:hAnsi="Times New Roman" w:cs="Times New Roman"/>
          <w:lang w:eastAsia="cs-CZ"/>
        </w:rPr>
        <w:t>žiadúce</w:t>
      </w:r>
      <w:proofErr w:type="spellEnd"/>
      <w:r w:rsidR="00AD164E">
        <w:rPr>
          <w:rFonts w:ascii="Times New Roman" w:eastAsia="Times New Roman" w:hAnsi="Times New Roman" w:cs="Times New Roman"/>
          <w:lang w:eastAsia="cs-CZ"/>
        </w:rPr>
        <w:t xml:space="preserve"> </w:t>
      </w:r>
      <w:r w:rsidRPr="00DE5B33">
        <w:rPr>
          <w:rFonts w:ascii="Times New Roman" w:eastAsia="Times New Roman" w:hAnsi="Times New Roman" w:cs="Times New Roman"/>
          <w:lang w:eastAsia="cs-CZ"/>
        </w:rPr>
        <w:t>napĺňať nie izolovane, ale pridŕžajúc sa jednotnej myšlienkovej osnovy. Koncepcia</w:t>
      </w:r>
      <w:r w:rsidR="0009165A" w:rsidRPr="0009165A">
        <w:rPr>
          <w:rFonts w:ascii="Times New Roman" w:eastAsia="Times New Roman" w:hAnsi="Times New Roman" w:cs="Times New Roman"/>
          <w:lang w:eastAsia="cs-CZ"/>
        </w:rPr>
        <w:t xml:space="preserve"> </w:t>
      </w:r>
      <w:r w:rsidR="0009165A">
        <w:rPr>
          <w:rFonts w:ascii="Times New Roman" w:eastAsia="Times New Roman" w:hAnsi="Times New Roman" w:cs="Times New Roman"/>
          <w:lang w:eastAsia="cs-CZ"/>
        </w:rPr>
        <w:t>t</w:t>
      </w:r>
      <w:r w:rsidR="0009165A" w:rsidRPr="00DE5B33">
        <w:rPr>
          <w:rFonts w:ascii="Times New Roman" w:eastAsia="Times New Roman" w:hAnsi="Times New Roman" w:cs="Times New Roman"/>
          <w:lang w:eastAsia="cs-CZ"/>
        </w:rPr>
        <w:t xml:space="preserve">akú </w:t>
      </w:r>
      <w:r w:rsidR="0009165A">
        <w:rPr>
          <w:rFonts w:ascii="Times New Roman" w:eastAsia="Times New Roman" w:hAnsi="Times New Roman" w:cs="Times New Roman"/>
          <w:lang w:eastAsia="cs-CZ"/>
        </w:rPr>
        <w:t xml:space="preserve">osnovu </w:t>
      </w:r>
      <w:r w:rsidR="0009165A" w:rsidRPr="00DE5B33">
        <w:rPr>
          <w:rFonts w:ascii="Times New Roman" w:eastAsia="Times New Roman" w:hAnsi="Times New Roman" w:cs="Times New Roman"/>
          <w:lang w:eastAsia="cs-CZ"/>
        </w:rPr>
        <w:t>ponúka</w:t>
      </w:r>
      <w:r w:rsidRPr="00DE5B33">
        <w:rPr>
          <w:rFonts w:ascii="Times New Roman" w:eastAsia="Times New Roman" w:hAnsi="Times New Roman" w:cs="Times New Roman"/>
          <w:lang w:eastAsia="cs-CZ"/>
        </w:rPr>
        <w:t xml:space="preserve">. Ponúka tiež celkové </w:t>
      </w:r>
      <w:r w:rsidR="00311AFE">
        <w:rPr>
          <w:rFonts w:ascii="Times New Roman" w:eastAsia="Times New Roman" w:hAnsi="Times New Roman" w:cs="Times New Roman"/>
          <w:lang w:eastAsia="cs-CZ"/>
        </w:rPr>
        <w:t xml:space="preserve">nadrezortné </w:t>
      </w:r>
      <w:r w:rsidRPr="00DE5B33">
        <w:rPr>
          <w:rFonts w:ascii="Times New Roman" w:eastAsia="Times New Roman" w:hAnsi="Times New Roman" w:cs="Times New Roman"/>
          <w:lang w:eastAsia="cs-CZ"/>
        </w:rPr>
        <w:t>riešenia.</w:t>
      </w:r>
    </w:p>
    <w:p w:rsidR="00090DC4" w:rsidRPr="002C2F7B" w:rsidRDefault="002C2F7B" w:rsidP="002C2F7B">
      <w:pPr>
        <w:spacing w:before="60" w:after="120" w:line="240" w:lineRule="auto"/>
        <w:ind w:firstLine="708"/>
        <w:jc w:val="both"/>
        <w:rPr>
          <w:rFonts w:ascii="Times New Roman" w:eastAsia="Times New Roman" w:hAnsi="Times New Roman" w:cs="Times New Roman"/>
          <w:lang w:eastAsia="cs-CZ"/>
        </w:rPr>
      </w:pPr>
      <w:r w:rsidRPr="002C2F7B">
        <w:rPr>
          <w:rFonts w:ascii="Times New Roman" w:eastAsia="Times New Roman" w:hAnsi="Times New Roman" w:cs="Times New Roman"/>
          <w:lang w:eastAsia="cs-CZ"/>
        </w:rPr>
        <w:t>Vzhľadom na spoločné prekrytie výsledkov auditu a cieľov Koncepcie - najmä vo vzťahu k záujmu dosiahnuť kvalitu, efektivitu a hospodárnosť výkonu pôsobnosti územnou samosprávou - je teda vhodné a žiaduce nielen nadviazať na princípy ustanovené Koncepciou, ale využiť aj podklady a opatrenia rozpracované v súvislosti s realizáciou úloh vyplývajúcich z Koncepcie. Tie je však potrebné prispôsobiť a aktualizovať s ohľadom na súčasný stav. Tým je dané východisko pre zainteresované ministerstvá, aby pracovali na predložení jasných a relevantných návrhov opatrení s jednoznačne zadefinovanými termínmi a zodpovednosťou.</w:t>
      </w:r>
    </w:p>
    <w:sectPr w:rsidR="00090DC4" w:rsidRPr="002C2F7B" w:rsidSect="000B63F3">
      <w:footerReference w:type="default" r:id="rId13"/>
      <w:footnotePr>
        <w:numRestart w:val="eachPage"/>
      </w:footnotePr>
      <w:pgSz w:w="11906" w:h="16838" w:code="9"/>
      <w:pgMar w:top="1191" w:right="1191" w:bottom="1077" w:left="119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0AA" w:rsidRDefault="004520AA">
      <w:pPr>
        <w:spacing w:after="0" w:line="240" w:lineRule="auto"/>
      </w:pPr>
      <w:r>
        <w:separator/>
      </w:r>
    </w:p>
  </w:endnote>
  <w:endnote w:type="continuationSeparator" w:id="0">
    <w:p w:rsidR="004520AA" w:rsidRDefault="004520AA">
      <w:pPr>
        <w:spacing w:after="0" w:line="240" w:lineRule="auto"/>
      </w:pPr>
      <w:r>
        <w:continuationSeparator/>
      </w:r>
    </w:p>
  </w:endnote>
  <w:endnote w:type="continuationNotice" w:id="1">
    <w:p w:rsidR="004520AA" w:rsidRDefault="00452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252432"/>
      <w:docPartObj>
        <w:docPartGallery w:val="Page Numbers (Bottom of Page)"/>
        <w:docPartUnique/>
      </w:docPartObj>
    </w:sdtPr>
    <w:sdtEndPr>
      <w:rPr>
        <w:noProof/>
      </w:rPr>
    </w:sdtEndPr>
    <w:sdtContent>
      <w:p w:rsidR="004520AA" w:rsidRDefault="004520AA">
        <w:pPr>
          <w:pStyle w:val="Pta"/>
          <w:jc w:val="right"/>
        </w:pPr>
        <w:r>
          <w:fldChar w:fldCharType="begin"/>
        </w:r>
        <w:r>
          <w:instrText xml:space="preserve"> PAGE   \* MERGEFORMAT </w:instrText>
        </w:r>
        <w:r>
          <w:fldChar w:fldCharType="separate"/>
        </w:r>
        <w:r w:rsidR="00C16F4D">
          <w:rPr>
            <w:noProof/>
          </w:rPr>
          <w:t>23</w:t>
        </w:r>
        <w:r>
          <w:rPr>
            <w:noProof/>
          </w:rPr>
          <w:fldChar w:fldCharType="end"/>
        </w:r>
      </w:p>
    </w:sdtContent>
  </w:sdt>
  <w:p w:rsidR="004520AA" w:rsidRDefault="004520A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0AA" w:rsidRDefault="004520AA">
      <w:pPr>
        <w:spacing w:after="0" w:line="240" w:lineRule="auto"/>
      </w:pPr>
      <w:r>
        <w:separator/>
      </w:r>
    </w:p>
  </w:footnote>
  <w:footnote w:type="continuationSeparator" w:id="0">
    <w:p w:rsidR="004520AA" w:rsidRDefault="004520AA">
      <w:pPr>
        <w:spacing w:after="0" w:line="240" w:lineRule="auto"/>
      </w:pPr>
      <w:r>
        <w:continuationSeparator/>
      </w:r>
    </w:p>
  </w:footnote>
  <w:footnote w:type="continuationNotice" w:id="1">
    <w:p w:rsidR="004520AA" w:rsidRDefault="004520AA">
      <w:pPr>
        <w:spacing w:after="0" w:line="240" w:lineRule="auto"/>
      </w:pPr>
    </w:p>
  </w:footnote>
  <w:footnote w:id="2">
    <w:p w:rsidR="004520AA" w:rsidRPr="00350D25" w:rsidRDefault="004520AA" w:rsidP="00C16363">
      <w:pPr>
        <w:pStyle w:val="Textpoznmkypodiarou"/>
        <w:rPr>
          <w:rFonts w:ascii="Times New Roman" w:hAnsi="Times New Roman" w:cs="Times New Roman"/>
          <w:sz w:val="16"/>
          <w:szCs w:val="16"/>
        </w:rPr>
      </w:pPr>
      <w:r w:rsidRPr="00350D25">
        <w:rPr>
          <w:rStyle w:val="Odkaznapoznmkupodiarou"/>
          <w:sz w:val="16"/>
          <w:szCs w:val="16"/>
        </w:rPr>
        <w:footnoteRef/>
      </w:r>
      <w:r w:rsidRPr="00350D25">
        <w:rPr>
          <w:sz w:val="16"/>
          <w:szCs w:val="16"/>
        </w:rPr>
        <w:t xml:space="preserve"> </w:t>
      </w:r>
      <w:r w:rsidRPr="00350D25">
        <w:rPr>
          <w:rFonts w:ascii="Times New Roman" w:hAnsi="Times New Roman" w:cs="Times New Roman"/>
          <w:sz w:val="16"/>
          <w:szCs w:val="16"/>
        </w:rPr>
        <w:t>Pre potreby auditu sa rozumelo:</w:t>
      </w:r>
    </w:p>
    <w:p w:rsidR="004520AA" w:rsidRPr="00350D25" w:rsidRDefault="004520AA" w:rsidP="00C209AF">
      <w:pPr>
        <w:pStyle w:val="Textpoznmkypodiarou"/>
        <w:numPr>
          <w:ilvl w:val="0"/>
          <w:numId w:val="6"/>
        </w:numPr>
        <w:rPr>
          <w:rFonts w:ascii="Times New Roman" w:hAnsi="Times New Roman" w:cs="Times New Roman"/>
          <w:sz w:val="16"/>
          <w:szCs w:val="16"/>
        </w:rPr>
      </w:pPr>
      <w:r w:rsidRPr="00350D25">
        <w:rPr>
          <w:rFonts w:ascii="Times New Roman" w:hAnsi="Times New Roman" w:cs="Times New Roman"/>
          <w:sz w:val="16"/>
          <w:szCs w:val="16"/>
        </w:rPr>
        <w:t>administratívnou kompetenciou - rozhodovanie v správnom konaní a s tým súvisiace úkony a ďalšie výstupy administratívnou formou (vybavovanie spisovej agendy všetkého druhu),</w:t>
      </w:r>
    </w:p>
    <w:p w:rsidR="004520AA" w:rsidRDefault="004520AA" w:rsidP="00C209AF">
      <w:pPr>
        <w:pStyle w:val="Textpoznmkypodiarou"/>
        <w:numPr>
          <w:ilvl w:val="0"/>
          <w:numId w:val="6"/>
        </w:numPr>
      </w:pPr>
      <w:r w:rsidRPr="00350D25">
        <w:rPr>
          <w:rFonts w:ascii="Times New Roman" w:hAnsi="Times New Roman" w:cs="Times New Roman"/>
          <w:sz w:val="16"/>
          <w:szCs w:val="16"/>
        </w:rPr>
        <w:t>verejnou službou vecného charakteru - služba, ktorá  nemá charakter administratívnej kompetencie (napr. prevádzka verejného osvetlenia, prevádzka školy, sociálne služby a pod.).</w:t>
      </w:r>
    </w:p>
  </w:footnote>
  <w:footnote w:id="3">
    <w:p w:rsidR="004520AA" w:rsidRPr="00350D25" w:rsidRDefault="004520AA" w:rsidP="00C16363">
      <w:pPr>
        <w:pStyle w:val="Textpoznmkypodiarou"/>
        <w:rPr>
          <w:rFonts w:ascii="Times New Roman" w:hAnsi="Times New Roman" w:cs="Times New Roman"/>
          <w:sz w:val="16"/>
          <w:szCs w:val="16"/>
        </w:rPr>
      </w:pPr>
      <w:r w:rsidRPr="00350D25">
        <w:rPr>
          <w:rStyle w:val="Odkaznapoznmkupodiarou"/>
          <w:sz w:val="16"/>
          <w:szCs w:val="16"/>
        </w:rPr>
        <w:footnoteRef/>
      </w:r>
      <w:r w:rsidRPr="00350D25">
        <w:rPr>
          <w:sz w:val="16"/>
          <w:szCs w:val="16"/>
        </w:rPr>
        <w:t xml:space="preserve"> </w:t>
      </w:r>
      <w:r w:rsidRPr="00350D25">
        <w:rPr>
          <w:rFonts w:ascii="Times New Roman" w:hAnsi="Times New Roman" w:cs="Times New Roman"/>
          <w:sz w:val="16"/>
          <w:szCs w:val="16"/>
        </w:rPr>
        <w:t>Pre potreby auditu sa rozumelo:</w:t>
      </w:r>
    </w:p>
    <w:p w:rsidR="004520AA" w:rsidRPr="00350D25" w:rsidRDefault="004520AA" w:rsidP="00C209AF">
      <w:pPr>
        <w:pStyle w:val="Textpoznmkypodiarou"/>
        <w:numPr>
          <w:ilvl w:val="0"/>
          <w:numId w:val="6"/>
        </w:numPr>
        <w:rPr>
          <w:rFonts w:ascii="Times New Roman" w:hAnsi="Times New Roman" w:cs="Times New Roman"/>
          <w:sz w:val="16"/>
          <w:szCs w:val="16"/>
        </w:rPr>
      </w:pPr>
      <w:r w:rsidRPr="00350D25">
        <w:rPr>
          <w:rFonts w:ascii="Times New Roman" w:hAnsi="Times New Roman" w:cs="Times New Roman"/>
          <w:sz w:val="16"/>
          <w:szCs w:val="16"/>
        </w:rPr>
        <w:t>administratívnou kompetenciou - rozhodovanie v správnom konaní a s tým súvisiace úkony a ďalšie výstupy administratívnou formou (vybavovanie spisovej agendy všetkého druhu),</w:t>
      </w:r>
    </w:p>
    <w:p w:rsidR="004520AA" w:rsidRDefault="004520AA" w:rsidP="00C209AF">
      <w:pPr>
        <w:pStyle w:val="Textpoznmkypodiarou"/>
        <w:numPr>
          <w:ilvl w:val="0"/>
          <w:numId w:val="6"/>
        </w:numPr>
      </w:pPr>
      <w:r w:rsidRPr="00350D25">
        <w:rPr>
          <w:rFonts w:ascii="Times New Roman" w:hAnsi="Times New Roman" w:cs="Times New Roman"/>
          <w:sz w:val="16"/>
          <w:szCs w:val="16"/>
        </w:rPr>
        <w:t>verejnou službou vecného charakteru - služba, ktorá  nemá charakter administratívnej kompetencie (napr. prevádzka verejného osvetlenia, prevádzka školy, sociálne služby a pod.).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A5C"/>
    <w:multiLevelType w:val="hybridMultilevel"/>
    <w:tmpl w:val="AD786EEC"/>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7A45A52"/>
    <w:multiLevelType w:val="hybridMultilevel"/>
    <w:tmpl w:val="92B6EE90"/>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
    <w:nsid w:val="0B3362A8"/>
    <w:multiLevelType w:val="hybridMultilevel"/>
    <w:tmpl w:val="42E228A2"/>
    <w:lvl w:ilvl="0" w:tplc="041B0001">
      <w:start w:val="1"/>
      <w:numFmt w:val="bullet"/>
      <w:lvlText w:val=""/>
      <w:lvlJc w:val="left"/>
      <w:pPr>
        <w:ind w:left="1590" w:hanging="360"/>
      </w:pPr>
      <w:rPr>
        <w:rFonts w:ascii="Symbol" w:hAnsi="Symbol" w:hint="default"/>
      </w:rPr>
    </w:lvl>
    <w:lvl w:ilvl="1" w:tplc="041B0003" w:tentative="1">
      <w:start w:val="1"/>
      <w:numFmt w:val="bullet"/>
      <w:lvlText w:val="o"/>
      <w:lvlJc w:val="left"/>
      <w:pPr>
        <w:ind w:left="2310" w:hanging="360"/>
      </w:pPr>
      <w:rPr>
        <w:rFonts w:ascii="Courier New" w:hAnsi="Courier New" w:cs="Courier New" w:hint="default"/>
      </w:rPr>
    </w:lvl>
    <w:lvl w:ilvl="2" w:tplc="041B0005" w:tentative="1">
      <w:start w:val="1"/>
      <w:numFmt w:val="bullet"/>
      <w:lvlText w:val=""/>
      <w:lvlJc w:val="left"/>
      <w:pPr>
        <w:ind w:left="3030" w:hanging="360"/>
      </w:pPr>
      <w:rPr>
        <w:rFonts w:ascii="Wingdings" w:hAnsi="Wingdings" w:hint="default"/>
      </w:rPr>
    </w:lvl>
    <w:lvl w:ilvl="3" w:tplc="041B0001" w:tentative="1">
      <w:start w:val="1"/>
      <w:numFmt w:val="bullet"/>
      <w:lvlText w:val=""/>
      <w:lvlJc w:val="left"/>
      <w:pPr>
        <w:ind w:left="3750" w:hanging="360"/>
      </w:pPr>
      <w:rPr>
        <w:rFonts w:ascii="Symbol" w:hAnsi="Symbol" w:hint="default"/>
      </w:rPr>
    </w:lvl>
    <w:lvl w:ilvl="4" w:tplc="041B0003" w:tentative="1">
      <w:start w:val="1"/>
      <w:numFmt w:val="bullet"/>
      <w:lvlText w:val="o"/>
      <w:lvlJc w:val="left"/>
      <w:pPr>
        <w:ind w:left="4470" w:hanging="360"/>
      </w:pPr>
      <w:rPr>
        <w:rFonts w:ascii="Courier New" w:hAnsi="Courier New" w:cs="Courier New" w:hint="default"/>
      </w:rPr>
    </w:lvl>
    <w:lvl w:ilvl="5" w:tplc="041B0005" w:tentative="1">
      <w:start w:val="1"/>
      <w:numFmt w:val="bullet"/>
      <w:lvlText w:val=""/>
      <w:lvlJc w:val="left"/>
      <w:pPr>
        <w:ind w:left="5190" w:hanging="360"/>
      </w:pPr>
      <w:rPr>
        <w:rFonts w:ascii="Wingdings" w:hAnsi="Wingdings" w:hint="default"/>
      </w:rPr>
    </w:lvl>
    <w:lvl w:ilvl="6" w:tplc="041B0001" w:tentative="1">
      <w:start w:val="1"/>
      <w:numFmt w:val="bullet"/>
      <w:lvlText w:val=""/>
      <w:lvlJc w:val="left"/>
      <w:pPr>
        <w:ind w:left="5910" w:hanging="360"/>
      </w:pPr>
      <w:rPr>
        <w:rFonts w:ascii="Symbol" w:hAnsi="Symbol" w:hint="default"/>
      </w:rPr>
    </w:lvl>
    <w:lvl w:ilvl="7" w:tplc="041B0003" w:tentative="1">
      <w:start w:val="1"/>
      <w:numFmt w:val="bullet"/>
      <w:lvlText w:val="o"/>
      <w:lvlJc w:val="left"/>
      <w:pPr>
        <w:ind w:left="6630" w:hanging="360"/>
      </w:pPr>
      <w:rPr>
        <w:rFonts w:ascii="Courier New" w:hAnsi="Courier New" w:cs="Courier New" w:hint="default"/>
      </w:rPr>
    </w:lvl>
    <w:lvl w:ilvl="8" w:tplc="041B0005" w:tentative="1">
      <w:start w:val="1"/>
      <w:numFmt w:val="bullet"/>
      <w:lvlText w:val=""/>
      <w:lvlJc w:val="left"/>
      <w:pPr>
        <w:ind w:left="7350" w:hanging="360"/>
      </w:pPr>
      <w:rPr>
        <w:rFonts w:ascii="Wingdings" w:hAnsi="Wingdings" w:hint="default"/>
      </w:rPr>
    </w:lvl>
  </w:abstractNum>
  <w:abstractNum w:abstractNumId="3">
    <w:nsid w:val="1CDA1502"/>
    <w:multiLevelType w:val="hybridMultilevel"/>
    <w:tmpl w:val="5C4AF6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nsid w:val="1F5C3D56"/>
    <w:multiLevelType w:val="hybridMultilevel"/>
    <w:tmpl w:val="98E63F70"/>
    <w:lvl w:ilvl="0" w:tplc="14CE6A52">
      <w:numFmt w:val="bullet"/>
      <w:lvlText w:val="-"/>
      <w:lvlJc w:val="left"/>
      <w:pPr>
        <w:ind w:left="1429" w:hanging="360"/>
      </w:pPr>
      <w:rPr>
        <w:rFonts w:ascii="Times New Roman" w:eastAsia="Times New Roman" w:hAnsi="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
    <w:nsid w:val="27356802"/>
    <w:multiLevelType w:val="hybridMultilevel"/>
    <w:tmpl w:val="E6FE4F9E"/>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nsid w:val="2EE07909"/>
    <w:multiLevelType w:val="hybridMultilevel"/>
    <w:tmpl w:val="4906E576"/>
    <w:lvl w:ilvl="0" w:tplc="39668C5E">
      <w:numFmt w:val="bullet"/>
      <w:lvlText w:val="-"/>
      <w:lvlJc w:val="left"/>
      <w:pPr>
        <w:ind w:left="1429" w:hanging="360"/>
      </w:pPr>
      <w:rPr>
        <w:rFonts w:ascii="Times New Roman" w:eastAsiaTheme="minorHAnsi"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7">
    <w:nsid w:val="32774725"/>
    <w:multiLevelType w:val="hybridMultilevel"/>
    <w:tmpl w:val="202A725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4F567BE"/>
    <w:multiLevelType w:val="hybridMultilevel"/>
    <w:tmpl w:val="50DC61D4"/>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
    <w:nsid w:val="373C3042"/>
    <w:multiLevelType w:val="hybridMultilevel"/>
    <w:tmpl w:val="8EEC9E86"/>
    <w:lvl w:ilvl="0" w:tplc="E0DA8970">
      <w:start w:val="1"/>
      <w:numFmt w:val="upperLetter"/>
      <w:pStyle w:val="tla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75915A7"/>
    <w:multiLevelType w:val="hybridMultilevel"/>
    <w:tmpl w:val="CC64B800"/>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3BEF7525"/>
    <w:multiLevelType w:val="hybridMultilevel"/>
    <w:tmpl w:val="9ED2870C"/>
    <w:lvl w:ilvl="0" w:tplc="6AA84F02">
      <w:start w:val="2"/>
      <w:numFmt w:val="bullet"/>
      <w:lvlText w:val="-"/>
      <w:lvlJc w:val="left"/>
      <w:pPr>
        <w:tabs>
          <w:tab w:val="num" w:pos="1068"/>
        </w:tabs>
        <w:ind w:left="1068" w:hanging="360"/>
      </w:pPr>
      <w:rPr>
        <w:rFonts w:ascii="Arial" w:eastAsia="Times New Roman" w:hAnsi="Arial" w:cs="Arial" w:hint="default"/>
      </w:rPr>
    </w:lvl>
    <w:lvl w:ilvl="1" w:tplc="041B000F">
      <w:start w:val="1"/>
      <w:numFmt w:val="decimal"/>
      <w:lvlText w:val="%2."/>
      <w:lvlJc w:val="left"/>
      <w:pPr>
        <w:tabs>
          <w:tab w:val="num" w:pos="1800"/>
        </w:tabs>
        <w:ind w:left="180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nsid w:val="3F1D69A7"/>
    <w:multiLevelType w:val="hybridMultilevel"/>
    <w:tmpl w:val="176ABAA2"/>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43F8313A"/>
    <w:multiLevelType w:val="hybridMultilevel"/>
    <w:tmpl w:val="7A5A5EC0"/>
    <w:lvl w:ilvl="0" w:tplc="584490F2">
      <w:start w:val="1"/>
      <w:numFmt w:val="decimal"/>
      <w:pStyle w:val="tla2"/>
      <w:lvlText w:val="%1."/>
      <w:lvlJc w:val="left"/>
      <w:pPr>
        <w:ind w:left="1493" w:hanging="360"/>
      </w:pPr>
    </w:lvl>
    <w:lvl w:ilvl="1" w:tplc="041B0019" w:tentative="1">
      <w:start w:val="1"/>
      <w:numFmt w:val="lowerLetter"/>
      <w:lvlText w:val="%2."/>
      <w:lvlJc w:val="left"/>
      <w:pPr>
        <w:ind w:left="2213" w:hanging="360"/>
      </w:pPr>
    </w:lvl>
    <w:lvl w:ilvl="2" w:tplc="041B001B" w:tentative="1">
      <w:start w:val="1"/>
      <w:numFmt w:val="lowerRoman"/>
      <w:lvlText w:val="%3."/>
      <w:lvlJc w:val="right"/>
      <w:pPr>
        <w:ind w:left="2933" w:hanging="180"/>
      </w:pPr>
    </w:lvl>
    <w:lvl w:ilvl="3" w:tplc="041B000F" w:tentative="1">
      <w:start w:val="1"/>
      <w:numFmt w:val="decimal"/>
      <w:lvlText w:val="%4."/>
      <w:lvlJc w:val="left"/>
      <w:pPr>
        <w:ind w:left="3653" w:hanging="360"/>
      </w:pPr>
    </w:lvl>
    <w:lvl w:ilvl="4" w:tplc="041B0019" w:tentative="1">
      <w:start w:val="1"/>
      <w:numFmt w:val="lowerLetter"/>
      <w:lvlText w:val="%5."/>
      <w:lvlJc w:val="left"/>
      <w:pPr>
        <w:ind w:left="4373" w:hanging="360"/>
      </w:pPr>
    </w:lvl>
    <w:lvl w:ilvl="5" w:tplc="041B001B" w:tentative="1">
      <w:start w:val="1"/>
      <w:numFmt w:val="lowerRoman"/>
      <w:lvlText w:val="%6."/>
      <w:lvlJc w:val="right"/>
      <w:pPr>
        <w:ind w:left="5093" w:hanging="180"/>
      </w:pPr>
    </w:lvl>
    <w:lvl w:ilvl="6" w:tplc="041B000F" w:tentative="1">
      <w:start w:val="1"/>
      <w:numFmt w:val="decimal"/>
      <w:lvlText w:val="%7."/>
      <w:lvlJc w:val="left"/>
      <w:pPr>
        <w:ind w:left="5813" w:hanging="360"/>
      </w:pPr>
    </w:lvl>
    <w:lvl w:ilvl="7" w:tplc="041B0019" w:tentative="1">
      <w:start w:val="1"/>
      <w:numFmt w:val="lowerLetter"/>
      <w:lvlText w:val="%8."/>
      <w:lvlJc w:val="left"/>
      <w:pPr>
        <w:ind w:left="6533" w:hanging="360"/>
      </w:pPr>
    </w:lvl>
    <w:lvl w:ilvl="8" w:tplc="041B001B" w:tentative="1">
      <w:start w:val="1"/>
      <w:numFmt w:val="lowerRoman"/>
      <w:lvlText w:val="%9."/>
      <w:lvlJc w:val="right"/>
      <w:pPr>
        <w:ind w:left="7253" w:hanging="180"/>
      </w:pPr>
    </w:lvl>
  </w:abstractNum>
  <w:abstractNum w:abstractNumId="14">
    <w:nsid w:val="49A21337"/>
    <w:multiLevelType w:val="hybridMultilevel"/>
    <w:tmpl w:val="C0A620C0"/>
    <w:lvl w:ilvl="0" w:tplc="899A626C">
      <w:start w:val="1"/>
      <w:numFmt w:val="bullet"/>
      <w:lvlText w:val="▪"/>
      <w:lvlJc w:val="left"/>
      <w:pPr>
        <w:ind w:left="720" w:hanging="360"/>
      </w:pPr>
      <w:rPr>
        <w:rFonts w:ascii="Arial Narrow"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CD413E5"/>
    <w:multiLevelType w:val="hybridMultilevel"/>
    <w:tmpl w:val="95B6E372"/>
    <w:lvl w:ilvl="0" w:tplc="39668C5E">
      <w:numFmt w:val="bullet"/>
      <w:lvlText w:val="-"/>
      <w:lvlJc w:val="left"/>
      <w:pPr>
        <w:ind w:left="1485" w:hanging="360"/>
      </w:pPr>
      <w:rPr>
        <w:rFonts w:ascii="Times New Roman" w:eastAsiaTheme="minorHAnsi" w:hAnsi="Times New Roman" w:cs="Times New Roman"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6">
    <w:nsid w:val="4F5C48B5"/>
    <w:multiLevelType w:val="multilevel"/>
    <w:tmpl w:val="E10AF9EE"/>
    <w:lvl w:ilvl="0">
      <w:start w:val="1"/>
      <w:numFmt w:val="decimal"/>
      <w:lvlText w:val="%1."/>
      <w:lvlJc w:val="left"/>
      <w:pPr>
        <w:ind w:left="360" w:hanging="360"/>
      </w:pPr>
    </w:lvl>
    <w:lvl w:ilvl="1">
      <w:start w:val="1"/>
      <w:numFmt w:val="decimal"/>
      <w:pStyle w:val="t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3E4283"/>
    <w:multiLevelType w:val="hybridMultilevel"/>
    <w:tmpl w:val="D7321946"/>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8">
    <w:nsid w:val="60986B7B"/>
    <w:multiLevelType w:val="hybridMultilevel"/>
    <w:tmpl w:val="3D7C0BBA"/>
    <w:lvl w:ilvl="0" w:tplc="879281B6">
      <w:start w:val="1"/>
      <w:numFmt w:val="bullet"/>
      <w:lvlText w:val="-"/>
      <w:lvlJc w:val="left"/>
      <w:pPr>
        <w:ind w:left="720" w:hanging="360"/>
      </w:pPr>
      <w:rPr>
        <w:rFonts w:ascii="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nsid w:val="61106CE2"/>
    <w:multiLevelType w:val="multilevel"/>
    <w:tmpl w:val="2CBCB466"/>
    <w:lvl w:ilvl="0">
      <w:start w:val="1"/>
      <w:numFmt w:val="decimal"/>
      <w:lvlText w:val="%1."/>
      <w:lvlJc w:val="left"/>
      <w:pPr>
        <w:ind w:left="360" w:hanging="360"/>
      </w:pPr>
    </w:lvl>
    <w:lvl w:ilvl="1">
      <w:start w:val="1"/>
      <w:numFmt w:val="decimal"/>
      <w:pStyle w:val="tla4"/>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A31BA0"/>
    <w:multiLevelType w:val="hybridMultilevel"/>
    <w:tmpl w:val="D94CD552"/>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nsid w:val="660527C5"/>
    <w:multiLevelType w:val="hybridMultilevel"/>
    <w:tmpl w:val="E3E0ACA6"/>
    <w:lvl w:ilvl="0" w:tplc="EE085D6C">
      <w:start w:val="1"/>
      <w:numFmt w:val="bullet"/>
      <w:lvlText w:val="-"/>
      <w:lvlJc w:val="left"/>
      <w:pPr>
        <w:ind w:left="1080" w:hanging="360"/>
      </w:pPr>
      <w:rPr>
        <w:rFonts w:ascii="Courier New" w:hAnsi="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6ACF4EA0"/>
    <w:multiLevelType w:val="hybridMultilevel"/>
    <w:tmpl w:val="30209156"/>
    <w:lvl w:ilvl="0" w:tplc="39668C5E">
      <w:numFmt w:val="bullet"/>
      <w:lvlText w:val="-"/>
      <w:lvlJc w:val="left"/>
      <w:pPr>
        <w:ind w:left="1571" w:hanging="360"/>
      </w:pPr>
      <w:rPr>
        <w:rFonts w:ascii="Times New Roman" w:eastAsiaTheme="minorHAnsi"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3">
    <w:nsid w:val="6DC56F6D"/>
    <w:multiLevelType w:val="hybridMultilevel"/>
    <w:tmpl w:val="DAC8AF56"/>
    <w:lvl w:ilvl="0" w:tplc="39668C5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6F974B42"/>
    <w:multiLevelType w:val="hybridMultilevel"/>
    <w:tmpl w:val="C212DF46"/>
    <w:lvl w:ilvl="0" w:tplc="879281B6">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713B43F3"/>
    <w:multiLevelType w:val="hybridMultilevel"/>
    <w:tmpl w:val="F064DC5C"/>
    <w:lvl w:ilvl="0" w:tplc="39668C5E">
      <w:numFmt w:val="bullet"/>
      <w:lvlText w:val="-"/>
      <w:lvlJc w:val="left"/>
      <w:pPr>
        <w:ind w:left="1429" w:hanging="360"/>
      </w:pPr>
      <w:rPr>
        <w:rFonts w:ascii="Times New Roman" w:eastAsiaTheme="minorHAnsi"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6">
    <w:nsid w:val="73386B3C"/>
    <w:multiLevelType w:val="hybridMultilevel"/>
    <w:tmpl w:val="4A38C1A8"/>
    <w:lvl w:ilvl="0" w:tplc="EE085D6C">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77484864"/>
    <w:multiLevelType w:val="hybridMultilevel"/>
    <w:tmpl w:val="D48ED78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nsid w:val="79504C42"/>
    <w:multiLevelType w:val="hybridMultilevel"/>
    <w:tmpl w:val="7FE885EC"/>
    <w:lvl w:ilvl="0" w:tplc="879281B6">
      <w:start w:val="1"/>
      <w:numFmt w:val="bullet"/>
      <w:lvlText w:val="-"/>
      <w:lvlJc w:val="left"/>
      <w:pPr>
        <w:ind w:left="1429" w:hanging="360"/>
      </w:pPr>
      <w:rPr>
        <w:rFonts w:ascii="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abstractNum w:abstractNumId="29">
    <w:nsid w:val="7B9902B0"/>
    <w:multiLevelType w:val="multilevel"/>
    <w:tmpl w:val="90B8765A"/>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A40D40"/>
    <w:multiLevelType w:val="hybridMultilevel"/>
    <w:tmpl w:val="29F4DC02"/>
    <w:lvl w:ilvl="0" w:tplc="39668C5E">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1">
    <w:nsid w:val="7F3F7A0F"/>
    <w:multiLevelType w:val="singleLevel"/>
    <w:tmpl w:val="3A24C2B4"/>
    <w:lvl w:ilvl="0">
      <w:start w:val="1"/>
      <w:numFmt w:val="bullet"/>
      <w:lvlText w:val=""/>
      <w:lvlJc w:val="left"/>
      <w:pPr>
        <w:tabs>
          <w:tab w:val="num" w:pos="340"/>
        </w:tabs>
        <w:ind w:left="340" w:hanging="340"/>
      </w:pPr>
      <w:rPr>
        <w:rFonts w:ascii="Symbol" w:hAnsi="Symbol" w:hint="default"/>
        <w:color w:val="auto"/>
        <w:sz w:val="22"/>
      </w:rPr>
    </w:lvl>
  </w:abstractNum>
  <w:abstractNum w:abstractNumId="32">
    <w:nsid w:val="7F640245"/>
    <w:multiLevelType w:val="hybridMultilevel"/>
    <w:tmpl w:val="9B30211C"/>
    <w:lvl w:ilvl="0" w:tplc="39668C5E">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3">
    <w:nsid w:val="7F885B48"/>
    <w:multiLevelType w:val="hybridMultilevel"/>
    <w:tmpl w:val="6540E2FC"/>
    <w:lvl w:ilvl="0" w:tplc="879281B6">
      <w:start w:val="1"/>
      <w:numFmt w:val="bullet"/>
      <w:lvlText w:val="-"/>
      <w:lvlJc w:val="left"/>
      <w:pPr>
        <w:ind w:left="1429" w:hanging="360"/>
      </w:pPr>
      <w:rPr>
        <w:rFonts w:ascii="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start w:val="1"/>
      <w:numFmt w:val="bullet"/>
      <w:lvlText w:val=""/>
      <w:lvlJc w:val="left"/>
      <w:pPr>
        <w:ind w:left="5029" w:hanging="360"/>
      </w:pPr>
      <w:rPr>
        <w:rFonts w:ascii="Wingdings" w:hAnsi="Wingdings" w:hint="default"/>
      </w:rPr>
    </w:lvl>
    <w:lvl w:ilvl="6" w:tplc="041B0001">
      <w:start w:val="1"/>
      <w:numFmt w:val="bullet"/>
      <w:lvlText w:val=""/>
      <w:lvlJc w:val="left"/>
      <w:pPr>
        <w:ind w:left="5749" w:hanging="360"/>
      </w:pPr>
      <w:rPr>
        <w:rFonts w:ascii="Symbol" w:hAnsi="Symbol" w:hint="default"/>
      </w:rPr>
    </w:lvl>
    <w:lvl w:ilvl="7" w:tplc="041B0003">
      <w:start w:val="1"/>
      <w:numFmt w:val="bullet"/>
      <w:lvlText w:val="o"/>
      <w:lvlJc w:val="left"/>
      <w:pPr>
        <w:ind w:left="6469" w:hanging="360"/>
      </w:pPr>
      <w:rPr>
        <w:rFonts w:ascii="Courier New" w:hAnsi="Courier New" w:cs="Courier New" w:hint="default"/>
      </w:rPr>
    </w:lvl>
    <w:lvl w:ilvl="8" w:tplc="041B0005">
      <w:start w:val="1"/>
      <w:numFmt w:val="bullet"/>
      <w:lvlText w:val=""/>
      <w:lvlJc w:val="left"/>
      <w:pPr>
        <w:ind w:left="7189" w:hanging="360"/>
      </w:pPr>
      <w:rPr>
        <w:rFonts w:ascii="Wingdings" w:hAnsi="Wingdings" w:hint="default"/>
      </w:rPr>
    </w:lvl>
  </w:abstractNum>
  <w:num w:numId="1">
    <w:abstractNumId w:val="9"/>
  </w:num>
  <w:num w:numId="2">
    <w:abstractNumId w:val="16"/>
  </w:num>
  <w:num w:numId="3">
    <w:abstractNumId w:val="22"/>
  </w:num>
  <w:num w:numId="4">
    <w:abstractNumId w:val="1"/>
  </w:num>
  <w:num w:numId="5">
    <w:abstractNumId w:val="5"/>
  </w:num>
  <w:num w:numId="6">
    <w:abstractNumId w:val="24"/>
  </w:num>
  <w:num w:numId="7">
    <w:abstractNumId w:val="4"/>
  </w:num>
  <w:num w:numId="8">
    <w:abstractNumId w:val="10"/>
  </w:num>
  <w:num w:numId="9">
    <w:abstractNumId w:val="0"/>
  </w:num>
  <w:num w:numId="10">
    <w:abstractNumId w:val="13"/>
  </w:num>
  <w:num w:numId="11">
    <w:abstractNumId w:val="26"/>
  </w:num>
  <w:num w:numId="12">
    <w:abstractNumId w:val="12"/>
  </w:num>
  <w:num w:numId="13">
    <w:abstractNumId w:val="21"/>
  </w:num>
  <w:num w:numId="14">
    <w:abstractNumId w:val="15"/>
  </w:num>
  <w:num w:numId="15">
    <w:abstractNumId w:val="30"/>
  </w:num>
  <w:num w:numId="16">
    <w:abstractNumId w:val="23"/>
  </w:num>
  <w:num w:numId="17">
    <w:abstractNumId w:val="11"/>
  </w:num>
  <w:num w:numId="18">
    <w:abstractNumId w:val="6"/>
  </w:num>
  <w:num w:numId="19">
    <w:abstractNumId w:val="32"/>
  </w:num>
  <w:num w:numId="20">
    <w:abstractNumId w:val="25"/>
  </w:num>
  <w:num w:numId="21">
    <w:abstractNumId w:val="31"/>
  </w:num>
  <w:num w:numId="22">
    <w:abstractNumId w:val="18"/>
  </w:num>
  <w:num w:numId="23">
    <w:abstractNumId w:val="2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7"/>
  </w:num>
  <w:num w:numId="27">
    <w:abstractNumId w:val="8"/>
  </w:num>
  <w:num w:numId="28">
    <w:abstractNumId w:val="3"/>
  </w:num>
  <w:num w:numId="29">
    <w:abstractNumId w:val="2"/>
  </w:num>
  <w:num w:numId="30">
    <w:abstractNumId w:val="7"/>
  </w:num>
  <w:num w:numId="31">
    <w:abstractNumId w:val="14"/>
  </w:num>
  <w:num w:numId="32">
    <w:abstractNumId w:val="29"/>
  </w:num>
  <w:num w:numId="33">
    <w:abstractNumId w:val="19"/>
  </w:num>
  <w:num w:numId="34">
    <w:abstractNumId w:val="20"/>
  </w:num>
  <w:num w:numId="35">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drawingGridHorizontalSpacing w:val="110"/>
  <w:displayHorizontalDrawingGridEvery w:val="2"/>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D3"/>
    <w:rsid w:val="00003B87"/>
    <w:rsid w:val="00004A26"/>
    <w:rsid w:val="00010196"/>
    <w:rsid w:val="00016FA6"/>
    <w:rsid w:val="000172C6"/>
    <w:rsid w:val="0001740F"/>
    <w:rsid w:val="000218BB"/>
    <w:rsid w:val="000255BA"/>
    <w:rsid w:val="00033EAF"/>
    <w:rsid w:val="0003673D"/>
    <w:rsid w:val="00036928"/>
    <w:rsid w:val="00052D6E"/>
    <w:rsid w:val="000561ED"/>
    <w:rsid w:val="00060E4A"/>
    <w:rsid w:val="000612F0"/>
    <w:rsid w:val="0006137C"/>
    <w:rsid w:val="0006166C"/>
    <w:rsid w:val="0006254E"/>
    <w:rsid w:val="00063F53"/>
    <w:rsid w:val="00064760"/>
    <w:rsid w:val="0006663C"/>
    <w:rsid w:val="0006676A"/>
    <w:rsid w:val="000670BE"/>
    <w:rsid w:val="00070080"/>
    <w:rsid w:val="00070559"/>
    <w:rsid w:val="00077C4B"/>
    <w:rsid w:val="00082C28"/>
    <w:rsid w:val="00086017"/>
    <w:rsid w:val="00087B04"/>
    <w:rsid w:val="00090659"/>
    <w:rsid w:val="00090DC4"/>
    <w:rsid w:val="0009165A"/>
    <w:rsid w:val="00092E59"/>
    <w:rsid w:val="00093242"/>
    <w:rsid w:val="00096400"/>
    <w:rsid w:val="000A01E4"/>
    <w:rsid w:val="000A4ACE"/>
    <w:rsid w:val="000B13F2"/>
    <w:rsid w:val="000B218B"/>
    <w:rsid w:val="000B3903"/>
    <w:rsid w:val="000B616C"/>
    <w:rsid w:val="000B63F3"/>
    <w:rsid w:val="000C4614"/>
    <w:rsid w:val="000C547A"/>
    <w:rsid w:val="000C6B26"/>
    <w:rsid w:val="000D4649"/>
    <w:rsid w:val="000D6F57"/>
    <w:rsid w:val="000E2483"/>
    <w:rsid w:val="000E495F"/>
    <w:rsid w:val="000E731D"/>
    <w:rsid w:val="000E78C5"/>
    <w:rsid w:val="000F3DD7"/>
    <w:rsid w:val="000F756A"/>
    <w:rsid w:val="00100AA5"/>
    <w:rsid w:val="00100BB5"/>
    <w:rsid w:val="00102F0F"/>
    <w:rsid w:val="0010302A"/>
    <w:rsid w:val="00105044"/>
    <w:rsid w:val="00105BBC"/>
    <w:rsid w:val="001066F9"/>
    <w:rsid w:val="001072DF"/>
    <w:rsid w:val="00113DD6"/>
    <w:rsid w:val="0011513B"/>
    <w:rsid w:val="001152FC"/>
    <w:rsid w:val="001153A0"/>
    <w:rsid w:val="00116652"/>
    <w:rsid w:val="00121BDC"/>
    <w:rsid w:val="00126847"/>
    <w:rsid w:val="00126E06"/>
    <w:rsid w:val="00127445"/>
    <w:rsid w:val="00127B80"/>
    <w:rsid w:val="0013066E"/>
    <w:rsid w:val="001316C5"/>
    <w:rsid w:val="00135057"/>
    <w:rsid w:val="00135D8E"/>
    <w:rsid w:val="001375CC"/>
    <w:rsid w:val="00137DF7"/>
    <w:rsid w:val="001411C5"/>
    <w:rsid w:val="001426E6"/>
    <w:rsid w:val="001441AB"/>
    <w:rsid w:val="001444C8"/>
    <w:rsid w:val="0014559E"/>
    <w:rsid w:val="00146585"/>
    <w:rsid w:val="00146AA7"/>
    <w:rsid w:val="00150A61"/>
    <w:rsid w:val="00152FCC"/>
    <w:rsid w:val="00155C07"/>
    <w:rsid w:val="00160F31"/>
    <w:rsid w:val="00163B18"/>
    <w:rsid w:val="0016445E"/>
    <w:rsid w:val="00164C38"/>
    <w:rsid w:val="00165277"/>
    <w:rsid w:val="00165EB3"/>
    <w:rsid w:val="00172215"/>
    <w:rsid w:val="0017223A"/>
    <w:rsid w:val="00172C93"/>
    <w:rsid w:val="00173058"/>
    <w:rsid w:val="00174501"/>
    <w:rsid w:val="0017620A"/>
    <w:rsid w:val="001765DC"/>
    <w:rsid w:val="00176C57"/>
    <w:rsid w:val="0018010A"/>
    <w:rsid w:val="001807C8"/>
    <w:rsid w:val="001826B0"/>
    <w:rsid w:val="00191DE6"/>
    <w:rsid w:val="00191E6C"/>
    <w:rsid w:val="001929E2"/>
    <w:rsid w:val="00196EC8"/>
    <w:rsid w:val="001A04CB"/>
    <w:rsid w:val="001A1045"/>
    <w:rsid w:val="001A1CD1"/>
    <w:rsid w:val="001A5365"/>
    <w:rsid w:val="001A6FEA"/>
    <w:rsid w:val="001B27AA"/>
    <w:rsid w:val="001B34EA"/>
    <w:rsid w:val="001B7283"/>
    <w:rsid w:val="001C0113"/>
    <w:rsid w:val="001C5C25"/>
    <w:rsid w:val="001C6984"/>
    <w:rsid w:val="001C70A7"/>
    <w:rsid w:val="001D057D"/>
    <w:rsid w:val="001D1486"/>
    <w:rsid w:val="001D4B5E"/>
    <w:rsid w:val="001D756F"/>
    <w:rsid w:val="001E0E74"/>
    <w:rsid w:val="001E2C5E"/>
    <w:rsid w:val="001E3653"/>
    <w:rsid w:val="001E3CF2"/>
    <w:rsid w:val="001E4E20"/>
    <w:rsid w:val="001F33BD"/>
    <w:rsid w:val="001F3622"/>
    <w:rsid w:val="001F4703"/>
    <w:rsid w:val="001F53B7"/>
    <w:rsid w:val="001F7E5E"/>
    <w:rsid w:val="00200374"/>
    <w:rsid w:val="00202C0F"/>
    <w:rsid w:val="002031AF"/>
    <w:rsid w:val="002041EA"/>
    <w:rsid w:val="00204923"/>
    <w:rsid w:val="0020558E"/>
    <w:rsid w:val="0020662E"/>
    <w:rsid w:val="0021295B"/>
    <w:rsid w:val="00212C75"/>
    <w:rsid w:val="002145CA"/>
    <w:rsid w:val="002202F6"/>
    <w:rsid w:val="002218B4"/>
    <w:rsid w:val="00222198"/>
    <w:rsid w:val="00222A89"/>
    <w:rsid w:val="00224A63"/>
    <w:rsid w:val="0022612D"/>
    <w:rsid w:val="002272FA"/>
    <w:rsid w:val="00230406"/>
    <w:rsid w:val="00232395"/>
    <w:rsid w:val="0023260D"/>
    <w:rsid w:val="00236C1B"/>
    <w:rsid w:val="002374C1"/>
    <w:rsid w:val="002375FE"/>
    <w:rsid w:val="00242CAF"/>
    <w:rsid w:val="00242F4F"/>
    <w:rsid w:val="0024508E"/>
    <w:rsid w:val="00246F3A"/>
    <w:rsid w:val="00247519"/>
    <w:rsid w:val="00250025"/>
    <w:rsid w:val="00254A1B"/>
    <w:rsid w:val="00256865"/>
    <w:rsid w:val="002579E1"/>
    <w:rsid w:val="0026105C"/>
    <w:rsid w:val="00262A03"/>
    <w:rsid w:val="00262FC0"/>
    <w:rsid w:val="00264260"/>
    <w:rsid w:val="002644E2"/>
    <w:rsid w:val="002674B7"/>
    <w:rsid w:val="00267641"/>
    <w:rsid w:val="00277493"/>
    <w:rsid w:val="00280158"/>
    <w:rsid w:val="00281BC1"/>
    <w:rsid w:val="00285271"/>
    <w:rsid w:val="002853BD"/>
    <w:rsid w:val="00286E26"/>
    <w:rsid w:val="00287087"/>
    <w:rsid w:val="00287310"/>
    <w:rsid w:val="002904D4"/>
    <w:rsid w:val="00291805"/>
    <w:rsid w:val="00296488"/>
    <w:rsid w:val="002A1155"/>
    <w:rsid w:val="002A1223"/>
    <w:rsid w:val="002A19B2"/>
    <w:rsid w:val="002A379A"/>
    <w:rsid w:val="002A63B7"/>
    <w:rsid w:val="002B61E2"/>
    <w:rsid w:val="002C0291"/>
    <w:rsid w:val="002C1EA4"/>
    <w:rsid w:val="002C203C"/>
    <w:rsid w:val="002C2F7B"/>
    <w:rsid w:val="002C3983"/>
    <w:rsid w:val="002C50C2"/>
    <w:rsid w:val="002D278C"/>
    <w:rsid w:val="002D2883"/>
    <w:rsid w:val="002D3017"/>
    <w:rsid w:val="002D4977"/>
    <w:rsid w:val="002D5676"/>
    <w:rsid w:val="002D5842"/>
    <w:rsid w:val="002D5AC1"/>
    <w:rsid w:val="002D7D97"/>
    <w:rsid w:val="002E1D73"/>
    <w:rsid w:val="002E2C2D"/>
    <w:rsid w:val="002E2DF3"/>
    <w:rsid w:val="002E2FDE"/>
    <w:rsid w:val="002E4804"/>
    <w:rsid w:val="002E7618"/>
    <w:rsid w:val="002F214D"/>
    <w:rsid w:val="002F2876"/>
    <w:rsid w:val="002F3895"/>
    <w:rsid w:val="002F48D1"/>
    <w:rsid w:val="00302EE6"/>
    <w:rsid w:val="003103E2"/>
    <w:rsid w:val="00311AFE"/>
    <w:rsid w:val="00313785"/>
    <w:rsid w:val="003168BC"/>
    <w:rsid w:val="00317971"/>
    <w:rsid w:val="00317BBB"/>
    <w:rsid w:val="003208D4"/>
    <w:rsid w:val="00323980"/>
    <w:rsid w:val="00324E64"/>
    <w:rsid w:val="0032692F"/>
    <w:rsid w:val="00332A2C"/>
    <w:rsid w:val="00343891"/>
    <w:rsid w:val="00346564"/>
    <w:rsid w:val="00346F37"/>
    <w:rsid w:val="00350A18"/>
    <w:rsid w:val="00350D25"/>
    <w:rsid w:val="00352B69"/>
    <w:rsid w:val="00353C4B"/>
    <w:rsid w:val="00354CBD"/>
    <w:rsid w:val="00357894"/>
    <w:rsid w:val="003677A3"/>
    <w:rsid w:val="00367BDC"/>
    <w:rsid w:val="00372578"/>
    <w:rsid w:val="0037308D"/>
    <w:rsid w:val="00381A02"/>
    <w:rsid w:val="0038482D"/>
    <w:rsid w:val="00384FD8"/>
    <w:rsid w:val="0039203A"/>
    <w:rsid w:val="00392098"/>
    <w:rsid w:val="00392B98"/>
    <w:rsid w:val="00394D85"/>
    <w:rsid w:val="00396779"/>
    <w:rsid w:val="003A70EC"/>
    <w:rsid w:val="003B07EC"/>
    <w:rsid w:val="003B118C"/>
    <w:rsid w:val="003B20A7"/>
    <w:rsid w:val="003B6343"/>
    <w:rsid w:val="003B78A0"/>
    <w:rsid w:val="003C08DC"/>
    <w:rsid w:val="003C0E24"/>
    <w:rsid w:val="003C5D23"/>
    <w:rsid w:val="003C6466"/>
    <w:rsid w:val="003C6631"/>
    <w:rsid w:val="003D37C0"/>
    <w:rsid w:val="003D58F3"/>
    <w:rsid w:val="003D76B5"/>
    <w:rsid w:val="003E05F7"/>
    <w:rsid w:val="003E080D"/>
    <w:rsid w:val="003E15A2"/>
    <w:rsid w:val="003E1A4A"/>
    <w:rsid w:val="003E2163"/>
    <w:rsid w:val="003E583B"/>
    <w:rsid w:val="003E5949"/>
    <w:rsid w:val="003E6ED9"/>
    <w:rsid w:val="003F389C"/>
    <w:rsid w:val="003F50FD"/>
    <w:rsid w:val="003F5423"/>
    <w:rsid w:val="003F77EC"/>
    <w:rsid w:val="00400B41"/>
    <w:rsid w:val="0041089D"/>
    <w:rsid w:val="004109BC"/>
    <w:rsid w:val="00412CB0"/>
    <w:rsid w:val="004132BC"/>
    <w:rsid w:val="004141C2"/>
    <w:rsid w:val="0041596A"/>
    <w:rsid w:val="00416538"/>
    <w:rsid w:val="00421102"/>
    <w:rsid w:val="00433D0D"/>
    <w:rsid w:val="0043539A"/>
    <w:rsid w:val="00436539"/>
    <w:rsid w:val="00437A1D"/>
    <w:rsid w:val="00442AFA"/>
    <w:rsid w:val="004433B8"/>
    <w:rsid w:val="004474BC"/>
    <w:rsid w:val="00450870"/>
    <w:rsid w:val="00451903"/>
    <w:rsid w:val="00451915"/>
    <w:rsid w:val="00451D07"/>
    <w:rsid w:val="004520AA"/>
    <w:rsid w:val="00453924"/>
    <w:rsid w:val="0046276E"/>
    <w:rsid w:val="00462A55"/>
    <w:rsid w:val="004671B4"/>
    <w:rsid w:val="004710B8"/>
    <w:rsid w:val="00474678"/>
    <w:rsid w:val="0048008A"/>
    <w:rsid w:val="004804AE"/>
    <w:rsid w:val="00481996"/>
    <w:rsid w:val="004828E6"/>
    <w:rsid w:val="00491AAF"/>
    <w:rsid w:val="00491CAA"/>
    <w:rsid w:val="004930BF"/>
    <w:rsid w:val="00495F52"/>
    <w:rsid w:val="00497E36"/>
    <w:rsid w:val="004A08C6"/>
    <w:rsid w:val="004A3026"/>
    <w:rsid w:val="004A32AA"/>
    <w:rsid w:val="004A62BF"/>
    <w:rsid w:val="004B0571"/>
    <w:rsid w:val="004B3CA1"/>
    <w:rsid w:val="004B4E6A"/>
    <w:rsid w:val="004B52BE"/>
    <w:rsid w:val="004B5C8A"/>
    <w:rsid w:val="004B6199"/>
    <w:rsid w:val="004B684A"/>
    <w:rsid w:val="004B7402"/>
    <w:rsid w:val="004C02B7"/>
    <w:rsid w:val="004C1393"/>
    <w:rsid w:val="004C19A9"/>
    <w:rsid w:val="004C5FC3"/>
    <w:rsid w:val="004C647B"/>
    <w:rsid w:val="004C6C47"/>
    <w:rsid w:val="004D2569"/>
    <w:rsid w:val="004D45A0"/>
    <w:rsid w:val="004D6549"/>
    <w:rsid w:val="004D7B32"/>
    <w:rsid w:val="004D7BE4"/>
    <w:rsid w:val="004E16BA"/>
    <w:rsid w:val="004E3F07"/>
    <w:rsid w:val="004E47C0"/>
    <w:rsid w:val="004E49D5"/>
    <w:rsid w:val="004E56DE"/>
    <w:rsid w:val="004F17AE"/>
    <w:rsid w:val="004F229C"/>
    <w:rsid w:val="004F2C5D"/>
    <w:rsid w:val="00505E5C"/>
    <w:rsid w:val="0051170D"/>
    <w:rsid w:val="0051292F"/>
    <w:rsid w:val="00513D79"/>
    <w:rsid w:val="005178F5"/>
    <w:rsid w:val="00521A52"/>
    <w:rsid w:val="00522486"/>
    <w:rsid w:val="00522BBF"/>
    <w:rsid w:val="005246CC"/>
    <w:rsid w:val="00524A98"/>
    <w:rsid w:val="00532F88"/>
    <w:rsid w:val="00534E16"/>
    <w:rsid w:val="005400D8"/>
    <w:rsid w:val="00540DA9"/>
    <w:rsid w:val="00550670"/>
    <w:rsid w:val="005522FF"/>
    <w:rsid w:val="005604BD"/>
    <w:rsid w:val="005610EB"/>
    <w:rsid w:val="005613F2"/>
    <w:rsid w:val="00561978"/>
    <w:rsid w:val="00564374"/>
    <w:rsid w:val="005649E0"/>
    <w:rsid w:val="0056546C"/>
    <w:rsid w:val="00570D60"/>
    <w:rsid w:val="00572E03"/>
    <w:rsid w:val="00573492"/>
    <w:rsid w:val="00577CCE"/>
    <w:rsid w:val="00585886"/>
    <w:rsid w:val="00585AA3"/>
    <w:rsid w:val="005872B2"/>
    <w:rsid w:val="00590884"/>
    <w:rsid w:val="005910A5"/>
    <w:rsid w:val="00591484"/>
    <w:rsid w:val="005969D4"/>
    <w:rsid w:val="005976D9"/>
    <w:rsid w:val="005A2F40"/>
    <w:rsid w:val="005A44A5"/>
    <w:rsid w:val="005A4510"/>
    <w:rsid w:val="005A55D9"/>
    <w:rsid w:val="005A6596"/>
    <w:rsid w:val="005A6A1C"/>
    <w:rsid w:val="005A6B6D"/>
    <w:rsid w:val="005A6E64"/>
    <w:rsid w:val="005C08B1"/>
    <w:rsid w:val="005C2B2A"/>
    <w:rsid w:val="005C4412"/>
    <w:rsid w:val="005C7C97"/>
    <w:rsid w:val="005D19E0"/>
    <w:rsid w:val="005D24F4"/>
    <w:rsid w:val="005E16CC"/>
    <w:rsid w:val="005E7611"/>
    <w:rsid w:val="005F469C"/>
    <w:rsid w:val="00607081"/>
    <w:rsid w:val="00610457"/>
    <w:rsid w:val="006106E2"/>
    <w:rsid w:val="00616490"/>
    <w:rsid w:val="0061718D"/>
    <w:rsid w:val="00617C02"/>
    <w:rsid w:val="00625C4D"/>
    <w:rsid w:val="00631CA9"/>
    <w:rsid w:val="006336DE"/>
    <w:rsid w:val="006338BE"/>
    <w:rsid w:val="00637248"/>
    <w:rsid w:val="006373B3"/>
    <w:rsid w:val="00637648"/>
    <w:rsid w:val="0064093C"/>
    <w:rsid w:val="00641A8F"/>
    <w:rsid w:val="0064256E"/>
    <w:rsid w:val="00642E5F"/>
    <w:rsid w:val="00644932"/>
    <w:rsid w:val="00645841"/>
    <w:rsid w:val="00647692"/>
    <w:rsid w:val="00650679"/>
    <w:rsid w:val="00652290"/>
    <w:rsid w:val="00652EC2"/>
    <w:rsid w:val="0065406C"/>
    <w:rsid w:val="006553CA"/>
    <w:rsid w:val="00655C4A"/>
    <w:rsid w:val="00660F0D"/>
    <w:rsid w:val="006643F6"/>
    <w:rsid w:val="00666B53"/>
    <w:rsid w:val="0067049A"/>
    <w:rsid w:val="006704C3"/>
    <w:rsid w:val="00677ECB"/>
    <w:rsid w:val="00680007"/>
    <w:rsid w:val="0068019F"/>
    <w:rsid w:val="0068099F"/>
    <w:rsid w:val="006874D1"/>
    <w:rsid w:val="00691170"/>
    <w:rsid w:val="006922F0"/>
    <w:rsid w:val="00696460"/>
    <w:rsid w:val="00696470"/>
    <w:rsid w:val="006966BD"/>
    <w:rsid w:val="00697650"/>
    <w:rsid w:val="006A0D93"/>
    <w:rsid w:val="006A58DC"/>
    <w:rsid w:val="006A793F"/>
    <w:rsid w:val="006A7F2F"/>
    <w:rsid w:val="006B1F88"/>
    <w:rsid w:val="006B27F1"/>
    <w:rsid w:val="006C048B"/>
    <w:rsid w:val="006C34BF"/>
    <w:rsid w:val="006C64DC"/>
    <w:rsid w:val="006D166A"/>
    <w:rsid w:val="006D19EF"/>
    <w:rsid w:val="006D1EE9"/>
    <w:rsid w:val="006D26A6"/>
    <w:rsid w:val="006D2BDD"/>
    <w:rsid w:val="006D6757"/>
    <w:rsid w:val="006D7350"/>
    <w:rsid w:val="006D79D6"/>
    <w:rsid w:val="006E0D86"/>
    <w:rsid w:val="006E34EA"/>
    <w:rsid w:val="006E5EE0"/>
    <w:rsid w:val="006E6384"/>
    <w:rsid w:val="006E7277"/>
    <w:rsid w:val="006E741B"/>
    <w:rsid w:val="006F4307"/>
    <w:rsid w:val="006F6EFA"/>
    <w:rsid w:val="00702389"/>
    <w:rsid w:val="007044D4"/>
    <w:rsid w:val="007053BF"/>
    <w:rsid w:val="00707717"/>
    <w:rsid w:val="007105A6"/>
    <w:rsid w:val="00713DCE"/>
    <w:rsid w:val="00714766"/>
    <w:rsid w:val="00715AA7"/>
    <w:rsid w:val="007231CB"/>
    <w:rsid w:val="00726BAC"/>
    <w:rsid w:val="00731FC9"/>
    <w:rsid w:val="00731FCD"/>
    <w:rsid w:val="00731FDB"/>
    <w:rsid w:val="0073606D"/>
    <w:rsid w:val="007368EB"/>
    <w:rsid w:val="0074464D"/>
    <w:rsid w:val="007467C6"/>
    <w:rsid w:val="00747380"/>
    <w:rsid w:val="00754387"/>
    <w:rsid w:val="00755B80"/>
    <w:rsid w:val="00755D0B"/>
    <w:rsid w:val="00756F0D"/>
    <w:rsid w:val="00756FDD"/>
    <w:rsid w:val="00761429"/>
    <w:rsid w:val="00761E01"/>
    <w:rsid w:val="00762A48"/>
    <w:rsid w:val="007649E8"/>
    <w:rsid w:val="007671B9"/>
    <w:rsid w:val="00770A67"/>
    <w:rsid w:val="0077388F"/>
    <w:rsid w:val="0077658D"/>
    <w:rsid w:val="00780104"/>
    <w:rsid w:val="0078506A"/>
    <w:rsid w:val="00786602"/>
    <w:rsid w:val="00791230"/>
    <w:rsid w:val="00791494"/>
    <w:rsid w:val="007937F8"/>
    <w:rsid w:val="00794388"/>
    <w:rsid w:val="00794AD0"/>
    <w:rsid w:val="00795963"/>
    <w:rsid w:val="007A4FAD"/>
    <w:rsid w:val="007A6B4C"/>
    <w:rsid w:val="007A6E33"/>
    <w:rsid w:val="007A7A1E"/>
    <w:rsid w:val="007B0D95"/>
    <w:rsid w:val="007B584B"/>
    <w:rsid w:val="007B71AE"/>
    <w:rsid w:val="007B79A2"/>
    <w:rsid w:val="007B7B9A"/>
    <w:rsid w:val="007C7978"/>
    <w:rsid w:val="007D020B"/>
    <w:rsid w:val="007D4E28"/>
    <w:rsid w:val="007D6756"/>
    <w:rsid w:val="007E1BE4"/>
    <w:rsid w:val="007E2A13"/>
    <w:rsid w:val="007E317E"/>
    <w:rsid w:val="007E53F6"/>
    <w:rsid w:val="007F59E7"/>
    <w:rsid w:val="00800133"/>
    <w:rsid w:val="0080095D"/>
    <w:rsid w:val="00801817"/>
    <w:rsid w:val="0080245D"/>
    <w:rsid w:val="00805F6D"/>
    <w:rsid w:val="0080628B"/>
    <w:rsid w:val="0080684F"/>
    <w:rsid w:val="00807E04"/>
    <w:rsid w:val="00811A60"/>
    <w:rsid w:val="00812B2D"/>
    <w:rsid w:val="00817F53"/>
    <w:rsid w:val="00824F27"/>
    <w:rsid w:val="0083237D"/>
    <w:rsid w:val="0083429D"/>
    <w:rsid w:val="008362F6"/>
    <w:rsid w:val="00837D7E"/>
    <w:rsid w:val="0084067F"/>
    <w:rsid w:val="00841230"/>
    <w:rsid w:val="00842C76"/>
    <w:rsid w:val="00844713"/>
    <w:rsid w:val="00847AAB"/>
    <w:rsid w:val="00852356"/>
    <w:rsid w:val="0085276B"/>
    <w:rsid w:val="00852C8C"/>
    <w:rsid w:val="00855490"/>
    <w:rsid w:val="008610CB"/>
    <w:rsid w:val="00861EA4"/>
    <w:rsid w:val="00866728"/>
    <w:rsid w:val="00871E18"/>
    <w:rsid w:val="00872277"/>
    <w:rsid w:val="00872C74"/>
    <w:rsid w:val="008744F0"/>
    <w:rsid w:val="0087470A"/>
    <w:rsid w:val="00874C83"/>
    <w:rsid w:val="00876933"/>
    <w:rsid w:val="00876BB0"/>
    <w:rsid w:val="008856B2"/>
    <w:rsid w:val="008912A9"/>
    <w:rsid w:val="0089154F"/>
    <w:rsid w:val="008929D5"/>
    <w:rsid w:val="00894D03"/>
    <w:rsid w:val="008A106B"/>
    <w:rsid w:val="008A2DF7"/>
    <w:rsid w:val="008A3ADE"/>
    <w:rsid w:val="008A5C05"/>
    <w:rsid w:val="008A5DBE"/>
    <w:rsid w:val="008B0356"/>
    <w:rsid w:val="008B1029"/>
    <w:rsid w:val="008B38F2"/>
    <w:rsid w:val="008B6410"/>
    <w:rsid w:val="008B687D"/>
    <w:rsid w:val="008C1CCB"/>
    <w:rsid w:val="008C248C"/>
    <w:rsid w:val="008C2727"/>
    <w:rsid w:val="008C50CB"/>
    <w:rsid w:val="008C57AE"/>
    <w:rsid w:val="008D20CA"/>
    <w:rsid w:val="008D31BB"/>
    <w:rsid w:val="008D3860"/>
    <w:rsid w:val="008D636A"/>
    <w:rsid w:val="008E1A9A"/>
    <w:rsid w:val="008E240F"/>
    <w:rsid w:val="008E2DFB"/>
    <w:rsid w:val="008E48C9"/>
    <w:rsid w:val="008E5404"/>
    <w:rsid w:val="008F25B2"/>
    <w:rsid w:val="008F503E"/>
    <w:rsid w:val="009005BB"/>
    <w:rsid w:val="009037A3"/>
    <w:rsid w:val="00904BBC"/>
    <w:rsid w:val="00907440"/>
    <w:rsid w:val="009078E9"/>
    <w:rsid w:val="009079F6"/>
    <w:rsid w:val="00911B58"/>
    <w:rsid w:val="00913BF3"/>
    <w:rsid w:val="00917AAB"/>
    <w:rsid w:val="00922898"/>
    <w:rsid w:val="00923A0F"/>
    <w:rsid w:val="009266D8"/>
    <w:rsid w:val="00926B0A"/>
    <w:rsid w:val="00927ED5"/>
    <w:rsid w:val="00932C02"/>
    <w:rsid w:val="00935388"/>
    <w:rsid w:val="00935631"/>
    <w:rsid w:val="009411B1"/>
    <w:rsid w:val="009416E9"/>
    <w:rsid w:val="00941A26"/>
    <w:rsid w:val="00945CCA"/>
    <w:rsid w:val="00946B6B"/>
    <w:rsid w:val="0095150A"/>
    <w:rsid w:val="009611A3"/>
    <w:rsid w:val="009622AC"/>
    <w:rsid w:val="00962593"/>
    <w:rsid w:val="00964266"/>
    <w:rsid w:val="00965709"/>
    <w:rsid w:val="0096727B"/>
    <w:rsid w:val="0097152D"/>
    <w:rsid w:val="00971EFF"/>
    <w:rsid w:val="009726AB"/>
    <w:rsid w:val="00973632"/>
    <w:rsid w:val="00973916"/>
    <w:rsid w:val="00974003"/>
    <w:rsid w:val="00974985"/>
    <w:rsid w:val="0097554C"/>
    <w:rsid w:val="009766D2"/>
    <w:rsid w:val="00976C36"/>
    <w:rsid w:val="00976D26"/>
    <w:rsid w:val="00983062"/>
    <w:rsid w:val="00983641"/>
    <w:rsid w:val="00984DDC"/>
    <w:rsid w:val="0098643A"/>
    <w:rsid w:val="0099187B"/>
    <w:rsid w:val="009959EC"/>
    <w:rsid w:val="00997A6E"/>
    <w:rsid w:val="00997E4E"/>
    <w:rsid w:val="009A43DC"/>
    <w:rsid w:val="009A510C"/>
    <w:rsid w:val="009A5D63"/>
    <w:rsid w:val="009A5FA0"/>
    <w:rsid w:val="009A6321"/>
    <w:rsid w:val="009B149A"/>
    <w:rsid w:val="009B1879"/>
    <w:rsid w:val="009B1ED5"/>
    <w:rsid w:val="009B27A7"/>
    <w:rsid w:val="009B2FCB"/>
    <w:rsid w:val="009B3657"/>
    <w:rsid w:val="009B43B8"/>
    <w:rsid w:val="009B5D74"/>
    <w:rsid w:val="009C1FAA"/>
    <w:rsid w:val="009C5AAA"/>
    <w:rsid w:val="009C5D02"/>
    <w:rsid w:val="009D0982"/>
    <w:rsid w:val="009D2AB1"/>
    <w:rsid w:val="009D4AF8"/>
    <w:rsid w:val="009D5FFB"/>
    <w:rsid w:val="009E39A2"/>
    <w:rsid w:val="009E6075"/>
    <w:rsid w:val="009F1800"/>
    <w:rsid w:val="009F1C9C"/>
    <w:rsid w:val="009F2349"/>
    <w:rsid w:val="009F46D4"/>
    <w:rsid w:val="009F4730"/>
    <w:rsid w:val="009F4C9C"/>
    <w:rsid w:val="009F4FA0"/>
    <w:rsid w:val="00A015EF"/>
    <w:rsid w:val="00A04343"/>
    <w:rsid w:val="00A04E37"/>
    <w:rsid w:val="00A10E31"/>
    <w:rsid w:val="00A140F7"/>
    <w:rsid w:val="00A14F0D"/>
    <w:rsid w:val="00A162EA"/>
    <w:rsid w:val="00A167A3"/>
    <w:rsid w:val="00A26949"/>
    <w:rsid w:val="00A26C39"/>
    <w:rsid w:val="00A309EB"/>
    <w:rsid w:val="00A335A6"/>
    <w:rsid w:val="00A4087D"/>
    <w:rsid w:val="00A4180A"/>
    <w:rsid w:val="00A41D5D"/>
    <w:rsid w:val="00A42FE4"/>
    <w:rsid w:val="00A43B56"/>
    <w:rsid w:val="00A448CC"/>
    <w:rsid w:val="00A452A2"/>
    <w:rsid w:val="00A47605"/>
    <w:rsid w:val="00A5053A"/>
    <w:rsid w:val="00A51C24"/>
    <w:rsid w:val="00A70C2B"/>
    <w:rsid w:val="00A734C7"/>
    <w:rsid w:val="00A77C5B"/>
    <w:rsid w:val="00A80566"/>
    <w:rsid w:val="00A805BF"/>
    <w:rsid w:val="00A82096"/>
    <w:rsid w:val="00A84286"/>
    <w:rsid w:val="00A846C7"/>
    <w:rsid w:val="00A85DE3"/>
    <w:rsid w:val="00A861BD"/>
    <w:rsid w:val="00A87868"/>
    <w:rsid w:val="00A91815"/>
    <w:rsid w:val="00AA2819"/>
    <w:rsid w:val="00AA369F"/>
    <w:rsid w:val="00AA3CA3"/>
    <w:rsid w:val="00AA63FE"/>
    <w:rsid w:val="00AB134A"/>
    <w:rsid w:val="00AB215F"/>
    <w:rsid w:val="00AB4EAD"/>
    <w:rsid w:val="00AB51C2"/>
    <w:rsid w:val="00AB5BEC"/>
    <w:rsid w:val="00AB7643"/>
    <w:rsid w:val="00AC13F8"/>
    <w:rsid w:val="00AC307F"/>
    <w:rsid w:val="00AC37D0"/>
    <w:rsid w:val="00AD164E"/>
    <w:rsid w:val="00AD3FA7"/>
    <w:rsid w:val="00AD6183"/>
    <w:rsid w:val="00AE0D03"/>
    <w:rsid w:val="00AE0F5A"/>
    <w:rsid w:val="00AE2F3F"/>
    <w:rsid w:val="00AE59BD"/>
    <w:rsid w:val="00AE5D0F"/>
    <w:rsid w:val="00AE7ED0"/>
    <w:rsid w:val="00AF28AB"/>
    <w:rsid w:val="00AF56A6"/>
    <w:rsid w:val="00AF6DC2"/>
    <w:rsid w:val="00B00493"/>
    <w:rsid w:val="00B00EC9"/>
    <w:rsid w:val="00B01881"/>
    <w:rsid w:val="00B0277B"/>
    <w:rsid w:val="00B03B5B"/>
    <w:rsid w:val="00B044C3"/>
    <w:rsid w:val="00B067D6"/>
    <w:rsid w:val="00B1238F"/>
    <w:rsid w:val="00B21E08"/>
    <w:rsid w:val="00B21FC0"/>
    <w:rsid w:val="00B2210F"/>
    <w:rsid w:val="00B26489"/>
    <w:rsid w:val="00B27DBC"/>
    <w:rsid w:val="00B3298D"/>
    <w:rsid w:val="00B33799"/>
    <w:rsid w:val="00B33F43"/>
    <w:rsid w:val="00B3408A"/>
    <w:rsid w:val="00B35792"/>
    <w:rsid w:val="00B35A9B"/>
    <w:rsid w:val="00B361CE"/>
    <w:rsid w:val="00B43B35"/>
    <w:rsid w:val="00B4425E"/>
    <w:rsid w:val="00B44402"/>
    <w:rsid w:val="00B455C0"/>
    <w:rsid w:val="00B4614F"/>
    <w:rsid w:val="00B46398"/>
    <w:rsid w:val="00B539AC"/>
    <w:rsid w:val="00B539DE"/>
    <w:rsid w:val="00B54106"/>
    <w:rsid w:val="00B54B4A"/>
    <w:rsid w:val="00B54BF0"/>
    <w:rsid w:val="00B56502"/>
    <w:rsid w:val="00B62597"/>
    <w:rsid w:val="00B6328A"/>
    <w:rsid w:val="00B66512"/>
    <w:rsid w:val="00B67593"/>
    <w:rsid w:val="00B70B5E"/>
    <w:rsid w:val="00B71AEB"/>
    <w:rsid w:val="00B7269C"/>
    <w:rsid w:val="00B8097A"/>
    <w:rsid w:val="00B9058C"/>
    <w:rsid w:val="00B91F97"/>
    <w:rsid w:val="00B93915"/>
    <w:rsid w:val="00B93ADA"/>
    <w:rsid w:val="00B96B70"/>
    <w:rsid w:val="00B96D22"/>
    <w:rsid w:val="00B97207"/>
    <w:rsid w:val="00BB4C2A"/>
    <w:rsid w:val="00BC4DB9"/>
    <w:rsid w:val="00BC7EBB"/>
    <w:rsid w:val="00BC7FEB"/>
    <w:rsid w:val="00BD158B"/>
    <w:rsid w:val="00BD18BC"/>
    <w:rsid w:val="00BD2D6B"/>
    <w:rsid w:val="00BD6527"/>
    <w:rsid w:val="00BD7268"/>
    <w:rsid w:val="00BE0296"/>
    <w:rsid w:val="00BE15D5"/>
    <w:rsid w:val="00BE20B1"/>
    <w:rsid w:val="00BE2B18"/>
    <w:rsid w:val="00BE534F"/>
    <w:rsid w:val="00BE654E"/>
    <w:rsid w:val="00BF1D80"/>
    <w:rsid w:val="00BF2064"/>
    <w:rsid w:val="00BF6C65"/>
    <w:rsid w:val="00C00E3F"/>
    <w:rsid w:val="00C0186E"/>
    <w:rsid w:val="00C07289"/>
    <w:rsid w:val="00C07C3C"/>
    <w:rsid w:val="00C15A55"/>
    <w:rsid w:val="00C16363"/>
    <w:rsid w:val="00C16F4D"/>
    <w:rsid w:val="00C17742"/>
    <w:rsid w:val="00C2063F"/>
    <w:rsid w:val="00C209AF"/>
    <w:rsid w:val="00C21F9D"/>
    <w:rsid w:val="00C227DB"/>
    <w:rsid w:val="00C23C89"/>
    <w:rsid w:val="00C25C94"/>
    <w:rsid w:val="00C33B8C"/>
    <w:rsid w:val="00C35B5F"/>
    <w:rsid w:val="00C36CB8"/>
    <w:rsid w:val="00C36E69"/>
    <w:rsid w:val="00C40C91"/>
    <w:rsid w:val="00C446D0"/>
    <w:rsid w:val="00C467F5"/>
    <w:rsid w:val="00C4739A"/>
    <w:rsid w:val="00C56253"/>
    <w:rsid w:val="00C562B6"/>
    <w:rsid w:val="00C568EF"/>
    <w:rsid w:val="00C623B5"/>
    <w:rsid w:val="00C64821"/>
    <w:rsid w:val="00C648B3"/>
    <w:rsid w:val="00C6663D"/>
    <w:rsid w:val="00C71E10"/>
    <w:rsid w:val="00C73BAA"/>
    <w:rsid w:val="00C74E82"/>
    <w:rsid w:val="00C76E7A"/>
    <w:rsid w:val="00C76E95"/>
    <w:rsid w:val="00C8296B"/>
    <w:rsid w:val="00C83B3D"/>
    <w:rsid w:val="00C83E4C"/>
    <w:rsid w:val="00C84BB2"/>
    <w:rsid w:val="00C85221"/>
    <w:rsid w:val="00C85BAE"/>
    <w:rsid w:val="00C9113E"/>
    <w:rsid w:val="00C92F57"/>
    <w:rsid w:val="00C956B5"/>
    <w:rsid w:val="00CA17B3"/>
    <w:rsid w:val="00CA3925"/>
    <w:rsid w:val="00CA48B7"/>
    <w:rsid w:val="00CA5E57"/>
    <w:rsid w:val="00CB3A5F"/>
    <w:rsid w:val="00CB5C4D"/>
    <w:rsid w:val="00CB7609"/>
    <w:rsid w:val="00CC283F"/>
    <w:rsid w:val="00CC33BC"/>
    <w:rsid w:val="00CD18E3"/>
    <w:rsid w:val="00CD2B72"/>
    <w:rsid w:val="00CD6909"/>
    <w:rsid w:val="00CE0070"/>
    <w:rsid w:val="00CE253A"/>
    <w:rsid w:val="00CE3789"/>
    <w:rsid w:val="00CE4495"/>
    <w:rsid w:val="00CE5E55"/>
    <w:rsid w:val="00CE6DE7"/>
    <w:rsid w:val="00CE7D2C"/>
    <w:rsid w:val="00CF2858"/>
    <w:rsid w:val="00CF37F4"/>
    <w:rsid w:val="00CF5081"/>
    <w:rsid w:val="00D05B55"/>
    <w:rsid w:val="00D06155"/>
    <w:rsid w:val="00D13F32"/>
    <w:rsid w:val="00D1438E"/>
    <w:rsid w:val="00D149D8"/>
    <w:rsid w:val="00D15AFB"/>
    <w:rsid w:val="00D210A9"/>
    <w:rsid w:val="00D251B6"/>
    <w:rsid w:val="00D40C1E"/>
    <w:rsid w:val="00D4142C"/>
    <w:rsid w:val="00D4240D"/>
    <w:rsid w:val="00D43570"/>
    <w:rsid w:val="00D45589"/>
    <w:rsid w:val="00D46BD5"/>
    <w:rsid w:val="00D50484"/>
    <w:rsid w:val="00D55A7B"/>
    <w:rsid w:val="00D55B52"/>
    <w:rsid w:val="00D55FDE"/>
    <w:rsid w:val="00D57C80"/>
    <w:rsid w:val="00D57EAD"/>
    <w:rsid w:val="00D60134"/>
    <w:rsid w:val="00D6054C"/>
    <w:rsid w:val="00D61A60"/>
    <w:rsid w:val="00D61C0C"/>
    <w:rsid w:val="00D62921"/>
    <w:rsid w:val="00D6467C"/>
    <w:rsid w:val="00D65A9D"/>
    <w:rsid w:val="00D668B9"/>
    <w:rsid w:val="00D70804"/>
    <w:rsid w:val="00D81F7C"/>
    <w:rsid w:val="00D85425"/>
    <w:rsid w:val="00D9337D"/>
    <w:rsid w:val="00D94FD4"/>
    <w:rsid w:val="00D9505C"/>
    <w:rsid w:val="00D97588"/>
    <w:rsid w:val="00DA5D03"/>
    <w:rsid w:val="00DB0678"/>
    <w:rsid w:val="00DB08CA"/>
    <w:rsid w:val="00DB2655"/>
    <w:rsid w:val="00DB4475"/>
    <w:rsid w:val="00DB44D3"/>
    <w:rsid w:val="00DB5906"/>
    <w:rsid w:val="00DB5FBC"/>
    <w:rsid w:val="00DC237E"/>
    <w:rsid w:val="00DC2688"/>
    <w:rsid w:val="00DC4634"/>
    <w:rsid w:val="00DC5471"/>
    <w:rsid w:val="00DC6EAB"/>
    <w:rsid w:val="00DD02A0"/>
    <w:rsid w:val="00DD0F4A"/>
    <w:rsid w:val="00DD402A"/>
    <w:rsid w:val="00DD49CB"/>
    <w:rsid w:val="00DD5CA5"/>
    <w:rsid w:val="00DE0A67"/>
    <w:rsid w:val="00DE1BD8"/>
    <w:rsid w:val="00DE3E2C"/>
    <w:rsid w:val="00DE3EA1"/>
    <w:rsid w:val="00DE466B"/>
    <w:rsid w:val="00DE5B33"/>
    <w:rsid w:val="00DE6928"/>
    <w:rsid w:val="00DF3AB9"/>
    <w:rsid w:val="00DF63C8"/>
    <w:rsid w:val="00E02846"/>
    <w:rsid w:val="00E107E9"/>
    <w:rsid w:val="00E161AC"/>
    <w:rsid w:val="00E16D69"/>
    <w:rsid w:val="00E239CC"/>
    <w:rsid w:val="00E26FE4"/>
    <w:rsid w:val="00E36B3A"/>
    <w:rsid w:val="00E40968"/>
    <w:rsid w:val="00E430CB"/>
    <w:rsid w:val="00E43DA0"/>
    <w:rsid w:val="00E45FBB"/>
    <w:rsid w:val="00E478E0"/>
    <w:rsid w:val="00E52A26"/>
    <w:rsid w:val="00E533D3"/>
    <w:rsid w:val="00E53F11"/>
    <w:rsid w:val="00E548B2"/>
    <w:rsid w:val="00E55B30"/>
    <w:rsid w:val="00E60BD5"/>
    <w:rsid w:val="00E60D13"/>
    <w:rsid w:val="00E61D08"/>
    <w:rsid w:val="00E62A70"/>
    <w:rsid w:val="00E64DC5"/>
    <w:rsid w:val="00E70D79"/>
    <w:rsid w:val="00E731E2"/>
    <w:rsid w:val="00E73ABF"/>
    <w:rsid w:val="00E74B1E"/>
    <w:rsid w:val="00E74DC4"/>
    <w:rsid w:val="00E77D40"/>
    <w:rsid w:val="00E80E7F"/>
    <w:rsid w:val="00E81087"/>
    <w:rsid w:val="00E81B70"/>
    <w:rsid w:val="00E86652"/>
    <w:rsid w:val="00E87AAE"/>
    <w:rsid w:val="00E90754"/>
    <w:rsid w:val="00E9266C"/>
    <w:rsid w:val="00E94A2F"/>
    <w:rsid w:val="00EA00F3"/>
    <w:rsid w:val="00EA199E"/>
    <w:rsid w:val="00EA46FC"/>
    <w:rsid w:val="00EA6438"/>
    <w:rsid w:val="00EA7DFE"/>
    <w:rsid w:val="00EB12E7"/>
    <w:rsid w:val="00EB3449"/>
    <w:rsid w:val="00EB37FE"/>
    <w:rsid w:val="00EB4F7E"/>
    <w:rsid w:val="00EB5722"/>
    <w:rsid w:val="00EB666D"/>
    <w:rsid w:val="00EB75BD"/>
    <w:rsid w:val="00EB7612"/>
    <w:rsid w:val="00EC0626"/>
    <w:rsid w:val="00EC0651"/>
    <w:rsid w:val="00EC0C79"/>
    <w:rsid w:val="00EC2235"/>
    <w:rsid w:val="00EC6181"/>
    <w:rsid w:val="00EC628C"/>
    <w:rsid w:val="00ED0134"/>
    <w:rsid w:val="00ED0332"/>
    <w:rsid w:val="00ED78F0"/>
    <w:rsid w:val="00ED7C06"/>
    <w:rsid w:val="00EE4037"/>
    <w:rsid w:val="00EE679F"/>
    <w:rsid w:val="00EE7320"/>
    <w:rsid w:val="00EF0770"/>
    <w:rsid w:val="00EF53B9"/>
    <w:rsid w:val="00EF7FE9"/>
    <w:rsid w:val="00F01972"/>
    <w:rsid w:val="00F07A87"/>
    <w:rsid w:val="00F102AD"/>
    <w:rsid w:val="00F102B1"/>
    <w:rsid w:val="00F1083A"/>
    <w:rsid w:val="00F12DF8"/>
    <w:rsid w:val="00F13DCD"/>
    <w:rsid w:val="00F14043"/>
    <w:rsid w:val="00F20D74"/>
    <w:rsid w:val="00F211A7"/>
    <w:rsid w:val="00F2457E"/>
    <w:rsid w:val="00F31C23"/>
    <w:rsid w:val="00F31E18"/>
    <w:rsid w:val="00F32572"/>
    <w:rsid w:val="00F33AA5"/>
    <w:rsid w:val="00F3538C"/>
    <w:rsid w:val="00F36A4E"/>
    <w:rsid w:val="00F4276E"/>
    <w:rsid w:val="00F43F05"/>
    <w:rsid w:val="00F479CE"/>
    <w:rsid w:val="00F5023D"/>
    <w:rsid w:val="00F504C7"/>
    <w:rsid w:val="00F539FE"/>
    <w:rsid w:val="00F55934"/>
    <w:rsid w:val="00F60B18"/>
    <w:rsid w:val="00F615B3"/>
    <w:rsid w:val="00F70B63"/>
    <w:rsid w:val="00F72A90"/>
    <w:rsid w:val="00F7634A"/>
    <w:rsid w:val="00F804C2"/>
    <w:rsid w:val="00F82496"/>
    <w:rsid w:val="00F83F48"/>
    <w:rsid w:val="00F84493"/>
    <w:rsid w:val="00F846B9"/>
    <w:rsid w:val="00F84C64"/>
    <w:rsid w:val="00F84E69"/>
    <w:rsid w:val="00F866CE"/>
    <w:rsid w:val="00F87334"/>
    <w:rsid w:val="00F90F18"/>
    <w:rsid w:val="00F91922"/>
    <w:rsid w:val="00F92015"/>
    <w:rsid w:val="00FA3251"/>
    <w:rsid w:val="00FB02AF"/>
    <w:rsid w:val="00FB1290"/>
    <w:rsid w:val="00FB357C"/>
    <w:rsid w:val="00FB72B4"/>
    <w:rsid w:val="00FC20DB"/>
    <w:rsid w:val="00FC5449"/>
    <w:rsid w:val="00FC6729"/>
    <w:rsid w:val="00FC783D"/>
    <w:rsid w:val="00FD3988"/>
    <w:rsid w:val="00FE0753"/>
    <w:rsid w:val="00FE0978"/>
    <w:rsid w:val="00FE447F"/>
    <w:rsid w:val="00FE4A1F"/>
    <w:rsid w:val="00FE4AB9"/>
    <w:rsid w:val="00FE5AD3"/>
    <w:rsid w:val="00FF07E1"/>
    <w:rsid w:val="00FF38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5FC3"/>
    <w:pPr>
      <w:spacing w:after="200" w:line="276" w:lineRule="auto"/>
      <w:jc w:val="left"/>
    </w:pPr>
    <w:rPr>
      <w:rFonts w:asciiTheme="minorHAnsi" w:hAnsiTheme="minorHAnsi" w:cstheme="minorBidi"/>
      <w:sz w:val="22"/>
      <w:szCs w:val="22"/>
    </w:rPr>
  </w:style>
  <w:style w:type="paragraph" w:styleId="Nadpis1">
    <w:name w:val="heading 1"/>
    <w:basedOn w:val="Normlny"/>
    <w:next w:val="Normlny"/>
    <w:link w:val="Nadpis1Char"/>
    <w:uiPriority w:val="9"/>
    <w:qFormat/>
    <w:rsid w:val="00060E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5E7611"/>
    <w:pPr>
      <w:ind w:left="720"/>
      <w:contextualSpacing/>
    </w:pPr>
  </w:style>
  <w:style w:type="paragraph" w:styleId="Hlavika">
    <w:name w:val="header"/>
    <w:basedOn w:val="Normlny"/>
    <w:link w:val="HlavikaChar"/>
    <w:uiPriority w:val="99"/>
    <w:unhideWhenUsed/>
    <w:rsid w:val="005E76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E7611"/>
    <w:rPr>
      <w:rFonts w:asciiTheme="minorHAnsi" w:hAnsiTheme="minorHAnsi" w:cstheme="minorBidi"/>
      <w:sz w:val="22"/>
      <w:szCs w:val="22"/>
    </w:rPr>
  </w:style>
  <w:style w:type="paragraph" w:styleId="Pta">
    <w:name w:val="footer"/>
    <w:basedOn w:val="Normlny"/>
    <w:link w:val="PtaChar"/>
    <w:uiPriority w:val="99"/>
    <w:unhideWhenUsed/>
    <w:rsid w:val="005E7611"/>
    <w:pPr>
      <w:tabs>
        <w:tab w:val="center" w:pos="4536"/>
        <w:tab w:val="right" w:pos="9072"/>
      </w:tabs>
      <w:spacing w:after="0" w:line="240" w:lineRule="auto"/>
    </w:pPr>
  </w:style>
  <w:style w:type="character" w:customStyle="1" w:styleId="PtaChar">
    <w:name w:val="Päta Char"/>
    <w:basedOn w:val="Predvolenpsmoodseku"/>
    <w:link w:val="Pta"/>
    <w:uiPriority w:val="99"/>
    <w:rsid w:val="005E7611"/>
    <w:rPr>
      <w:rFonts w:asciiTheme="minorHAnsi" w:hAnsiTheme="minorHAnsi" w:cstheme="minorBidi"/>
      <w:sz w:val="22"/>
      <w:szCs w:val="22"/>
    </w:rPr>
  </w:style>
  <w:style w:type="paragraph" w:styleId="Textbubliny">
    <w:name w:val="Balloon Text"/>
    <w:basedOn w:val="Normlny"/>
    <w:link w:val="TextbublinyChar"/>
    <w:uiPriority w:val="99"/>
    <w:semiHidden/>
    <w:unhideWhenUsed/>
    <w:rsid w:val="00437A1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37A1D"/>
    <w:rPr>
      <w:rFonts w:ascii="Tahoma" w:hAnsi="Tahoma" w:cs="Tahoma"/>
      <w:sz w:val="16"/>
      <w:szCs w:val="16"/>
    </w:rPr>
  </w:style>
  <w:style w:type="paragraph" w:styleId="Textvysvetlivky">
    <w:name w:val="endnote text"/>
    <w:basedOn w:val="Normlny"/>
    <w:link w:val="TextvysvetlivkyChar"/>
    <w:uiPriority w:val="99"/>
    <w:semiHidden/>
    <w:unhideWhenUsed/>
    <w:rsid w:val="001807C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807C8"/>
    <w:rPr>
      <w:rFonts w:asciiTheme="minorHAnsi" w:hAnsiTheme="minorHAnsi" w:cstheme="minorBidi"/>
      <w:sz w:val="20"/>
      <w:szCs w:val="20"/>
    </w:rPr>
  </w:style>
  <w:style w:type="character" w:styleId="Odkaznavysvetlivku">
    <w:name w:val="endnote reference"/>
    <w:basedOn w:val="Predvolenpsmoodseku"/>
    <w:uiPriority w:val="99"/>
    <w:semiHidden/>
    <w:unhideWhenUsed/>
    <w:rsid w:val="001807C8"/>
    <w:rPr>
      <w:vertAlign w:val="superscript"/>
    </w:rPr>
  </w:style>
  <w:style w:type="paragraph" w:styleId="Textpoznmkypodiarou">
    <w:name w:val="footnote text"/>
    <w:basedOn w:val="Normlny"/>
    <w:link w:val="TextpoznmkypodiarouChar"/>
    <w:uiPriority w:val="99"/>
    <w:semiHidden/>
    <w:unhideWhenUsed/>
    <w:rsid w:val="00C1636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6363"/>
    <w:rPr>
      <w:rFonts w:asciiTheme="minorHAnsi" w:hAnsiTheme="minorHAnsi" w:cstheme="minorBidi"/>
      <w:sz w:val="20"/>
      <w:szCs w:val="20"/>
    </w:rPr>
  </w:style>
  <w:style w:type="character" w:styleId="Odkaznapoznmkupodiarou">
    <w:name w:val="footnote reference"/>
    <w:basedOn w:val="Predvolenpsmoodseku"/>
    <w:uiPriority w:val="99"/>
    <w:semiHidden/>
    <w:unhideWhenUsed/>
    <w:rsid w:val="00C16363"/>
    <w:rPr>
      <w:vertAlign w:val="superscript"/>
    </w:rPr>
  </w:style>
  <w:style w:type="table" w:styleId="Mriekatabuky">
    <w:name w:val="Table Grid"/>
    <w:basedOn w:val="Normlnatabuka"/>
    <w:uiPriority w:val="59"/>
    <w:rsid w:val="00D06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ekzoznamuChar">
    <w:name w:val="Odsek zoznamu Char"/>
    <w:basedOn w:val="Predvolenpsmoodseku"/>
    <w:link w:val="Odsekzoznamu"/>
    <w:uiPriority w:val="34"/>
    <w:rsid w:val="00D9505C"/>
    <w:rPr>
      <w:rFonts w:asciiTheme="minorHAnsi" w:hAnsiTheme="minorHAnsi" w:cstheme="minorBidi"/>
      <w:sz w:val="22"/>
      <w:szCs w:val="22"/>
    </w:rPr>
  </w:style>
  <w:style w:type="character" w:styleId="Odkaznakomentr">
    <w:name w:val="annotation reference"/>
    <w:basedOn w:val="Predvolenpsmoodseku"/>
    <w:uiPriority w:val="99"/>
    <w:semiHidden/>
    <w:unhideWhenUsed/>
    <w:rsid w:val="002272FA"/>
    <w:rPr>
      <w:sz w:val="16"/>
      <w:szCs w:val="16"/>
    </w:rPr>
  </w:style>
  <w:style w:type="paragraph" w:styleId="Textkomentra">
    <w:name w:val="annotation text"/>
    <w:basedOn w:val="Normlny"/>
    <w:link w:val="TextkomentraChar"/>
    <w:uiPriority w:val="99"/>
    <w:semiHidden/>
    <w:unhideWhenUsed/>
    <w:rsid w:val="002272FA"/>
    <w:pPr>
      <w:spacing w:line="240" w:lineRule="auto"/>
    </w:pPr>
    <w:rPr>
      <w:sz w:val="20"/>
      <w:szCs w:val="20"/>
    </w:rPr>
  </w:style>
  <w:style w:type="character" w:customStyle="1" w:styleId="TextkomentraChar">
    <w:name w:val="Text komentára Char"/>
    <w:basedOn w:val="Predvolenpsmoodseku"/>
    <w:link w:val="Textkomentra"/>
    <w:uiPriority w:val="99"/>
    <w:semiHidden/>
    <w:rsid w:val="002272FA"/>
    <w:rPr>
      <w:rFonts w:asciiTheme="minorHAnsi" w:hAnsiTheme="minorHAnsi" w:cstheme="minorBidi"/>
      <w:sz w:val="20"/>
      <w:szCs w:val="20"/>
    </w:rPr>
  </w:style>
  <w:style w:type="paragraph" w:styleId="Predmetkomentra">
    <w:name w:val="annotation subject"/>
    <w:basedOn w:val="Textkomentra"/>
    <w:next w:val="Textkomentra"/>
    <w:link w:val="PredmetkomentraChar"/>
    <w:uiPriority w:val="99"/>
    <w:semiHidden/>
    <w:unhideWhenUsed/>
    <w:rsid w:val="002272FA"/>
    <w:rPr>
      <w:b/>
      <w:bCs/>
    </w:rPr>
  </w:style>
  <w:style w:type="character" w:customStyle="1" w:styleId="PredmetkomentraChar">
    <w:name w:val="Predmet komentára Char"/>
    <w:basedOn w:val="TextkomentraChar"/>
    <w:link w:val="Predmetkomentra"/>
    <w:uiPriority w:val="99"/>
    <w:semiHidden/>
    <w:rsid w:val="002272FA"/>
    <w:rPr>
      <w:rFonts w:asciiTheme="minorHAnsi" w:hAnsiTheme="minorHAnsi" w:cstheme="minorBidi"/>
      <w:b/>
      <w:bCs/>
      <w:sz w:val="20"/>
      <w:szCs w:val="20"/>
    </w:rPr>
  </w:style>
  <w:style w:type="paragraph" w:styleId="Zkladntext2">
    <w:name w:val="Body Text 2"/>
    <w:basedOn w:val="Normlny"/>
    <w:link w:val="Zkladntext2Char"/>
    <w:unhideWhenUsed/>
    <w:rsid w:val="00AE0D03"/>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AE0D03"/>
    <w:rPr>
      <w:rFonts w:eastAsia="Times New Roman"/>
      <w:lang w:eastAsia="sk-SK"/>
    </w:rPr>
  </w:style>
  <w:style w:type="character" w:styleId="Hypertextovprepojenie">
    <w:name w:val="Hyperlink"/>
    <w:basedOn w:val="Predvolenpsmoodseku"/>
    <w:uiPriority w:val="99"/>
    <w:unhideWhenUsed/>
    <w:rsid w:val="00DD5CA5"/>
    <w:rPr>
      <w:color w:val="0000FF" w:themeColor="hyperlink"/>
      <w:u w:val="single"/>
    </w:rPr>
  </w:style>
  <w:style w:type="character" w:customStyle="1" w:styleId="apple-converted-space">
    <w:name w:val="apple-converted-space"/>
    <w:basedOn w:val="Predvolenpsmoodseku"/>
    <w:rsid w:val="004E47C0"/>
  </w:style>
  <w:style w:type="character" w:customStyle="1" w:styleId="Nadpis1Char">
    <w:name w:val="Nadpis 1 Char"/>
    <w:basedOn w:val="Predvolenpsmoodseku"/>
    <w:link w:val="Nadpis1"/>
    <w:uiPriority w:val="9"/>
    <w:rsid w:val="00060E4A"/>
    <w:rPr>
      <w:rFonts w:asciiTheme="majorHAnsi" w:eastAsiaTheme="majorEastAsia" w:hAnsiTheme="majorHAnsi" w:cstheme="majorBidi"/>
      <w:b/>
      <w:bCs/>
      <w:color w:val="365F91" w:themeColor="accent1" w:themeShade="BF"/>
      <w:sz w:val="28"/>
      <w:szCs w:val="28"/>
    </w:rPr>
  </w:style>
  <w:style w:type="paragraph" w:styleId="Hlavikaobsahu">
    <w:name w:val="TOC Heading"/>
    <w:basedOn w:val="Nadpis1"/>
    <w:next w:val="Normlny"/>
    <w:uiPriority w:val="39"/>
    <w:unhideWhenUsed/>
    <w:qFormat/>
    <w:rsid w:val="00060E4A"/>
    <w:pPr>
      <w:outlineLvl w:val="9"/>
    </w:pPr>
    <w:rPr>
      <w:lang w:eastAsia="sk-SK"/>
    </w:rPr>
  </w:style>
  <w:style w:type="paragraph" w:styleId="Obsah3">
    <w:name w:val="toc 3"/>
    <w:basedOn w:val="Normlny"/>
    <w:next w:val="Normlny"/>
    <w:autoRedefine/>
    <w:uiPriority w:val="39"/>
    <w:unhideWhenUsed/>
    <w:rsid w:val="00060E4A"/>
    <w:pPr>
      <w:spacing w:after="100"/>
      <w:ind w:left="440"/>
    </w:pPr>
  </w:style>
  <w:style w:type="paragraph" w:customStyle="1" w:styleId="tla1">
    <w:name w:val="Štýl_a1"/>
    <w:basedOn w:val="Odsekzoznamu"/>
    <w:link w:val="tla1Char"/>
    <w:qFormat/>
    <w:rsid w:val="00060E4A"/>
    <w:pPr>
      <w:keepNext/>
      <w:numPr>
        <w:numId w:val="1"/>
      </w:numPr>
      <w:spacing w:before="360" w:after="0"/>
      <w:ind w:left="426" w:hanging="357"/>
    </w:pPr>
    <w:rPr>
      <w:rFonts w:ascii="Times New Roman" w:hAnsi="Times New Roman" w:cs="Times New Roman"/>
      <w:b/>
      <w:sz w:val="28"/>
      <w:szCs w:val="28"/>
    </w:rPr>
  </w:style>
  <w:style w:type="paragraph" w:customStyle="1" w:styleId="tla2">
    <w:name w:val="Štýl_a2"/>
    <w:basedOn w:val="Odsekzoznamu"/>
    <w:link w:val="tla2Char"/>
    <w:qFormat/>
    <w:rsid w:val="00E62A70"/>
    <w:pPr>
      <w:keepNext/>
      <w:widowControl w:val="0"/>
      <w:numPr>
        <w:numId w:val="10"/>
      </w:numPr>
      <w:spacing w:before="240" w:after="0" w:line="240" w:lineRule="auto"/>
      <w:ind w:left="425" w:hanging="357"/>
      <w:jc w:val="both"/>
    </w:pPr>
    <w:rPr>
      <w:rFonts w:ascii="Times New Roman" w:hAnsi="Times New Roman" w:cs="Times New Roman"/>
      <w:b/>
      <w:sz w:val="24"/>
      <w:szCs w:val="24"/>
    </w:rPr>
  </w:style>
  <w:style w:type="character" w:customStyle="1" w:styleId="tla1Char">
    <w:name w:val="Štýl_a1 Char"/>
    <w:basedOn w:val="OdsekzoznamuChar"/>
    <w:link w:val="tla1"/>
    <w:rsid w:val="00060E4A"/>
    <w:rPr>
      <w:rFonts w:asciiTheme="minorHAnsi" w:hAnsiTheme="minorHAnsi" w:cstheme="minorBidi"/>
      <w:b/>
      <w:sz w:val="28"/>
      <w:szCs w:val="28"/>
    </w:rPr>
  </w:style>
  <w:style w:type="paragraph" w:customStyle="1" w:styleId="tla3">
    <w:name w:val="Štýl_a3"/>
    <w:basedOn w:val="Odsekzoznamu"/>
    <w:link w:val="tla3Char"/>
    <w:qFormat/>
    <w:rsid w:val="00E62A70"/>
    <w:pPr>
      <w:numPr>
        <w:ilvl w:val="1"/>
        <w:numId w:val="2"/>
      </w:numPr>
      <w:spacing w:before="120" w:after="0" w:line="240" w:lineRule="auto"/>
      <w:ind w:left="788" w:hanging="431"/>
      <w:jc w:val="both"/>
    </w:pPr>
    <w:rPr>
      <w:rFonts w:ascii="Times New Roman" w:hAnsi="Times New Roman" w:cs="Times New Roman"/>
      <w:b/>
    </w:rPr>
  </w:style>
  <w:style w:type="character" w:customStyle="1" w:styleId="tla2Char">
    <w:name w:val="Štýl_a2 Char"/>
    <w:basedOn w:val="OdsekzoznamuChar"/>
    <w:link w:val="tla2"/>
    <w:rsid w:val="00E62A70"/>
    <w:rPr>
      <w:rFonts w:asciiTheme="minorHAnsi" w:hAnsiTheme="minorHAnsi" w:cstheme="minorBidi"/>
      <w:b/>
      <w:sz w:val="22"/>
      <w:szCs w:val="22"/>
    </w:rPr>
  </w:style>
  <w:style w:type="paragraph" w:customStyle="1" w:styleId="tla4">
    <w:name w:val="Štýl_a4"/>
    <w:basedOn w:val="tla3"/>
    <w:link w:val="tla4Char"/>
    <w:qFormat/>
    <w:rsid w:val="00E62A70"/>
    <w:pPr>
      <w:numPr>
        <w:numId w:val="33"/>
      </w:numPr>
    </w:pPr>
  </w:style>
  <w:style w:type="character" w:customStyle="1" w:styleId="tla3Char">
    <w:name w:val="Štýl_a3 Char"/>
    <w:basedOn w:val="OdsekzoznamuChar"/>
    <w:link w:val="tla3"/>
    <w:rsid w:val="00E62A70"/>
    <w:rPr>
      <w:rFonts w:asciiTheme="minorHAnsi" w:hAnsiTheme="minorHAnsi" w:cstheme="minorBidi"/>
      <w:b/>
      <w:sz w:val="22"/>
      <w:szCs w:val="22"/>
    </w:rPr>
  </w:style>
  <w:style w:type="paragraph" w:styleId="Obsah1">
    <w:name w:val="toc 1"/>
    <w:basedOn w:val="Normlny"/>
    <w:next w:val="Normlny"/>
    <w:autoRedefine/>
    <w:uiPriority w:val="39"/>
    <w:unhideWhenUsed/>
    <w:rsid w:val="003D37C0"/>
    <w:pPr>
      <w:tabs>
        <w:tab w:val="left" w:pos="440"/>
        <w:tab w:val="right" w:leader="dot" w:pos="9514"/>
      </w:tabs>
      <w:spacing w:before="240" w:after="0"/>
      <w:jc w:val="center"/>
    </w:pPr>
    <w:rPr>
      <w:rFonts w:ascii="Times New Roman" w:hAnsi="Times New Roman" w:cs="Times New Roman"/>
      <w:b/>
      <w:sz w:val="28"/>
      <w:szCs w:val="28"/>
    </w:rPr>
  </w:style>
  <w:style w:type="character" w:customStyle="1" w:styleId="tla4Char">
    <w:name w:val="Štýl_a4 Char"/>
    <w:basedOn w:val="tla3Char"/>
    <w:link w:val="tla4"/>
    <w:rsid w:val="00E62A70"/>
    <w:rPr>
      <w:rFonts w:asciiTheme="minorHAnsi" w:hAnsiTheme="minorHAnsi" w:cstheme="minorBidi"/>
      <w:b/>
      <w:sz w:val="22"/>
      <w:szCs w:val="22"/>
    </w:rPr>
  </w:style>
  <w:style w:type="paragraph" w:styleId="Obsah2">
    <w:name w:val="toc 2"/>
    <w:basedOn w:val="Normlny"/>
    <w:next w:val="Normlny"/>
    <w:autoRedefine/>
    <w:uiPriority w:val="39"/>
    <w:unhideWhenUsed/>
    <w:rsid w:val="00E62A7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C5FC3"/>
    <w:pPr>
      <w:spacing w:after="200" w:line="276" w:lineRule="auto"/>
      <w:jc w:val="left"/>
    </w:pPr>
    <w:rPr>
      <w:rFonts w:asciiTheme="minorHAnsi" w:hAnsiTheme="minorHAnsi" w:cstheme="minorBidi"/>
      <w:sz w:val="22"/>
      <w:szCs w:val="22"/>
    </w:rPr>
  </w:style>
  <w:style w:type="paragraph" w:styleId="Nadpis1">
    <w:name w:val="heading 1"/>
    <w:basedOn w:val="Normlny"/>
    <w:next w:val="Normlny"/>
    <w:link w:val="Nadpis1Char"/>
    <w:uiPriority w:val="9"/>
    <w:qFormat/>
    <w:rsid w:val="00060E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5E7611"/>
    <w:pPr>
      <w:ind w:left="720"/>
      <w:contextualSpacing/>
    </w:pPr>
  </w:style>
  <w:style w:type="paragraph" w:styleId="Hlavika">
    <w:name w:val="header"/>
    <w:basedOn w:val="Normlny"/>
    <w:link w:val="HlavikaChar"/>
    <w:uiPriority w:val="99"/>
    <w:unhideWhenUsed/>
    <w:rsid w:val="005E76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E7611"/>
    <w:rPr>
      <w:rFonts w:asciiTheme="minorHAnsi" w:hAnsiTheme="minorHAnsi" w:cstheme="minorBidi"/>
      <w:sz w:val="22"/>
      <w:szCs w:val="22"/>
    </w:rPr>
  </w:style>
  <w:style w:type="paragraph" w:styleId="Pta">
    <w:name w:val="footer"/>
    <w:basedOn w:val="Normlny"/>
    <w:link w:val="PtaChar"/>
    <w:uiPriority w:val="99"/>
    <w:unhideWhenUsed/>
    <w:rsid w:val="005E7611"/>
    <w:pPr>
      <w:tabs>
        <w:tab w:val="center" w:pos="4536"/>
        <w:tab w:val="right" w:pos="9072"/>
      </w:tabs>
      <w:spacing w:after="0" w:line="240" w:lineRule="auto"/>
    </w:pPr>
  </w:style>
  <w:style w:type="character" w:customStyle="1" w:styleId="PtaChar">
    <w:name w:val="Päta Char"/>
    <w:basedOn w:val="Predvolenpsmoodseku"/>
    <w:link w:val="Pta"/>
    <w:uiPriority w:val="99"/>
    <w:rsid w:val="005E7611"/>
    <w:rPr>
      <w:rFonts w:asciiTheme="minorHAnsi" w:hAnsiTheme="minorHAnsi" w:cstheme="minorBidi"/>
      <w:sz w:val="22"/>
      <w:szCs w:val="22"/>
    </w:rPr>
  </w:style>
  <w:style w:type="paragraph" w:styleId="Textbubliny">
    <w:name w:val="Balloon Text"/>
    <w:basedOn w:val="Normlny"/>
    <w:link w:val="TextbublinyChar"/>
    <w:uiPriority w:val="99"/>
    <w:semiHidden/>
    <w:unhideWhenUsed/>
    <w:rsid w:val="00437A1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37A1D"/>
    <w:rPr>
      <w:rFonts w:ascii="Tahoma" w:hAnsi="Tahoma" w:cs="Tahoma"/>
      <w:sz w:val="16"/>
      <w:szCs w:val="16"/>
    </w:rPr>
  </w:style>
  <w:style w:type="paragraph" w:styleId="Textvysvetlivky">
    <w:name w:val="endnote text"/>
    <w:basedOn w:val="Normlny"/>
    <w:link w:val="TextvysvetlivkyChar"/>
    <w:uiPriority w:val="99"/>
    <w:semiHidden/>
    <w:unhideWhenUsed/>
    <w:rsid w:val="001807C8"/>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807C8"/>
    <w:rPr>
      <w:rFonts w:asciiTheme="minorHAnsi" w:hAnsiTheme="minorHAnsi" w:cstheme="minorBidi"/>
      <w:sz w:val="20"/>
      <w:szCs w:val="20"/>
    </w:rPr>
  </w:style>
  <w:style w:type="character" w:styleId="Odkaznavysvetlivku">
    <w:name w:val="endnote reference"/>
    <w:basedOn w:val="Predvolenpsmoodseku"/>
    <w:uiPriority w:val="99"/>
    <w:semiHidden/>
    <w:unhideWhenUsed/>
    <w:rsid w:val="001807C8"/>
    <w:rPr>
      <w:vertAlign w:val="superscript"/>
    </w:rPr>
  </w:style>
  <w:style w:type="paragraph" w:styleId="Textpoznmkypodiarou">
    <w:name w:val="footnote text"/>
    <w:basedOn w:val="Normlny"/>
    <w:link w:val="TextpoznmkypodiarouChar"/>
    <w:uiPriority w:val="99"/>
    <w:semiHidden/>
    <w:unhideWhenUsed/>
    <w:rsid w:val="00C1636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6363"/>
    <w:rPr>
      <w:rFonts w:asciiTheme="minorHAnsi" w:hAnsiTheme="minorHAnsi" w:cstheme="minorBidi"/>
      <w:sz w:val="20"/>
      <w:szCs w:val="20"/>
    </w:rPr>
  </w:style>
  <w:style w:type="character" w:styleId="Odkaznapoznmkupodiarou">
    <w:name w:val="footnote reference"/>
    <w:basedOn w:val="Predvolenpsmoodseku"/>
    <w:uiPriority w:val="99"/>
    <w:semiHidden/>
    <w:unhideWhenUsed/>
    <w:rsid w:val="00C16363"/>
    <w:rPr>
      <w:vertAlign w:val="superscript"/>
    </w:rPr>
  </w:style>
  <w:style w:type="table" w:styleId="Mriekatabuky">
    <w:name w:val="Table Grid"/>
    <w:basedOn w:val="Normlnatabuka"/>
    <w:uiPriority w:val="59"/>
    <w:rsid w:val="00D061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ekzoznamuChar">
    <w:name w:val="Odsek zoznamu Char"/>
    <w:basedOn w:val="Predvolenpsmoodseku"/>
    <w:link w:val="Odsekzoznamu"/>
    <w:uiPriority w:val="34"/>
    <w:rsid w:val="00D9505C"/>
    <w:rPr>
      <w:rFonts w:asciiTheme="minorHAnsi" w:hAnsiTheme="minorHAnsi" w:cstheme="minorBidi"/>
      <w:sz w:val="22"/>
      <w:szCs w:val="22"/>
    </w:rPr>
  </w:style>
  <w:style w:type="character" w:styleId="Odkaznakomentr">
    <w:name w:val="annotation reference"/>
    <w:basedOn w:val="Predvolenpsmoodseku"/>
    <w:uiPriority w:val="99"/>
    <w:semiHidden/>
    <w:unhideWhenUsed/>
    <w:rsid w:val="002272FA"/>
    <w:rPr>
      <w:sz w:val="16"/>
      <w:szCs w:val="16"/>
    </w:rPr>
  </w:style>
  <w:style w:type="paragraph" w:styleId="Textkomentra">
    <w:name w:val="annotation text"/>
    <w:basedOn w:val="Normlny"/>
    <w:link w:val="TextkomentraChar"/>
    <w:uiPriority w:val="99"/>
    <w:semiHidden/>
    <w:unhideWhenUsed/>
    <w:rsid w:val="002272FA"/>
    <w:pPr>
      <w:spacing w:line="240" w:lineRule="auto"/>
    </w:pPr>
    <w:rPr>
      <w:sz w:val="20"/>
      <w:szCs w:val="20"/>
    </w:rPr>
  </w:style>
  <w:style w:type="character" w:customStyle="1" w:styleId="TextkomentraChar">
    <w:name w:val="Text komentára Char"/>
    <w:basedOn w:val="Predvolenpsmoodseku"/>
    <w:link w:val="Textkomentra"/>
    <w:uiPriority w:val="99"/>
    <w:semiHidden/>
    <w:rsid w:val="002272FA"/>
    <w:rPr>
      <w:rFonts w:asciiTheme="minorHAnsi" w:hAnsiTheme="minorHAnsi" w:cstheme="minorBidi"/>
      <w:sz w:val="20"/>
      <w:szCs w:val="20"/>
    </w:rPr>
  </w:style>
  <w:style w:type="paragraph" w:styleId="Predmetkomentra">
    <w:name w:val="annotation subject"/>
    <w:basedOn w:val="Textkomentra"/>
    <w:next w:val="Textkomentra"/>
    <w:link w:val="PredmetkomentraChar"/>
    <w:uiPriority w:val="99"/>
    <w:semiHidden/>
    <w:unhideWhenUsed/>
    <w:rsid w:val="002272FA"/>
    <w:rPr>
      <w:b/>
      <w:bCs/>
    </w:rPr>
  </w:style>
  <w:style w:type="character" w:customStyle="1" w:styleId="PredmetkomentraChar">
    <w:name w:val="Predmet komentára Char"/>
    <w:basedOn w:val="TextkomentraChar"/>
    <w:link w:val="Predmetkomentra"/>
    <w:uiPriority w:val="99"/>
    <w:semiHidden/>
    <w:rsid w:val="002272FA"/>
    <w:rPr>
      <w:rFonts w:asciiTheme="minorHAnsi" w:hAnsiTheme="minorHAnsi" w:cstheme="minorBidi"/>
      <w:b/>
      <w:bCs/>
      <w:sz w:val="20"/>
      <w:szCs w:val="20"/>
    </w:rPr>
  </w:style>
  <w:style w:type="paragraph" w:styleId="Zkladntext2">
    <w:name w:val="Body Text 2"/>
    <w:basedOn w:val="Normlny"/>
    <w:link w:val="Zkladntext2Char"/>
    <w:unhideWhenUsed/>
    <w:rsid w:val="00AE0D03"/>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AE0D03"/>
    <w:rPr>
      <w:rFonts w:eastAsia="Times New Roman"/>
      <w:lang w:eastAsia="sk-SK"/>
    </w:rPr>
  </w:style>
  <w:style w:type="character" w:styleId="Hypertextovprepojenie">
    <w:name w:val="Hyperlink"/>
    <w:basedOn w:val="Predvolenpsmoodseku"/>
    <w:uiPriority w:val="99"/>
    <w:unhideWhenUsed/>
    <w:rsid w:val="00DD5CA5"/>
    <w:rPr>
      <w:color w:val="0000FF" w:themeColor="hyperlink"/>
      <w:u w:val="single"/>
    </w:rPr>
  </w:style>
  <w:style w:type="character" w:customStyle="1" w:styleId="apple-converted-space">
    <w:name w:val="apple-converted-space"/>
    <w:basedOn w:val="Predvolenpsmoodseku"/>
    <w:rsid w:val="004E47C0"/>
  </w:style>
  <w:style w:type="character" w:customStyle="1" w:styleId="Nadpis1Char">
    <w:name w:val="Nadpis 1 Char"/>
    <w:basedOn w:val="Predvolenpsmoodseku"/>
    <w:link w:val="Nadpis1"/>
    <w:uiPriority w:val="9"/>
    <w:rsid w:val="00060E4A"/>
    <w:rPr>
      <w:rFonts w:asciiTheme="majorHAnsi" w:eastAsiaTheme="majorEastAsia" w:hAnsiTheme="majorHAnsi" w:cstheme="majorBidi"/>
      <w:b/>
      <w:bCs/>
      <w:color w:val="365F91" w:themeColor="accent1" w:themeShade="BF"/>
      <w:sz w:val="28"/>
      <w:szCs w:val="28"/>
    </w:rPr>
  </w:style>
  <w:style w:type="paragraph" w:styleId="Hlavikaobsahu">
    <w:name w:val="TOC Heading"/>
    <w:basedOn w:val="Nadpis1"/>
    <w:next w:val="Normlny"/>
    <w:uiPriority w:val="39"/>
    <w:unhideWhenUsed/>
    <w:qFormat/>
    <w:rsid w:val="00060E4A"/>
    <w:pPr>
      <w:outlineLvl w:val="9"/>
    </w:pPr>
    <w:rPr>
      <w:lang w:eastAsia="sk-SK"/>
    </w:rPr>
  </w:style>
  <w:style w:type="paragraph" w:styleId="Obsah3">
    <w:name w:val="toc 3"/>
    <w:basedOn w:val="Normlny"/>
    <w:next w:val="Normlny"/>
    <w:autoRedefine/>
    <w:uiPriority w:val="39"/>
    <w:unhideWhenUsed/>
    <w:rsid w:val="00060E4A"/>
    <w:pPr>
      <w:spacing w:after="100"/>
      <w:ind w:left="440"/>
    </w:pPr>
  </w:style>
  <w:style w:type="paragraph" w:customStyle="1" w:styleId="tla1">
    <w:name w:val="Štýl_a1"/>
    <w:basedOn w:val="Odsekzoznamu"/>
    <w:link w:val="tla1Char"/>
    <w:qFormat/>
    <w:rsid w:val="00060E4A"/>
    <w:pPr>
      <w:keepNext/>
      <w:numPr>
        <w:numId w:val="1"/>
      </w:numPr>
      <w:spacing w:before="360" w:after="0"/>
      <w:ind w:left="426" w:hanging="357"/>
    </w:pPr>
    <w:rPr>
      <w:rFonts w:ascii="Times New Roman" w:hAnsi="Times New Roman" w:cs="Times New Roman"/>
      <w:b/>
      <w:sz w:val="28"/>
      <w:szCs w:val="28"/>
    </w:rPr>
  </w:style>
  <w:style w:type="paragraph" w:customStyle="1" w:styleId="tla2">
    <w:name w:val="Štýl_a2"/>
    <w:basedOn w:val="Odsekzoznamu"/>
    <w:link w:val="tla2Char"/>
    <w:qFormat/>
    <w:rsid w:val="00E62A70"/>
    <w:pPr>
      <w:keepNext/>
      <w:widowControl w:val="0"/>
      <w:numPr>
        <w:numId w:val="10"/>
      </w:numPr>
      <w:spacing w:before="240" w:after="0" w:line="240" w:lineRule="auto"/>
      <w:ind w:left="425" w:hanging="357"/>
      <w:jc w:val="both"/>
    </w:pPr>
    <w:rPr>
      <w:rFonts w:ascii="Times New Roman" w:hAnsi="Times New Roman" w:cs="Times New Roman"/>
      <w:b/>
      <w:sz w:val="24"/>
      <w:szCs w:val="24"/>
    </w:rPr>
  </w:style>
  <w:style w:type="character" w:customStyle="1" w:styleId="tla1Char">
    <w:name w:val="Štýl_a1 Char"/>
    <w:basedOn w:val="OdsekzoznamuChar"/>
    <w:link w:val="tla1"/>
    <w:rsid w:val="00060E4A"/>
    <w:rPr>
      <w:rFonts w:asciiTheme="minorHAnsi" w:hAnsiTheme="minorHAnsi" w:cstheme="minorBidi"/>
      <w:b/>
      <w:sz w:val="28"/>
      <w:szCs w:val="28"/>
    </w:rPr>
  </w:style>
  <w:style w:type="paragraph" w:customStyle="1" w:styleId="tla3">
    <w:name w:val="Štýl_a3"/>
    <w:basedOn w:val="Odsekzoznamu"/>
    <w:link w:val="tla3Char"/>
    <w:qFormat/>
    <w:rsid w:val="00E62A70"/>
    <w:pPr>
      <w:numPr>
        <w:ilvl w:val="1"/>
        <w:numId w:val="2"/>
      </w:numPr>
      <w:spacing w:before="120" w:after="0" w:line="240" w:lineRule="auto"/>
      <w:ind w:left="788" w:hanging="431"/>
      <w:jc w:val="both"/>
    </w:pPr>
    <w:rPr>
      <w:rFonts w:ascii="Times New Roman" w:hAnsi="Times New Roman" w:cs="Times New Roman"/>
      <w:b/>
    </w:rPr>
  </w:style>
  <w:style w:type="character" w:customStyle="1" w:styleId="tla2Char">
    <w:name w:val="Štýl_a2 Char"/>
    <w:basedOn w:val="OdsekzoznamuChar"/>
    <w:link w:val="tla2"/>
    <w:rsid w:val="00E62A70"/>
    <w:rPr>
      <w:rFonts w:asciiTheme="minorHAnsi" w:hAnsiTheme="minorHAnsi" w:cstheme="minorBidi"/>
      <w:b/>
      <w:sz w:val="22"/>
      <w:szCs w:val="22"/>
    </w:rPr>
  </w:style>
  <w:style w:type="paragraph" w:customStyle="1" w:styleId="tla4">
    <w:name w:val="Štýl_a4"/>
    <w:basedOn w:val="tla3"/>
    <w:link w:val="tla4Char"/>
    <w:qFormat/>
    <w:rsid w:val="00E62A70"/>
    <w:pPr>
      <w:numPr>
        <w:numId w:val="33"/>
      </w:numPr>
    </w:pPr>
  </w:style>
  <w:style w:type="character" w:customStyle="1" w:styleId="tla3Char">
    <w:name w:val="Štýl_a3 Char"/>
    <w:basedOn w:val="OdsekzoznamuChar"/>
    <w:link w:val="tla3"/>
    <w:rsid w:val="00E62A70"/>
    <w:rPr>
      <w:rFonts w:asciiTheme="minorHAnsi" w:hAnsiTheme="minorHAnsi" w:cstheme="minorBidi"/>
      <w:b/>
      <w:sz w:val="22"/>
      <w:szCs w:val="22"/>
    </w:rPr>
  </w:style>
  <w:style w:type="paragraph" w:styleId="Obsah1">
    <w:name w:val="toc 1"/>
    <w:basedOn w:val="Normlny"/>
    <w:next w:val="Normlny"/>
    <w:autoRedefine/>
    <w:uiPriority w:val="39"/>
    <w:unhideWhenUsed/>
    <w:rsid w:val="003D37C0"/>
    <w:pPr>
      <w:tabs>
        <w:tab w:val="left" w:pos="440"/>
        <w:tab w:val="right" w:leader="dot" w:pos="9514"/>
      </w:tabs>
      <w:spacing w:before="240" w:after="0"/>
      <w:jc w:val="center"/>
    </w:pPr>
    <w:rPr>
      <w:rFonts w:ascii="Times New Roman" w:hAnsi="Times New Roman" w:cs="Times New Roman"/>
      <w:b/>
      <w:sz w:val="28"/>
      <w:szCs w:val="28"/>
    </w:rPr>
  </w:style>
  <w:style w:type="character" w:customStyle="1" w:styleId="tla4Char">
    <w:name w:val="Štýl_a4 Char"/>
    <w:basedOn w:val="tla3Char"/>
    <w:link w:val="tla4"/>
    <w:rsid w:val="00E62A70"/>
    <w:rPr>
      <w:rFonts w:asciiTheme="minorHAnsi" w:hAnsiTheme="minorHAnsi" w:cstheme="minorBidi"/>
      <w:b/>
      <w:sz w:val="22"/>
      <w:szCs w:val="22"/>
    </w:rPr>
  </w:style>
  <w:style w:type="paragraph" w:styleId="Obsah2">
    <w:name w:val="toc 2"/>
    <w:basedOn w:val="Normlny"/>
    <w:next w:val="Normlny"/>
    <w:autoRedefine/>
    <w:uiPriority w:val="39"/>
    <w:unhideWhenUsed/>
    <w:rsid w:val="00E62A7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553">
      <w:bodyDiv w:val="1"/>
      <w:marLeft w:val="0"/>
      <w:marRight w:val="0"/>
      <w:marTop w:val="0"/>
      <w:marBottom w:val="0"/>
      <w:divBdr>
        <w:top w:val="none" w:sz="0" w:space="0" w:color="auto"/>
        <w:left w:val="none" w:sz="0" w:space="0" w:color="auto"/>
        <w:bottom w:val="none" w:sz="0" w:space="0" w:color="auto"/>
        <w:right w:val="none" w:sz="0" w:space="0" w:color="auto"/>
      </w:divBdr>
    </w:div>
    <w:div w:id="24016167">
      <w:bodyDiv w:val="1"/>
      <w:marLeft w:val="0"/>
      <w:marRight w:val="0"/>
      <w:marTop w:val="0"/>
      <w:marBottom w:val="0"/>
      <w:divBdr>
        <w:top w:val="none" w:sz="0" w:space="0" w:color="auto"/>
        <w:left w:val="none" w:sz="0" w:space="0" w:color="auto"/>
        <w:bottom w:val="none" w:sz="0" w:space="0" w:color="auto"/>
        <w:right w:val="none" w:sz="0" w:space="0" w:color="auto"/>
      </w:divBdr>
    </w:div>
    <w:div w:id="50231257">
      <w:bodyDiv w:val="1"/>
      <w:marLeft w:val="0"/>
      <w:marRight w:val="0"/>
      <w:marTop w:val="0"/>
      <w:marBottom w:val="0"/>
      <w:divBdr>
        <w:top w:val="none" w:sz="0" w:space="0" w:color="auto"/>
        <w:left w:val="none" w:sz="0" w:space="0" w:color="auto"/>
        <w:bottom w:val="none" w:sz="0" w:space="0" w:color="auto"/>
        <w:right w:val="none" w:sz="0" w:space="0" w:color="auto"/>
      </w:divBdr>
    </w:div>
    <w:div w:id="59066222">
      <w:bodyDiv w:val="1"/>
      <w:marLeft w:val="0"/>
      <w:marRight w:val="0"/>
      <w:marTop w:val="0"/>
      <w:marBottom w:val="0"/>
      <w:divBdr>
        <w:top w:val="none" w:sz="0" w:space="0" w:color="auto"/>
        <w:left w:val="none" w:sz="0" w:space="0" w:color="auto"/>
        <w:bottom w:val="none" w:sz="0" w:space="0" w:color="auto"/>
        <w:right w:val="none" w:sz="0" w:space="0" w:color="auto"/>
      </w:divBdr>
    </w:div>
    <w:div w:id="413018315">
      <w:bodyDiv w:val="1"/>
      <w:marLeft w:val="0"/>
      <w:marRight w:val="0"/>
      <w:marTop w:val="0"/>
      <w:marBottom w:val="0"/>
      <w:divBdr>
        <w:top w:val="none" w:sz="0" w:space="0" w:color="auto"/>
        <w:left w:val="none" w:sz="0" w:space="0" w:color="auto"/>
        <w:bottom w:val="none" w:sz="0" w:space="0" w:color="auto"/>
        <w:right w:val="none" w:sz="0" w:space="0" w:color="auto"/>
      </w:divBdr>
    </w:div>
    <w:div w:id="414981117">
      <w:bodyDiv w:val="1"/>
      <w:marLeft w:val="0"/>
      <w:marRight w:val="0"/>
      <w:marTop w:val="0"/>
      <w:marBottom w:val="0"/>
      <w:divBdr>
        <w:top w:val="none" w:sz="0" w:space="0" w:color="auto"/>
        <w:left w:val="none" w:sz="0" w:space="0" w:color="auto"/>
        <w:bottom w:val="none" w:sz="0" w:space="0" w:color="auto"/>
        <w:right w:val="none" w:sz="0" w:space="0" w:color="auto"/>
      </w:divBdr>
    </w:div>
    <w:div w:id="459998978">
      <w:bodyDiv w:val="1"/>
      <w:marLeft w:val="0"/>
      <w:marRight w:val="0"/>
      <w:marTop w:val="0"/>
      <w:marBottom w:val="0"/>
      <w:divBdr>
        <w:top w:val="none" w:sz="0" w:space="0" w:color="auto"/>
        <w:left w:val="none" w:sz="0" w:space="0" w:color="auto"/>
        <w:bottom w:val="none" w:sz="0" w:space="0" w:color="auto"/>
        <w:right w:val="none" w:sz="0" w:space="0" w:color="auto"/>
      </w:divBdr>
    </w:div>
    <w:div w:id="479271169">
      <w:bodyDiv w:val="1"/>
      <w:marLeft w:val="0"/>
      <w:marRight w:val="0"/>
      <w:marTop w:val="0"/>
      <w:marBottom w:val="0"/>
      <w:divBdr>
        <w:top w:val="none" w:sz="0" w:space="0" w:color="auto"/>
        <w:left w:val="none" w:sz="0" w:space="0" w:color="auto"/>
        <w:bottom w:val="none" w:sz="0" w:space="0" w:color="auto"/>
        <w:right w:val="none" w:sz="0" w:space="0" w:color="auto"/>
      </w:divBdr>
    </w:div>
    <w:div w:id="530920066">
      <w:bodyDiv w:val="1"/>
      <w:marLeft w:val="0"/>
      <w:marRight w:val="0"/>
      <w:marTop w:val="0"/>
      <w:marBottom w:val="0"/>
      <w:divBdr>
        <w:top w:val="none" w:sz="0" w:space="0" w:color="auto"/>
        <w:left w:val="none" w:sz="0" w:space="0" w:color="auto"/>
        <w:bottom w:val="none" w:sz="0" w:space="0" w:color="auto"/>
        <w:right w:val="none" w:sz="0" w:space="0" w:color="auto"/>
      </w:divBdr>
    </w:div>
    <w:div w:id="559294383">
      <w:bodyDiv w:val="1"/>
      <w:marLeft w:val="0"/>
      <w:marRight w:val="0"/>
      <w:marTop w:val="0"/>
      <w:marBottom w:val="0"/>
      <w:divBdr>
        <w:top w:val="none" w:sz="0" w:space="0" w:color="auto"/>
        <w:left w:val="none" w:sz="0" w:space="0" w:color="auto"/>
        <w:bottom w:val="none" w:sz="0" w:space="0" w:color="auto"/>
        <w:right w:val="none" w:sz="0" w:space="0" w:color="auto"/>
      </w:divBdr>
    </w:div>
    <w:div w:id="578564466">
      <w:bodyDiv w:val="1"/>
      <w:marLeft w:val="0"/>
      <w:marRight w:val="0"/>
      <w:marTop w:val="0"/>
      <w:marBottom w:val="0"/>
      <w:divBdr>
        <w:top w:val="none" w:sz="0" w:space="0" w:color="auto"/>
        <w:left w:val="none" w:sz="0" w:space="0" w:color="auto"/>
        <w:bottom w:val="none" w:sz="0" w:space="0" w:color="auto"/>
        <w:right w:val="none" w:sz="0" w:space="0" w:color="auto"/>
      </w:divBdr>
    </w:div>
    <w:div w:id="657880347">
      <w:bodyDiv w:val="1"/>
      <w:marLeft w:val="0"/>
      <w:marRight w:val="0"/>
      <w:marTop w:val="0"/>
      <w:marBottom w:val="0"/>
      <w:divBdr>
        <w:top w:val="none" w:sz="0" w:space="0" w:color="auto"/>
        <w:left w:val="none" w:sz="0" w:space="0" w:color="auto"/>
        <w:bottom w:val="none" w:sz="0" w:space="0" w:color="auto"/>
        <w:right w:val="none" w:sz="0" w:space="0" w:color="auto"/>
      </w:divBdr>
    </w:div>
    <w:div w:id="792944736">
      <w:bodyDiv w:val="1"/>
      <w:marLeft w:val="0"/>
      <w:marRight w:val="0"/>
      <w:marTop w:val="0"/>
      <w:marBottom w:val="0"/>
      <w:divBdr>
        <w:top w:val="none" w:sz="0" w:space="0" w:color="auto"/>
        <w:left w:val="none" w:sz="0" w:space="0" w:color="auto"/>
        <w:bottom w:val="none" w:sz="0" w:space="0" w:color="auto"/>
        <w:right w:val="none" w:sz="0" w:space="0" w:color="auto"/>
      </w:divBdr>
    </w:div>
    <w:div w:id="822819812">
      <w:bodyDiv w:val="1"/>
      <w:marLeft w:val="0"/>
      <w:marRight w:val="0"/>
      <w:marTop w:val="0"/>
      <w:marBottom w:val="0"/>
      <w:divBdr>
        <w:top w:val="none" w:sz="0" w:space="0" w:color="auto"/>
        <w:left w:val="none" w:sz="0" w:space="0" w:color="auto"/>
        <w:bottom w:val="none" w:sz="0" w:space="0" w:color="auto"/>
        <w:right w:val="none" w:sz="0" w:space="0" w:color="auto"/>
      </w:divBdr>
    </w:div>
    <w:div w:id="878590938">
      <w:bodyDiv w:val="1"/>
      <w:marLeft w:val="0"/>
      <w:marRight w:val="0"/>
      <w:marTop w:val="0"/>
      <w:marBottom w:val="0"/>
      <w:divBdr>
        <w:top w:val="none" w:sz="0" w:space="0" w:color="auto"/>
        <w:left w:val="none" w:sz="0" w:space="0" w:color="auto"/>
        <w:bottom w:val="none" w:sz="0" w:space="0" w:color="auto"/>
        <w:right w:val="none" w:sz="0" w:space="0" w:color="auto"/>
      </w:divBdr>
    </w:div>
    <w:div w:id="879197793">
      <w:bodyDiv w:val="1"/>
      <w:marLeft w:val="0"/>
      <w:marRight w:val="0"/>
      <w:marTop w:val="0"/>
      <w:marBottom w:val="0"/>
      <w:divBdr>
        <w:top w:val="none" w:sz="0" w:space="0" w:color="auto"/>
        <w:left w:val="none" w:sz="0" w:space="0" w:color="auto"/>
        <w:bottom w:val="none" w:sz="0" w:space="0" w:color="auto"/>
        <w:right w:val="none" w:sz="0" w:space="0" w:color="auto"/>
      </w:divBdr>
    </w:div>
    <w:div w:id="898710726">
      <w:bodyDiv w:val="1"/>
      <w:marLeft w:val="0"/>
      <w:marRight w:val="0"/>
      <w:marTop w:val="0"/>
      <w:marBottom w:val="0"/>
      <w:divBdr>
        <w:top w:val="none" w:sz="0" w:space="0" w:color="auto"/>
        <w:left w:val="none" w:sz="0" w:space="0" w:color="auto"/>
        <w:bottom w:val="none" w:sz="0" w:space="0" w:color="auto"/>
        <w:right w:val="none" w:sz="0" w:space="0" w:color="auto"/>
      </w:divBdr>
    </w:div>
    <w:div w:id="901990576">
      <w:bodyDiv w:val="1"/>
      <w:marLeft w:val="0"/>
      <w:marRight w:val="0"/>
      <w:marTop w:val="0"/>
      <w:marBottom w:val="0"/>
      <w:divBdr>
        <w:top w:val="none" w:sz="0" w:space="0" w:color="auto"/>
        <w:left w:val="none" w:sz="0" w:space="0" w:color="auto"/>
        <w:bottom w:val="none" w:sz="0" w:space="0" w:color="auto"/>
        <w:right w:val="none" w:sz="0" w:space="0" w:color="auto"/>
      </w:divBdr>
    </w:div>
    <w:div w:id="981346700">
      <w:bodyDiv w:val="1"/>
      <w:marLeft w:val="0"/>
      <w:marRight w:val="0"/>
      <w:marTop w:val="0"/>
      <w:marBottom w:val="0"/>
      <w:divBdr>
        <w:top w:val="none" w:sz="0" w:space="0" w:color="auto"/>
        <w:left w:val="none" w:sz="0" w:space="0" w:color="auto"/>
        <w:bottom w:val="none" w:sz="0" w:space="0" w:color="auto"/>
        <w:right w:val="none" w:sz="0" w:space="0" w:color="auto"/>
      </w:divBdr>
    </w:div>
    <w:div w:id="992484249">
      <w:bodyDiv w:val="1"/>
      <w:marLeft w:val="0"/>
      <w:marRight w:val="0"/>
      <w:marTop w:val="0"/>
      <w:marBottom w:val="0"/>
      <w:divBdr>
        <w:top w:val="none" w:sz="0" w:space="0" w:color="auto"/>
        <w:left w:val="none" w:sz="0" w:space="0" w:color="auto"/>
        <w:bottom w:val="none" w:sz="0" w:space="0" w:color="auto"/>
        <w:right w:val="none" w:sz="0" w:space="0" w:color="auto"/>
      </w:divBdr>
    </w:div>
    <w:div w:id="1009868533">
      <w:bodyDiv w:val="1"/>
      <w:marLeft w:val="0"/>
      <w:marRight w:val="0"/>
      <w:marTop w:val="0"/>
      <w:marBottom w:val="0"/>
      <w:divBdr>
        <w:top w:val="none" w:sz="0" w:space="0" w:color="auto"/>
        <w:left w:val="none" w:sz="0" w:space="0" w:color="auto"/>
        <w:bottom w:val="none" w:sz="0" w:space="0" w:color="auto"/>
        <w:right w:val="none" w:sz="0" w:space="0" w:color="auto"/>
      </w:divBdr>
    </w:div>
    <w:div w:id="1019742683">
      <w:bodyDiv w:val="1"/>
      <w:marLeft w:val="0"/>
      <w:marRight w:val="0"/>
      <w:marTop w:val="0"/>
      <w:marBottom w:val="0"/>
      <w:divBdr>
        <w:top w:val="none" w:sz="0" w:space="0" w:color="auto"/>
        <w:left w:val="none" w:sz="0" w:space="0" w:color="auto"/>
        <w:bottom w:val="none" w:sz="0" w:space="0" w:color="auto"/>
        <w:right w:val="none" w:sz="0" w:space="0" w:color="auto"/>
      </w:divBdr>
    </w:div>
    <w:div w:id="1050617175">
      <w:bodyDiv w:val="1"/>
      <w:marLeft w:val="0"/>
      <w:marRight w:val="0"/>
      <w:marTop w:val="0"/>
      <w:marBottom w:val="0"/>
      <w:divBdr>
        <w:top w:val="none" w:sz="0" w:space="0" w:color="auto"/>
        <w:left w:val="none" w:sz="0" w:space="0" w:color="auto"/>
        <w:bottom w:val="none" w:sz="0" w:space="0" w:color="auto"/>
        <w:right w:val="none" w:sz="0" w:space="0" w:color="auto"/>
      </w:divBdr>
    </w:div>
    <w:div w:id="1076126040">
      <w:bodyDiv w:val="1"/>
      <w:marLeft w:val="0"/>
      <w:marRight w:val="0"/>
      <w:marTop w:val="0"/>
      <w:marBottom w:val="0"/>
      <w:divBdr>
        <w:top w:val="none" w:sz="0" w:space="0" w:color="auto"/>
        <w:left w:val="none" w:sz="0" w:space="0" w:color="auto"/>
        <w:bottom w:val="none" w:sz="0" w:space="0" w:color="auto"/>
        <w:right w:val="none" w:sz="0" w:space="0" w:color="auto"/>
      </w:divBdr>
    </w:div>
    <w:div w:id="1119447143">
      <w:bodyDiv w:val="1"/>
      <w:marLeft w:val="0"/>
      <w:marRight w:val="0"/>
      <w:marTop w:val="0"/>
      <w:marBottom w:val="0"/>
      <w:divBdr>
        <w:top w:val="none" w:sz="0" w:space="0" w:color="auto"/>
        <w:left w:val="none" w:sz="0" w:space="0" w:color="auto"/>
        <w:bottom w:val="none" w:sz="0" w:space="0" w:color="auto"/>
        <w:right w:val="none" w:sz="0" w:space="0" w:color="auto"/>
      </w:divBdr>
    </w:div>
    <w:div w:id="1277132486">
      <w:bodyDiv w:val="1"/>
      <w:marLeft w:val="0"/>
      <w:marRight w:val="0"/>
      <w:marTop w:val="0"/>
      <w:marBottom w:val="0"/>
      <w:divBdr>
        <w:top w:val="none" w:sz="0" w:space="0" w:color="auto"/>
        <w:left w:val="none" w:sz="0" w:space="0" w:color="auto"/>
        <w:bottom w:val="none" w:sz="0" w:space="0" w:color="auto"/>
        <w:right w:val="none" w:sz="0" w:space="0" w:color="auto"/>
      </w:divBdr>
    </w:div>
    <w:div w:id="1308707201">
      <w:bodyDiv w:val="1"/>
      <w:marLeft w:val="0"/>
      <w:marRight w:val="0"/>
      <w:marTop w:val="0"/>
      <w:marBottom w:val="0"/>
      <w:divBdr>
        <w:top w:val="none" w:sz="0" w:space="0" w:color="auto"/>
        <w:left w:val="none" w:sz="0" w:space="0" w:color="auto"/>
        <w:bottom w:val="none" w:sz="0" w:space="0" w:color="auto"/>
        <w:right w:val="none" w:sz="0" w:space="0" w:color="auto"/>
      </w:divBdr>
    </w:div>
    <w:div w:id="1318075449">
      <w:bodyDiv w:val="1"/>
      <w:marLeft w:val="0"/>
      <w:marRight w:val="0"/>
      <w:marTop w:val="0"/>
      <w:marBottom w:val="0"/>
      <w:divBdr>
        <w:top w:val="none" w:sz="0" w:space="0" w:color="auto"/>
        <w:left w:val="none" w:sz="0" w:space="0" w:color="auto"/>
        <w:bottom w:val="none" w:sz="0" w:space="0" w:color="auto"/>
        <w:right w:val="none" w:sz="0" w:space="0" w:color="auto"/>
      </w:divBdr>
    </w:div>
    <w:div w:id="1432092725">
      <w:bodyDiv w:val="1"/>
      <w:marLeft w:val="0"/>
      <w:marRight w:val="0"/>
      <w:marTop w:val="0"/>
      <w:marBottom w:val="0"/>
      <w:divBdr>
        <w:top w:val="none" w:sz="0" w:space="0" w:color="auto"/>
        <w:left w:val="none" w:sz="0" w:space="0" w:color="auto"/>
        <w:bottom w:val="none" w:sz="0" w:space="0" w:color="auto"/>
        <w:right w:val="none" w:sz="0" w:space="0" w:color="auto"/>
      </w:divBdr>
    </w:div>
    <w:div w:id="1442996295">
      <w:bodyDiv w:val="1"/>
      <w:marLeft w:val="0"/>
      <w:marRight w:val="0"/>
      <w:marTop w:val="0"/>
      <w:marBottom w:val="0"/>
      <w:divBdr>
        <w:top w:val="none" w:sz="0" w:space="0" w:color="auto"/>
        <w:left w:val="none" w:sz="0" w:space="0" w:color="auto"/>
        <w:bottom w:val="none" w:sz="0" w:space="0" w:color="auto"/>
        <w:right w:val="none" w:sz="0" w:space="0" w:color="auto"/>
      </w:divBdr>
    </w:div>
    <w:div w:id="1465736301">
      <w:bodyDiv w:val="1"/>
      <w:marLeft w:val="0"/>
      <w:marRight w:val="0"/>
      <w:marTop w:val="0"/>
      <w:marBottom w:val="0"/>
      <w:divBdr>
        <w:top w:val="none" w:sz="0" w:space="0" w:color="auto"/>
        <w:left w:val="none" w:sz="0" w:space="0" w:color="auto"/>
        <w:bottom w:val="none" w:sz="0" w:space="0" w:color="auto"/>
        <w:right w:val="none" w:sz="0" w:space="0" w:color="auto"/>
      </w:divBdr>
    </w:div>
    <w:div w:id="1518810905">
      <w:bodyDiv w:val="1"/>
      <w:marLeft w:val="0"/>
      <w:marRight w:val="0"/>
      <w:marTop w:val="0"/>
      <w:marBottom w:val="0"/>
      <w:divBdr>
        <w:top w:val="none" w:sz="0" w:space="0" w:color="auto"/>
        <w:left w:val="none" w:sz="0" w:space="0" w:color="auto"/>
        <w:bottom w:val="none" w:sz="0" w:space="0" w:color="auto"/>
        <w:right w:val="none" w:sz="0" w:space="0" w:color="auto"/>
      </w:divBdr>
    </w:div>
    <w:div w:id="1543205307">
      <w:bodyDiv w:val="1"/>
      <w:marLeft w:val="0"/>
      <w:marRight w:val="0"/>
      <w:marTop w:val="0"/>
      <w:marBottom w:val="0"/>
      <w:divBdr>
        <w:top w:val="none" w:sz="0" w:space="0" w:color="auto"/>
        <w:left w:val="none" w:sz="0" w:space="0" w:color="auto"/>
        <w:bottom w:val="none" w:sz="0" w:space="0" w:color="auto"/>
        <w:right w:val="none" w:sz="0" w:space="0" w:color="auto"/>
      </w:divBdr>
    </w:div>
    <w:div w:id="1992099875">
      <w:bodyDiv w:val="1"/>
      <w:marLeft w:val="0"/>
      <w:marRight w:val="0"/>
      <w:marTop w:val="0"/>
      <w:marBottom w:val="0"/>
      <w:divBdr>
        <w:top w:val="none" w:sz="0" w:space="0" w:color="auto"/>
        <w:left w:val="none" w:sz="0" w:space="0" w:color="auto"/>
        <w:bottom w:val="none" w:sz="0" w:space="0" w:color="auto"/>
        <w:right w:val="none" w:sz="0" w:space="0" w:color="auto"/>
      </w:divBdr>
    </w:div>
    <w:div w:id="206028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dlc_DocId xmlns="e60a29af-d413-48d4-bd90-fe9d2a897e4b">WKX3UHSAJ2R6-2-378396</_dlc_DocId>
    <_dlc_DocIdUrl xmlns="e60a29af-d413-48d4-bd90-fe9d2a897e4b">
      <Url>https://ovdmasv601/sites/DMS/_layouts/15/DocIdRedir.aspx?ID=WKX3UHSAJ2R6-2-378396</Url>
      <Description>WKX3UHSAJ2R6-2-378396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A94C-B686-4392-BFA8-F7804D11FC61}"/>
</file>

<file path=customXml/itemProps2.xml><?xml version="1.0" encoding="utf-8"?>
<ds:datastoreItem xmlns:ds="http://schemas.openxmlformats.org/officeDocument/2006/customXml" ds:itemID="{FAF3A7E4-1941-439D-A55A-558DA44241C0}"/>
</file>

<file path=customXml/itemProps3.xml><?xml version="1.0" encoding="utf-8"?>
<ds:datastoreItem xmlns:ds="http://schemas.openxmlformats.org/officeDocument/2006/customXml" ds:itemID="{72706942-A660-4DBA-9121-3BA0E2379107}"/>
</file>

<file path=customXml/itemProps4.xml><?xml version="1.0" encoding="utf-8"?>
<ds:datastoreItem xmlns:ds="http://schemas.openxmlformats.org/officeDocument/2006/customXml" ds:itemID="{06E06241-BD51-4514-9C01-62EBF2EDC88B}"/>
</file>

<file path=customXml/itemProps5.xml><?xml version="1.0" encoding="utf-8"?>
<ds:datastoreItem xmlns:ds="http://schemas.openxmlformats.org/officeDocument/2006/customXml" ds:itemID="{231D68E8-C488-4614-8ABA-7904B2595BB5}"/>
</file>

<file path=customXml/itemProps6.xml><?xml version="1.0" encoding="utf-8"?>
<ds:datastoreItem xmlns:ds="http://schemas.openxmlformats.org/officeDocument/2006/customXml" ds:itemID="{0C681312-C124-44B0-B771-82B2FCAFCCF7}"/>
</file>

<file path=docProps/app.xml><?xml version="1.0" encoding="utf-8"?>
<Properties xmlns="http://schemas.openxmlformats.org/officeDocument/2006/extended-properties" xmlns:vt="http://schemas.openxmlformats.org/officeDocument/2006/docPropsVTypes">
  <Template>Normal</Template>
  <TotalTime>1</TotalTime>
  <Pages>23</Pages>
  <Words>11098</Words>
  <Characters>63262</Characters>
  <Application>Microsoft Office Word</Application>
  <DocSecurity>4</DocSecurity>
  <Lines>527</Lines>
  <Paragraphs>148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 SR</Company>
  <LinksUpToDate>false</LinksUpToDate>
  <CharactersWithSpaces>74212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Berčíková Zuzana</cp:lastModifiedBy>
  <cp:revision>2</cp:revision>
  <cp:lastPrinted>2013-12-02T14:01:00Z</cp:lastPrinted>
  <dcterms:created xsi:type="dcterms:W3CDTF">2014-04-02T14:17:00Z</dcterms:created>
  <dcterms:modified xsi:type="dcterms:W3CDTF">2014-04-02T14:17:00Z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dd61f7cb-b956-4121-bcbd-288204be01bf</vt:lpwstr>
  </property>
</Properties>
</file>