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305B2" w14:textId="77777777" w:rsidR="00BE15F8" w:rsidRDefault="00BE15F8" w:rsidP="00BE1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Doložka</w:t>
      </w:r>
    </w:p>
    <w:p w14:paraId="39CE3ACE" w14:textId="77777777" w:rsidR="00BE15F8" w:rsidRPr="00DA2351" w:rsidRDefault="00BE15F8" w:rsidP="00BE1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vybraných vplyvov</w:t>
      </w:r>
    </w:p>
    <w:p w14:paraId="37B2D311" w14:textId="77777777" w:rsidR="00BE15F8" w:rsidRDefault="00BE15F8" w:rsidP="00BE15F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A.1. Názov materiálu: </w:t>
      </w:r>
    </w:p>
    <w:p w14:paraId="62581209" w14:textId="77777777" w:rsidR="00BE15F8" w:rsidRDefault="00BE15F8" w:rsidP="00BE15F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7868">
        <w:rPr>
          <w:rFonts w:ascii="Times New Roman" w:hAnsi="Times New Roman" w:cs="Times New Roman"/>
          <w:sz w:val="24"/>
          <w:szCs w:val="24"/>
        </w:rPr>
        <w:t xml:space="preserve">Návrh zákona, </w:t>
      </w:r>
      <w:r w:rsidRPr="005D644A">
        <w:rPr>
          <w:rFonts w:ascii="Times New Roman" w:hAnsi="Times New Roman" w:cs="Times New Roman"/>
          <w:sz w:val="24"/>
          <w:szCs w:val="24"/>
        </w:rPr>
        <w:t>ktorým sa mení a dopĺňa zákon Národnej rady Slovenskej republiky č. 350/1996 Z. z. o rokovacom poriadku Národnej rady Slovenskej republiky v znení neskorších predpisov</w:t>
      </w:r>
    </w:p>
    <w:p w14:paraId="67B8BB75" w14:textId="77777777" w:rsidR="00BE15F8" w:rsidRDefault="00BE15F8" w:rsidP="00BE15F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A.2. Vplyvy: 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67"/>
        <w:gridCol w:w="1190"/>
        <w:gridCol w:w="1178"/>
        <w:gridCol w:w="1190"/>
      </w:tblGrid>
      <w:tr w:rsidR="00BE15F8" w14:paraId="7A81D7FB" w14:textId="77777777" w:rsidTr="001D6C6B">
        <w:trPr>
          <w:trHeight w:val="285"/>
        </w:trPr>
        <w:tc>
          <w:tcPr>
            <w:tcW w:w="54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C6FB1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59A43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Pozitívne</w:t>
            </w:r>
          </w:p>
        </w:tc>
        <w:tc>
          <w:tcPr>
            <w:tcW w:w="117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BE8B0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Žiadne</w:t>
            </w:r>
          </w:p>
        </w:tc>
        <w:tc>
          <w:tcPr>
            <w:tcW w:w="11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A7470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Negatívne</w:t>
            </w:r>
          </w:p>
        </w:tc>
      </w:tr>
      <w:tr w:rsidR="00BE15F8" w14:paraId="3472D922" w14:textId="77777777" w:rsidTr="001D6C6B">
        <w:trPr>
          <w:trHeight w:val="285"/>
        </w:trPr>
        <w:tc>
          <w:tcPr>
            <w:tcW w:w="54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BC95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Vplyvy na rozpočet verejnej správy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A7877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C735B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222EF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5F8" w14:paraId="68BD259D" w14:textId="77777777" w:rsidTr="001D6C6B">
        <w:trPr>
          <w:trHeight w:val="570"/>
        </w:trPr>
        <w:tc>
          <w:tcPr>
            <w:tcW w:w="54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0AA92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Vplyvy na podnikateľské prostredie – dochádza k zvýšeniu regulačného zaťaženia?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C65DF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D1D1E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2BA2E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15F8" w14:paraId="5BB95226" w14:textId="77777777" w:rsidTr="001D6C6B">
        <w:trPr>
          <w:trHeight w:val="285"/>
        </w:trPr>
        <w:tc>
          <w:tcPr>
            <w:tcW w:w="54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8ED00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Sociálne vplyvy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8E13B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5722B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9BE61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15F8" w14:paraId="54CF5D0A" w14:textId="77777777" w:rsidTr="001D6C6B">
        <w:trPr>
          <w:trHeight w:val="285"/>
        </w:trPr>
        <w:tc>
          <w:tcPr>
            <w:tcW w:w="54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15D82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vplyvy na hospodárenie obyvateľstva,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3F09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0B06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94FC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15F8" w14:paraId="19FCA916" w14:textId="77777777" w:rsidTr="001D6C6B">
        <w:trPr>
          <w:trHeight w:val="285"/>
        </w:trPr>
        <w:tc>
          <w:tcPr>
            <w:tcW w:w="54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2C24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sociálnu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exklúziu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1CF3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4EC6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0DA1E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15F8" w14:paraId="35490B16" w14:textId="77777777" w:rsidTr="001D6C6B">
        <w:trPr>
          <w:trHeight w:val="285"/>
        </w:trPr>
        <w:tc>
          <w:tcPr>
            <w:tcW w:w="54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F71F5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rovnosť príležitostí a rodovú rovnosť a vplyvy na zamestnanosť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389FC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17B6A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85671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15F8" w14:paraId="3C5D68D8" w14:textId="77777777" w:rsidTr="001D6C6B">
        <w:trPr>
          <w:trHeight w:val="285"/>
        </w:trPr>
        <w:tc>
          <w:tcPr>
            <w:tcW w:w="54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B2342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Vplyvy na životné prostredie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473C4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A096A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7C781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15F8" w14:paraId="2FBD02B3" w14:textId="77777777" w:rsidTr="001D6C6B">
        <w:trPr>
          <w:trHeight w:val="285"/>
        </w:trPr>
        <w:tc>
          <w:tcPr>
            <w:tcW w:w="54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BFD29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Vplyvy na informatizáciu spoločnosti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BEDCE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BE7E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ECCA1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15F8" w14:paraId="55F6A3A5" w14:textId="77777777" w:rsidTr="001D6C6B">
        <w:trPr>
          <w:trHeight w:val="285"/>
        </w:trPr>
        <w:tc>
          <w:tcPr>
            <w:tcW w:w="54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4813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Vplyvy na manželstvo, rodičovstvo a rodinu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2B979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2361D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2F610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5F8" w14:paraId="2B2FDF05" w14:textId="77777777" w:rsidTr="001D6C6B">
        <w:trPr>
          <w:trHeight w:val="285"/>
        </w:trPr>
        <w:tc>
          <w:tcPr>
            <w:tcW w:w="54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0D6FE" w14:textId="77777777" w:rsidR="00BE15F8" w:rsidRDefault="00BE15F8" w:rsidP="001D6C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Vplyvy na služby verejnej správy pre občana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4B740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6D828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F626D" w14:textId="77777777" w:rsidR="00BE15F8" w:rsidRDefault="00BE15F8" w:rsidP="001D6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68B7A1D" w14:textId="77777777" w:rsidR="00BE15F8" w:rsidRDefault="00BE15F8" w:rsidP="00BE15F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D88653" w14:textId="77777777" w:rsidR="00BE15F8" w:rsidRDefault="00BE15F8" w:rsidP="00BE1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A.3. Poznámky</w:t>
      </w:r>
    </w:p>
    <w:p w14:paraId="00A5E530" w14:textId="77777777" w:rsidR="00BE15F8" w:rsidRDefault="00BE15F8" w:rsidP="00BE15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561D67" w14:textId="77777777" w:rsidR="00BE15F8" w:rsidRDefault="00BE15F8" w:rsidP="00BE15F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7868">
        <w:rPr>
          <w:rFonts w:ascii="Times New Roman" w:eastAsia="Times New Roman" w:hAnsi="Times New Roman" w:cs="Times New Roman"/>
          <w:sz w:val="24"/>
          <w:szCs w:val="24"/>
        </w:rPr>
        <w:t xml:space="preserve">Bez </w:t>
      </w:r>
      <w:proofErr w:type="spellStart"/>
      <w:r w:rsidRPr="007E7868">
        <w:rPr>
          <w:rFonts w:ascii="Times New Roman" w:eastAsia="Times New Roman" w:hAnsi="Times New Roman" w:cs="Times New Roman"/>
          <w:sz w:val="24"/>
          <w:szCs w:val="24"/>
        </w:rPr>
        <w:t>pozmámok</w:t>
      </w:r>
      <w:proofErr w:type="spellEnd"/>
      <w:r w:rsidRPr="007E78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B2F6C0" w14:textId="77777777" w:rsidR="00BE15F8" w:rsidRDefault="00BE15F8" w:rsidP="00BE15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B0EC35" w14:textId="77777777" w:rsidR="00BE15F8" w:rsidRDefault="00BE15F8" w:rsidP="00BE1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A.4. Alternatívne riešenia</w:t>
      </w:r>
    </w:p>
    <w:p w14:paraId="3F627988" w14:textId="77777777" w:rsidR="00BE15F8" w:rsidRDefault="00BE15F8" w:rsidP="00BE1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DD2CCD" w14:textId="77777777" w:rsidR="00BE15F8" w:rsidRDefault="00BE15F8" w:rsidP="00BE15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Nepredkladajú sa</w:t>
      </w:r>
    </w:p>
    <w:p w14:paraId="230C7882" w14:textId="77777777" w:rsidR="00BE15F8" w:rsidRDefault="00BE15F8" w:rsidP="00BE15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77EA5F" w14:textId="77777777" w:rsidR="00BE15F8" w:rsidRDefault="00BE15F8" w:rsidP="00BE1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A.5. Stanovisko gestorov</w:t>
      </w:r>
    </w:p>
    <w:p w14:paraId="0366FB82" w14:textId="77777777" w:rsidR="00BE15F8" w:rsidRDefault="00BE15F8" w:rsidP="00BE1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CB5829" w14:textId="77777777" w:rsidR="00BE15F8" w:rsidRPr="00E46BD6" w:rsidRDefault="00BE15F8" w:rsidP="00BE15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Vyžiadané</w:t>
      </w:r>
    </w:p>
    <w:p w14:paraId="43B5B9CB" w14:textId="77777777" w:rsidR="007876F7" w:rsidRDefault="007876F7"/>
    <w:sectPr w:rsidR="007876F7" w:rsidSect="00BE1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5F8"/>
    <w:rsid w:val="00701A4D"/>
    <w:rsid w:val="007876F7"/>
    <w:rsid w:val="00BA293F"/>
    <w:rsid w:val="00BE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AE3EC"/>
  <w15:chartTrackingRefBased/>
  <w15:docId w15:val="{EA1B34F8-2721-489A-85EF-5BD7F35C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E15F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BE15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E15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E15F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E15F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E15F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E15F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E15F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E15F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E15F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E1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E1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E1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E15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E15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E15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E15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E15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E15F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E1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BE1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E15F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BE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E15F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BE15F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E15F8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BE15F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E1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E15F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E15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DocSecurity>0</DocSecurity>
  <Lines>6</Lines>
  <Paragraphs>1</Paragraphs>
  <ScaleCrop>false</ScaleCrop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2026-05-08T14:48:00Z</dcterms:created>
  <dcterms:modified xsi:type="dcterms:W3CDTF">2026-05-08T14:49:00Z</dcterms:modified>
</cp:coreProperties>
</file>