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F7F" w:rsidRPr="006B42F4" w:rsidRDefault="000B5F7F" w:rsidP="004809BB">
      <w:pPr>
        <w:pStyle w:val="Nadpis1"/>
        <w:numPr>
          <w:ilvl w:val="0"/>
          <w:numId w:val="24"/>
        </w:numPr>
        <w:rPr>
          <w:rFonts w:ascii="Times New Roman" w:hAnsi="Times New Roman"/>
          <w:sz w:val="24"/>
          <w:szCs w:val="24"/>
        </w:rPr>
      </w:pPr>
      <w:bookmarkStart w:id="0" w:name="_Toc97700652"/>
      <w:bookmarkStart w:id="1" w:name="_Toc148255237"/>
      <w:bookmarkStart w:id="2" w:name="_GoBack"/>
      <w:bookmarkEnd w:id="2"/>
      <w:r w:rsidRPr="006B42F4">
        <w:rPr>
          <w:rFonts w:ascii="Times New Roman" w:hAnsi="Times New Roman"/>
          <w:sz w:val="24"/>
          <w:szCs w:val="24"/>
        </w:rPr>
        <w:t>Makroekonomické</w:t>
      </w:r>
      <w:r w:rsidRPr="006B42F4">
        <w:rPr>
          <w:rFonts w:ascii="Times New Roman" w:hAnsi="Times New Roman"/>
          <w:bCs w:val="0"/>
          <w:sz w:val="24"/>
          <w:szCs w:val="24"/>
        </w:rPr>
        <w:t xml:space="preserve"> rámce zostavenia návrhu rozpočtu na roky 201</w:t>
      </w:r>
      <w:r w:rsidR="007301EC" w:rsidRPr="006B42F4">
        <w:rPr>
          <w:rFonts w:ascii="Times New Roman" w:hAnsi="Times New Roman"/>
          <w:bCs w:val="0"/>
          <w:sz w:val="24"/>
          <w:szCs w:val="24"/>
        </w:rPr>
        <w:t>6</w:t>
      </w:r>
      <w:r w:rsidRPr="006B42F4">
        <w:rPr>
          <w:rFonts w:ascii="Times New Roman" w:hAnsi="Times New Roman"/>
          <w:bCs w:val="0"/>
          <w:sz w:val="24"/>
          <w:szCs w:val="24"/>
        </w:rPr>
        <w:t xml:space="preserve"> až 20</w:t>
      </w:r>
      <w:bookmarkEnd w:id="0"/>
      <w:bookmarkEnd w:id="1"/>
      <w:r w:rsidRPr="006B42F4">
        <w:rPr>
          <w:rFonts w:ascii="Times New Roman" w:hAnsi="Times New Roman"/>
          <w:bCs w:val="0"/>
          <w:sz w:val="24"/>
          <w:szCs w:val="24"/>
        </w:rPr>
        <w:t>1</w:t>
      </w:r>
      <w:r w:rsidR="007301EC" w:rsidRPr="006B42F4">
        <w:rPr>
          <w:rFonts w:ascii="Times New Roman" w:hAnsi="Times New Roman"/>
          <w:bCs w:val="0"/>
          <w:sz w:val="24"/>
          <w:szCs w:val="24"/>
        </w:rPr>
        <w:t>8</w:t>
      </w:r>
      <w:r w:rsidRPr="006B42F4">
        <w:rPr>
          <w:rFonts w:ascii="Times New Roman" w:hAnsi="Times New Roman"/>
          <w:sz w:val="24"/>
          <w:szCs w:val="24"/>
        </w:rPr>
        <w:t xml:space="preserve"> </w:t>
      </w:r>
    </w:p>
    <w:p w:rsidR="0055665E" w:rsidRPr="006B42F4" w:rsidRDefault="0055665E" w:rsidP="0055665E"/>
    <w:p w:rsidR="006B42F4" w:rsidRPr="006B42F4" w:rsidRDefault="006B42F4" w:rsidP="006B42F4">
      <w:pPr>
        <w:ind w:firstLine="708"/>
        <w:jc w:val="both"/>
        <w:rPr>
          <w:lang w:eastAsia="cs-CZ"/>
        </w:rPr>
      </w:pPr>
      <w:r w:rsidRPr="006B42F4">
        <w:rPr>
          <w:lang w:eastAsia="cs-CZ"/>
        </w:rPr>
        <w:t>V roku 2015 porastie slovenská ekonomika o 2,9</w:t>
      </w:r>
      <w:r>
        <w:rPr>
          <w:lang w:eastAsia="cs-CZ"/>
        </w:rPr>
        <w:t xml:space="preserve"> </w:t>
      </w:r>
      <w:r w:rsidRPr="006B42F4">
        <w:rPr>
          <w:lang w:eastAsia="cs-CZ"/>
        </w:rPr>
        <w:t xml:space="preserve">%. Zrýchlenie rastu oproti predchádzajúcemu roku odráža prepad cien ropy, ktorý prostredníctvom nižšej inflácie podporí domáci dopyt. Ten bude aj naďalej hlavným motorom rastu. </w:t>
      </w:r>
    </w:p>
    <w:p w:rsidR="006B42F4" w:rsidRPr="006B42F4" w:rsidRDefault="006B42F4" w:rsidP="006B42F4">
      <w:pPr>
        <w:ind w:firstLine="708"/>
        <w:jc w:val="both"/>
        <w:rPr>
          <w:lang w:eastAsia="cs-CZ"/>
        </w:rPr>
      </w:pPr>
    </w:p>
    <w:p w:rsidR="006B42F4" w:rsidRPr="006B42F4" w:rsidRDefault="006B42F4" w:rsidP="006B42F4">
      <w:pPr>
        <w:ind w:firstLine="708"/>
        <w:jc w:val="both"/>
        <w:rPr>
          <w:lang w:eastAsia="cs-CZ"/>
        </w:rPr>
      </w:pPr>
      <w:r w:rsidRPr="006B42F4">
        <w:rPr>
          <w:lang w:eastAsia="cs-CZ"/>
        </w:rPr>
        <w:t>ECB v januári ohlásila kvantitatívne uvoľňovanie. Od marca tohto roku bude pravidelne každý mesiac nakupovať sekuritizované aktíva, kryté dlhopisy finančného sektora a štátne dlhopisy v hodnote 60 mld. eur mesačne, a to najmenej po dobu 19 mesiacov, čo má banke pomôcť v dosiahnutí inflačného cieľa. Následkom tohto rozhodnutia bolo oslabenie kurzu eura na 12-ročné minimum. Americká centrálna banka FED ukončila nákup aktív a očakáva sa, že v priebehu roka 2015 zvýši sadzby, čo viedlo k posilneniu amerického dolára. Akciové trhy rástli aj napriek zvýšenej volatilite spôsobenej rusko-ukrajinským konfliktom. Ceny ropy sa na konci roka 2014 a začiatkom roka 2015 výrazne znížili.</w:t>
      </w:r>
    </w:p>
    <w:p w:rsidR="006B42F4" w:rsidRPr="006B42F4" w:rsidRDefault="006B42F4" w:rsidP="006B42F4">
      <w:pPr>
        <w:ind w:firstLine="708"/>
        <w:jc w:val="both"/>
        <w:rPr>
          <w:lang w:eastAsia="cs-CZ"/>
        </w:rPr>
      </w:pPr>
    </w:p>
    <w:p w:rsidR="006B42F4" w:rsidRPr="006B42F4" w:rsidRDefault="006B42F4" w:rsidP="006B42F4">
      <w:pPr>
        <w:ind w:firstLine="708"/>
        <w:jc w:val="both"/>
        <w:rPr>
          <w:lang w:eastAsia="cs-CZ"/>
        </w:rPr>
      </w:pPr>
      <w:r w:rsidRPr="006B42F4">
        <w:rPr>
          <w:lang w:eastAsia="cs-CZ"/>
        </w:rPr>
        <w:t>Kolaps cien ropy a oslabenie eura budú mať stimulačný vplyv na eurozónu. Nízke ceny ropy znižujú výrobné náklady a nízka inflácia pomáha reálnym príjmom domácností. Depreciácia eura podporuje európskych exportérov a pôsobí proti deflačnému trendu. Vplyv poklesu cien ropy na HDP eurozóny v roku 2015 by sa mal podľa medzinárodných inštitúcií pohybovať medzi 0,2</w:t>
      </w:r>
      <w:r>
        <w:rPr>
          <w:lang w:eastAsia="cs-CZ"/>
        </w:rPr>
        <w:t xml:space="preserve"> </w:t>
      </w:r>
      <w:r w:rsidRPr="006B42F4">
        <w:rPr>
          <w:lang w:eastAsia="cs-CZ"/>
        </w:rPr>
        <w:t>%</w:t>
      </w:r>
      <w:r>
        <w:rPr>
          <w:lang w:eastAsia="cs-CZ"/>
        </w:rPr>
        <w:t xml:space="preserve"> </w:t>
      </w:r>
      <w:r w:rsidRPr="006B42F4">
        <w:rPr>
          <w:lang w:eastAsia="cs-CZ"/>
        </w:rPr>
        <w:t>-</w:t>
      </w:r>
      <w:r>
        <w:rPr>
          <w:lang w:eastAsia="cs-CZ"/>
        </w:rPr>
        <w:t xml:space="preserve"> </w:t>
      </w:r>
      <w:r w:rsidRPr="006B42F4">
        <w:rPr>
          <w:lang w:eastAsia="cs-CZ"/>
        </w:rPr>
        <w:t>0,8</w:t>
      </w:r>
      <w:r>
        <w:rPr>
          <w:lang w:eastAsia="cs-CZ"/>
        </w:rPr>
        <w:t xml:space="preserve"> </w:t>
      </w:r>
      <w:r w:rsidRPr="006B42F4">
        <w:rPr>
          <w:lang w:eastAsia="cs-CZ"/>
        </w:rPr>
        <w:t>%.</w:t>
      </w:r>
    </w:p>
    <w:p w:rsidR="006B42F4" w:rsidRPr="006B42F4" w:rsidRDefault="006B42F4" w:rsidP="006B42F4">
      <w:pPr>
        <w:ind w:firstLine="708"/>
        <w:jc w:val="both"/>
        <w:rPr>
          <w:lang w:eastAsia="cs-CZ"/>
        </w:rPr>
      </w:pPr>
    </w:p>
    <w:p w:rsidR="006B42F4" w:rsidRPr="006B42F4" w:rsidRDefault="006B42F4" w:rsidP="006B42F4">
      <w:pPr>
        <w:ind w:firstLine="708"/>
        <w:jc w:val="both"/>
        <w:rPr>
          <w:lang w:eastAsia="cs-CZ"/>
        </w:rPr>
      </w:pPr>
      <w:r w:rsidRPr="006B42F4">
        <w:rPr>
          <w:lang w:eastAsia="cs-CZ"/>
        </w:rPr>
        <w:t>Hospodársky rast eurozóny je však slabý. Nemecká ekonomika výraznejšie zrýchlila až v štvrtom kvartáli 2014, Francúzsko sa nachádza na okraji recesie a talianska ekonomika klesá. Situáciu v eurozóne sťažuje deflácia, ktorá obmedzuje stratégiu fiškálnej konsolidácie a znižovania dlhov. Predstihové indikátory však naznačujú odrazenie od dna a možnosť zrýchlenia rastu už začiatkom roka 2015. Eurozóna by mala v roku 2015 rásť o viac ako 1</w:t>
      </w:r>
      <w:r>
        <w:rPr>
          <w:lang w:eastAsia="cs-CZ"/>
        </w:rPr>
        <w:t xml:space="preserve"> </w:t>
      </w:r>
      <w:r w:rsidRPr="006B42F4">
        <w:rPr>
          <w:lang w:eastAsia="cs-CZ"/>
        </w:rPr>
        <w:t>%. Významnejší rast by však mali zaznamenať ekonomiky našich susedov – ČR, Poľska a Maďarska. Navyše štruktúra ich rastu by mala byť priaznivejšia pre slovenský export.</w:t>
      </w:r>
    </w:p>
    <w:p w:rsidR="006B42F4" w:rsidRPr="006B42F4" w:rsidRDefault="006B42F4" w:rsidP="006B42F4">
      <w:pPr>
        <w:ind w:firstLine="708"/>
        <w:jc w:val="both"/>
        <w:rPr>
          <w:lang w:eastAsia="cs-CZ"/>
        </w:rPr>
      </w:pPr>
    </w:p>
    <w:p w:rsidR="006B42F4" w:rsidRPr="006B42F4" w:rsidRDefault="006B42F4" w:rsidP="006B42F4">
      <w:pPr>
        <w:ind w:firstLine="708"/>
        <w:jc w:val="both"/>
        <w:rPr>
          <w:lang w:eastAsia="cs-CZ"/>
        </w:rPr>
      </w:pPr>
      <w:r w:rsidRPr="006B42F4">
        <w:rPr>
          <w:lang w:eastAsia="cs-CZ"/>
        </w:rPr>
        <w:t xml:space="preserve">Aktuálna oficiálna prognóza </w:t>
      </w:r>
      <w:r>
        <w:rPr>
          <w:lang w:eastAsia="cs-CZ"/>
        </w:rPr>
        <w:t>Ministerstva financií</w:t>
      </w:r>
      <w:r w:rsidRPr="006B42F4">
        <w:rPr>
          <w:lang w:eastAsia="cs-CZ"/>
        </w:rPr>
        <w:t xml:space="preserve"> SR predpokladá v roku 2015 rast ekonomiky na úrovni 2,9</w:t>
      </w:r>
      <w:r>
        <w:rPr>
          <w:lang w:eastAsia="cs-CZ"/>
        </w:rPr>
        <w:t xml:space="preserve"> </w:t>
      </w:r>
      <w:r w:rsidRPr="006B42F4">
        <w:rPr>
          <w:lang w:eastAsia="cs-CZ"/>
        </w:rPr>
        <w:t>%. Pozitívnym impulzom je šok na strane ponuky vyplývajúci z klesajúcich cien ropy. Nízka inflácia pretavená do vyššieho rastu reálnych miezd, zlepšujúci sa spotrebiteľský sentiment a mierne klesajúca miera úspor podporia nárast súkromnej spotreby. Tá prispeje v tomto roku k rastu HDP najväčšou mierou. Nízke ceny ropy zvýšia aj dopyt našich obchodných partnerov, čo sa odrazí v zlepšení exportnej výkonnosti a jej návratu na trajektóriu rastu.</w:t>
      </w:r>
    </w:p>
    <w:p w:rsidR="006B42F4" w:rsidRPr="006B42F4" w:rsidRDefault="006B42F4" w:rsidP="006B42F4">
      <w:pPr>
        <w:jc w:val="both"/>
        <w:rPr>
          <w:lang w:eastAsia="cs-CZ"/>
        </w:rPr>
      </w:pPr>
    </w:p>
    <w:p w:rsidR="006B42F4" w:rsidRPr="006B42F4" w:rsidRDefault="006B42F4" w:rsidP="006B42F4">
      <w:pPr>
        <w:ind w:firstLine="708"/>
        <w:jc w:val="both"/>
        <w:rPr>
          <w:lang w:eastAsia="cs-CZ"/>
        </w:rPr>
      </w:pPr>
      <w:r w:rsidRPr="006B42F4">
        <w:rPr>
          <w:lang w:eastAsia="cs-CZ"/>
        </w:rPr>
        <w:t>Trh práce bude pokračovať v pozitívnom trende z minulého roku. Ekonomický rast založený predovšetkým na domácej spotrebe by sa mal premietnuť do solídneho nárastu zamestnanosti o 0,6</w:t>
      </w:r>
      <w:r>
        <w:rPr>
          <w:lang w:eastAsia="cs-CZ"/>
        </w:rPr>
        <w:t xml:space="preserve"> </w:t>
      </w:r>
      <w:r w:rsidRPr="006B42F4">
        <w:rPr>
          <w:lang w:eastAsia="cs-CZ"/>
        </w:rPr>
        <w:t>%. Nové pracovné miesta budú vznikať najmä v sektore služieb. Miera nezamestnanosti vďaka tomu poklesne pod 13</w:t>
      </w:r>
      <w:r>
        <w:rPr>
          <w:lang w:eastAsia="cs-CZ"/>
        </w:rPr>
        <w:t xml:space="preserve"> </w:t>
      </w:r>
      <w:r w:rsidRPr="006B42F4">
        <w:rPr>
          <w:lang w:eastAsia="cs-CZ"/>
        </w:rPr>
        <w:t xml:space="preserve">%. V ďalších rokoch by sa mal rast zamestnanosti ešte mierne zrýchľovať. </w:t>
      </w:r>
    </w:p>
    <w:p w:rsidR="006B42F4" w:rsidRPr="006B42F4" w:rsidRDefault="006B42F4" w:rsidP="006B42F4">
      <w:pPr>
        <w:ind w:firstLine="708"/>
        <w:jc w:val="both"/>
        <w:rPr>
          <w:lang w:eastAsia="cs-CZ"/>
        </w:rPr>
      </w:pPr>
    </w:p>
    <w:p w:rsidR="006B42F4" w:rsidRPr="006B42F4" w:rsidRDefault="006B42F4" w:rsidP="006B42F4">
      <w:pPr>
        <w:ind w:firstLine="708"/>
        <w:jc w:val="both"/>
        <w:rPr>
          <w:lang w:eastAsia="cs-CZ"/>
        </w:rPr>
      </w:pPr>
      <w:r w:rsidRPr="006B42F4">
        <w:rPr>
          <w:lang w:eastAsia="cs-CZ"/>
        </w:rPr>
        <w:t>Očakávaný rast nominálnych miezd by mal spomaliť oproti rekordnému roku 2014. Ukotvenie inflácie na nulových hodnotách bude brzdiť rast nominálnych miezd len čiastočne, zatiaľ čo prorastovo bude pôsobiť zrýchlenie rastu produktivity práce a výraznejšie zvýšenie minimálnej mzdy. Vďaka nulovej inflácii reálny rast zostane vysoko na úrovni 2,6</w:t>
      </w:r>
      <w:r>
        <w:rPr>
          <w:lang w:eastAsia="cs-CZ"/>
        </w:rPr>
        <w:t xml:space="preserve"> </w:t>
      </w:r>
      <w:r w:rsidRPr="006B42F4">
        <w:rPr>
          <w:lang w:eastAsia="cs-CZ"/>
        </w:rPr>
        <w:t xml:space="preserve">%, čo je druhý najrýchlejší rast od vypuknutia krízy. </w:t>
      </w:r>
    </w:p>
    <w:p w:rsidR="006B42F4" w:rsidRPr="006B42F4" w:rsidRDefault="006B42F4" w:rsidP="006B42F4">
      <w:pPr>
        <w:ind w:firstLine="708"/>
        <w:jc w:val="both"/>
        <w:rPr>
          <w:lang w:eastAsia="cs-CZ"/>
        </w:rPr>
      </w:pPr>
    </w:p>
    <w:p w:rsidR="006B42F4" w:rsidRPr="006B42F4" w:rsidRDefault="006B42F4" w:rsidP="006B42F4">
      <w:pPr>
        <w:ind w:firstLine="708"/>
        <w:jc w:val="both"/>
        <w:rPr>
          <w:lang w:eastAsia="cs-CZ"/>
        </w:rPr>
      </w:pPr>
      <w:r w:rsidRPr="006B42F4">
        <w:rPr>
          <w:lang w:eastAsia="cs-CZ"/>
        </w:rPr>
        <w:lastRenderedPageBreak/>
        <w:t>Spotrebiteľské ceny nebudú rásť ani v roku 2015. Deflačný vývoj bude pre pokles cien ropy pokračovať v prvej polovici roka. Stagnáciu cenovej hladiny podporí januárové zlacnenie plynu, elektriny a tepla a výrazne klesnú aj ceny pohonných hmôt. Pomalý rast cien vyplýva z prepadu nákladových faktorov a deflácie prichádzajúcej z eurozóny. Ceny potravín by mali rásť len mierne. Ceny služieb zatiaľ nereagujú na domáce dopytové tlaky a ich rast tak zostáva na mimoriadne nízkych hodnotách. Uvoľnená politika ECB a dopytové tlaky pochádzajúce z oživenia domácej ekonomiky povedú k zrýchleniu rastu cien až v druhej polovici roka. Riziká pre vývoj inflácie sú vyvážené na obe strany. Pokles cien ropy a plynu môže viesť k ďalšiemu znižovaniu regulovaných cien ešte v roku 2015. Na druhej strane však rýchlejšia transmisia uvoľnenej menovej politiky, slabého eura a vysokého rastu miezd môže pôsobiť na silnejší rast cien služieb a dovážaných tovarov.</w:t>
      </w:r>
    </w:p>
    <w:p w:rsidR="006B42F4" w:rsidRDefault="006B42F4" w:rsidP="006B42F4">
      <w:pPr>
        <w:ind w:firstLine="708"/>
        <w:jc w:val="both"/>
        <w:rPr>
          <w:lang w:eastAsia="cs-CZ"/>
        </w:rPr>
      </w:pPr>
    </w:p>
    <w:p w:rsidR="007E7CFA" w:rsidRPr="006B42F4" w:rsidRDefault="007E7CFA" w:rsidP="006B42F4">
      <w:pPr>
        <w:ind w:firstLine="708"/>
        <w:jc w:val="both"/>
        <w:rPr>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0"/>
        <w:gridCol w:w="600"/>
        <w:gridCol w:w="600"/>
        <w:gridCol w:w="600"/>
        <w:gridCol w:w="600"/>
        <w:gridCol w:w="600"/>
        <w:gridCol w:w="600"/>
        <w:gridCol w:w="598"/>
      </w:tblGrid>
      <w:tr w:rsidR="006B42F4" w:rsidRPr="006B42F4" w:rsidTr="006B42F4">
        <w:trPr>
          <w:trHeight w:val="330"/>
          <w:jc w:val="center"/>
        </w:trPr>
        <w:tc>
          <w:tcPr>
            <w:tcW w:w="5000" w:type="pct"/>
            <w:gridSpan w:val="8"/>
            <w:shd w:val="clear" w:color="auto" w:fill="A6A6A6" w:themeFill="background1" w:themeFillShade="A6"/>
            <w:noWrap/>
            <w:vAlign w:val="center"/>
            <w:hideMark/>
          </w:tcPr>
          <w:p w:rsidR="006B42F4" w:rsidRPr="006B42F4" w:rsidRDefault="006B42F4" w:rsidP="005D10B4">
            <w:pPr>
              <w:rPr>
                <w:b/>
                <w:bCs/>
                <w:sz w:val="16"/>
                <w:szCs w:val="16"/>
                <w:lang w:val="en-US" w:eastAsia="en-US"/>
              </w:rPr>
            </w:pPr>
            <w:r w:rsidRPr="006B42F4">
              <w:rPr>
                <w:b/>
                <w:bCs/>
                <w:sz w:val="16"/>
                <w:szCs w:val="16"/>
                <w:lang w:eastAsia="en-US"/>
              </w:rPr>
              <w:t xml:space="preserve">Prognóza vybraných ukazovateľov ekonomiky </w:t>
            </w:r>
          </w:p>
        </w:tc>
      </w:tr>
      <w:tr w:rsidR="006B42F4" w:rsidRPr="006B42F4" w:rsidTr="006B42F4">
        <w:trPr>
          <w:trHeight w:val="330"/>
          <w:jc w:val="center"/>
        </w:trPr>
        <w:tc>
          <w:tcPr>
            <w:tcW w:w="2740" w:type="pct"/>
            <w:shd w:val="clear" w:color="auto" w:fill="BFBFBF" w:themeFill="background1" w:themeFillShade="BF"/>
            <w:noWrap/>
            <w:vAlign w:val="center"/>
            <w:hideMark/>
          </w:tcPr>
          <w:p w:rsidR="006B42F4" w:rsidRPr="006B42F4" w:rsidRDefault="006B42F4" w:rsidP="006B42F4">
            <w:pPr>
              <w:jc w:val="center"/>
              <w:rPr>
                <w:b/>
                <w:bCs/>
                <w:color w:val="000000"/>
                <w:sz w:val="16"/>
                <w:szCs w:val="16"/>
                <w:lang w:val="en-US" w:eastAsia="en-US"/>
              </w:rPr>
            </w:pPr>
            <w:r w:rsidRPr="006B42F4">
              <w:rPr>
                <w:b/>
                <w:bCs/>
                <w:color w:val="000000"/>
                <w:sz w:val="16"/>
                <w:szCs w:val="16"/>
                <w:lang w:eastAsia="en-US"/>
              </w:rPr>
              <w:t>ukazovateľ</w:t>
            </w:r>
          </w:p>
        </w:tc>
        <w:tc>
          <w:tcPr>
            <w:tcW w:w="646" w:type="pct"/>
            <w:gridSpan w:val="2"/>
            <w:shd w:val="clear" w:color="auto" w:fill="BFBFBF" w:themeFill="background1" w:themeFillShade="BF"/>
            <w:noWrap/>
            <w:vAlign w:val="center"/>
            <w:hideMark/>
          </w:tcPr>
          <w:p w:rsidR="006B42F4" w:rsidRPr="006B42F4" w:rsidRDefault="006B42F4" w:rsidP="006B42F4">
            <w:pPr>
              <w:jc w:val="center"/>
              <w:rPr>
                <w:b/>
                <w:bCs/>
                <w:color w:val="000000"/>
                <w:sz w:val="16"/>
                <w:szCs w:val="16"/>
                <w:lang w:val="en-US" w:eastAsia="en-US"/>
              </w:rPr>
            </w:pPr>
            <w:r w:rsidRPr="006B42F4">
              <w:rPr>
                <w:b/>
                <w:bCs/>
                <w:color w:val="000000"/>
                <w:sz w:val="16"/>
                <w:szCs w:val="16"/>
                <w:lang w:eastAsia="en-US"/>
              </w:rPr>
              <w:t>skutočnosť</w:t>
            </w:r>
          </w:p>
        </w:tc>
        <w:tc>
          <w:tcPr>
            <w:tcW w:w="1614" w:type="pct"/>
            <w:gridSpan w:val="5"/>
            <w:shd w:val="clear" w:color="auto" w:fill="BFBFBF" w:themeFill="background1" w:themeFillShade="BF"/>
            <w:noWrap/>
            <w:vAlign w:val="center"/>
            <w:hideMark/>
          </w:tcPr>
          <w:p w:rsidR="006B42F4" w:rsidRPr="006B42F4" w:rsidRDefault="006B42F4" w:rsidP="006B42F4">
            <w:pPr>
              <w:jc w:val="center"/>
              <w:rPr>
                <w:b/>
                <w:bCs/>
                <w:color w:val="000000"/>
                <w:sz w:val="16"/>
                <w:szCs w:val="16"/>
                <w:lang w:val="en-US" w:eastAsia="en-US"/>
              </w:rPr>
            </w:pPr>
            <w:r w:rsidRPr="006B42F4">
              <w:rPr>
                <w:b/>
                <w:bCs/>
                <w:color w:val="000000"/>
                <w:sz w:val="16"/>
                <w:szCs w:val="16"/>
                <w:lang w:eastAsia="en-US"/>
              </w:rPr>
              <w:t>prognóza</w:t>
            </w:r>
          </w:p>
        </w:tc>
      </w:tr>
      <w:tr w:rsidR="006B42F4" w:rsidRPr="006B42F4" w:rsidTr="006B42F4">
        <w:trPr>
          <w:trHeight w:val="345"/>
          <w:jc w:val="center"/>
        </w:trPr>
        <w:tc>
          <w:tcPr>
            <w:tcW w:w="2740" w:type="pct"/>
            <w:shd w:val="clear" w:color="auto" w:fill="BFBFBF" w:themeFill="background1" w:themeFillShade="BF"/>
            <w:noWrap/>
            <w:vAlign w:val="center"/>
            <w:hideMark/>
          </w:tcPr>
          <w:p w:rsidR="006B42F4" w:rsidRPr="006B42F4" w:rsidRDefault="006B42F4" w:rsidP="006B42F4">
            <w:pPr>
              <w:rPr>
                <w:b/>
                <w:color w:val="000000"/>
                <w:sz w:val="16"/>
                <w:szCs w:val="16"/>
                <w:lang w:val="en-US" w:eastAsia="en-US"/>
              </w:rPr>
            </w:pPr>
            <w:r>
              <w:rPr>
                <w:b/>
                <w:color w:val="000000"/>
                <w:sz w:val="16"/>
                <w:szCs w:val="16"/>
                <w:lang w:eastAsia="en-US"/>
              </w:rPr>
              <w:t>(</w:t>
            </w:r>
            <w:r w:rsidRPr="006B42F4">
              <w:rPr>
                <w:b/>
                <w:color w:val="000000"/>
                <w:sz w:val="16"/>
                <w:szCs w:val="16"/>
                <w:lang w:eastAsia="en-US"/>
              </w:rPr>
              <w:t>rast v % ak nie je uvedené inak)</w:t>
            </w:r>
          </w:p>
        </w:tc>
        <w:tc>
          <w:tcPr>
            <w:tcW w:w="323" w:type="pct"/>
            <w:shd w:val="clear" w:color="auto" w:fill="BFBFBF" w:themeFill="background1" w:themeFillShade="BF"/>
            <w:noWrap/>
            <w:vAlign w:val="center"/>
            <w:hideMark/>
          </w:tcPr>
          <w:p w:rsidR="006B42F4" w:rsidRPr="006B42F4" w:rsidRDefault="006B42F4" w:rsidP="006B42F4">
            <w:pPr>
              <w:jc w:val="center"/>
              <w:rPr>
                <w:b/>
                <w:color w:val="000000"/>
                <w:sz w:val="16"/>
                <w:szCs w:val="16"/>
                <w:lang w:val="en-US" w:eastAsia="en-US"/>
              </w:rPr>
            </w:pPr>
            <w:r w:rsidRPr="006B42F4">
              <w:rPr>
                <w:b/>
                <w:color w:val="000000"/>
                <w:sz w:val="16"/>
                <w:szCs w:val="16"/>
                <w:lang w:eastAsia="en-US"/>
              </w:rPr>
              <w:t>2012</w:t>
            </w:r>
          </w:p>
        </w:tc>
        <w:tc>
          <w:tcPr>
            <w:tcW w:w="323" w:type="pct"/>
            <w:shd w:val="clear" w:color="auto" w:fill="BFBFBF" w:themeFill="background1" w:themeFillShade="BF"/>
            <w:noWrap/>
            <w:vAlign w:val="center"/>
            <w:hideMark/>
          </w:tcPr>
          <w:p w:rsidR="006B42F4" w:rsidRPr="006B42F4" w:rsidRDefault="006B42F4" w:rsidP="006B42F4">
            <w:pPr>
              <w:jc w:val="center"/>
              <w:rPr>
                <w:b/>
                <w:color w:val="000000"/>
                <w:sz w:val="16"/>
                <w:szCs w:val="16"/>
                <w:lang w:val="en-US" w:eastAsia="en-US"/>
              </w:rPr>
            </w:pPr>
            <w:r w:rsidRPr="006B42F4">
              <w:rPr>
                <w:b/>
                <w:color w:val="000000"/>
                <w:sz w:val="16"/>
                <w:szCs w:val="16"/>
                <w:lang w:eastAsia="en-US"/>
              </w:rPr>
              <w:t>2013</w:t>
            </w:r>
          </w:p>
        </w:tc>
        <w:tc>
          <w:tcPr>
            <w:tcW w:w="323" w:type="pct"/>
            <w:shd w:val="clear" w:color="auto" w:fill="BFBFBF" w:themeFill="background1" w:themeFillShade="BF"/>
            <w:noWrap/>
            <w:vAlign w:val="center"/>
            <w:hideMark/>
          </w:tcPr>
          <w:p w:rsidR="006B42F4" w:rsidRPr="006B42F4" w:rsidRDefault="006B42F4" w:rsidP="006B42F4">
            <w:pPr>
              <w:jc w:val="center"/>
              <w:rPr>
                <w:b/>
                <w:color w:val="000000"/>
                <w:sz w:val="16"/>
                <w:szCs w:val="16"/>
                <w:lang w:val="en-US" w:eastAsia="en-US"/>
              </w:rPr>
            </w:pPr>
            <w:r w:rsidRPr="006B42F4">
              <w:rPr>
                <w:b/>
                <w:color w:val="000000"/>
                <w:sz w:val="16"/>
                <w:szCs w:val="16"/>
                <w:lang w:eastAsia="en-US"/>
              </w:rPr>
              <w:t>2014</w:t>
            </w:r>
          </w:p>
        </w:tc>
        <w:tc>
          <w:tcPr>
            <w:tcW w:w="323" w:type="pct"/>
            <w:shd w:val="clear" w:color="auto" w:fill="BFBFBF" w:themeFill="background1" w:themeFillShade="BF"/>
            <w:noWrap/>
            <w:vAlign w:val="center"/>
            <w:hideMark/>
          </w:tcPr>
          <w:p w:rsidR="006B42F4" w:rsidRPr="006B42F4" w:rsidRDefault="006B42F4" w:rsidP="006B42F4">
            <w:pPr>
              <w:jc w:val="center"/>
              <w:rPr>
                <w:b/>
                <w:color w:val="000000"/>
                <w:sz w:val="16"/>
                <w:szCs w:val="16"/>
                <w:lang w:val="en-US" w:eastAsia="en-US"/>
              </w:rPr>
            </w:pPr>
            <w:r w:rsidRPr="006B42F4">
              <w:rPr>
                <w:b/>
                <w:color w:val="000000"/>
                <w:sz w:val="16"/>
                <w:szCs w:val="16"/>
                <w:lang w:eastAsia="en-US"/>
              </w:rPr>
              <w:t>2015</w:t>
            </w:r>
          </w:p>
        </w:tc>
        <w:tc>
          <w:tcPr>
            <w:tcW w:w="323" w:type="pct"/>
            <w:shd w:val="clear" w:color="auto" w:fill="BFBFBF" w:themeFill="background1" w:themeFillShade="BF"/>
            <w:noWrap/>
            <w:vAlign w:val="center"/>
            <w:hideMark/>
          </w:tcPr>
          <w:p w:rsidR="006B42F4" w:rsidRPr="006B42F4" w:rsidRDefault="006B42F4" w:rsidP="006B42F4">
            <w:pPr>
              <w:jc w:val="center"/>
              <w:rPr>
                <w:b/>
                <w:color w:val="000000"/>
                <w:sz w:val="16"/>
                <w:szCs w:val="16"/>
                <w:lang w:val="en-US" w:eastAsia="en-US"/>
              </w:rPr>
            </w:pPr>
            <w:r w:rsidRPr="006B42F4">
              <w:rPr>
                <w:b/>
                <w:color w:val="000000"/>
                <w:sz w:val="16"/>
                <w:szCs w:val="16"/>
                <w:lang w:eastAsia="en-US"/>
              </w:rPr>
              <w:t>2016</w:t>
            </w:r>
          </w:p>
        </w:tc>
        <w:tc>
          <w:tcPr>
            <w:tcW w:w="323" w:type="pct"/>
            <w:shd w:val="clear" w:color="auto" w:fill="BFBFBF" w:themeFill="background1" w:themeFillShade="BF"/>
            <w:noWrap/>
            <w:vAlign w:val="center"/>
            <w:hideMark/>
          </w:tcPr>
          <w:p w:rsidR="006B42F4" w:rsidRPr="006B42F4" w:rsidRDefault="006B42F4" w:rsidP="006B42F4">
            <w:pPr>
              <w:jc w:val="center"/>
              <w:rPr>
                <w:b/>
                <w:color w:val="000000"/>
                <w:sz w:val="16"/>
                <w:szCs w:val="16"/>
                <w:lang w:val="en-US" w:eastAsia="en-US"/>
              </w:rPr>
            </w:pPr>
            <w:r w:rsidRPr="006B42F4">
              <w:rPr>
                <w:b/>
                <w:color w:val="000000"/>
                <w:sz w:val="16"/>
                <w:szCs w:val="16"/>
                <w:lang w:eastAsia="en-US"/>
              </w:rPr>
              <w:t>2017</w:t>
            </w:r>
          </w:p>
        </w:tc>
        <w:tc>
          <w:tcPr>
            <w:tcW w:w="322" w:type="pct"/>
            <w:shd w:val="clear" w:color="auto" w:fill="BFBFBF" w:themeFill="background1" w:themeFillShade="BF"/>
            <w:noWrap/>
            <w:vAlign w:val="center"/>
            <w:hideMark/>
          </w:tcPr>
          <w:p w:rsidR="006B42F4" w:rsidRPr="006B42F4" w:rsidRDefault="006B42F4" w:rsidP="006B42F4">
            <w:pPr>
              <w:jc w:val="center"/>
              <w:rPr>
                <w:b/>
                <w:color w:val="000000"/>
                <w:sz w:val="16"/>
                <w:szCs w:val="16"/>
                <w:lang w:val="en-US" w:eastAsia="en-US"/>
              </w:rPr>
            </w:pPr>
            <w:r w:rsidRPr="006B42F4">
              <w:rPr>
                <w:b/>
                <w:color w:val="000000"/>
                <w:sz w:val="16"/>
                <w:szCs w:val="16"/>
                <w:lang w:eastAsia="en-US"/>
              </w:rPr>
              <w:t>2018</w:t>
            </w:r>
          </w:p>
        </w:tc>
      </w:tr>
      <w:tr w:rsidR="006B42F4" w:rsidRPr="006B42F4" w:rsidTr="006B42F4">
        <w:trPr>
          <w:trHeight w:val="330"/>
          <w:jc w:val="center"/>
        </w:trPr>
        <w:tc>
          <w:tcPr>
            <w:tcW w:w="2740" w:type="pct"/>
            <w:shd w:val="clear" w:color="auto" w:fill="D9D9D9" w:themeFill="background1" w:themeFillShade="D9"/>
            <w:noWrap/>
            <w:vAlign w:val="center"/>
            <w:hideMark/>
          </w:tcPr>
          <w:p w:rsidR="006B42F4" w:rsidRPr="006B42F4" w:rsidRDefault="006B42F4" w:rsidP="006B42F4">
            <w:pPr>
              <w:rPr>
                <w:b/>
                <w:bCs/>
                <w:color w:val="000000"/>
                <w:sz w:val="16"/>
                <w:szCs w:val="16"/>
                <w:lang w:val="en-US" w:eastAsia="en-US"/>
              </w:rPr>
            </w:pPr>
            <w:r w:rsidRPr="006B42F4">
              <w:rPr>
                <w:b/>
                <w:bCs/>
                <w:color w:val="000000"/>
                <w:sz w:val="16"/>
                <w:szCs w:val="16"/>
                <w:lang w:eastAsia="en-US"/>
              </w:rPr>
              <w:t>Hrubý domáci produkt</w:t>
            </w: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 </w:t>
            </w: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p>
        </w:tc>
        <w:tc>
          <w:tcPr>
            <w:tcW w:w="323" w:type="pct"/>
            <w:shd w:val="clear" w:color="auto" w:fill="D9D9D9" w:themeFill="background1" w:themeFillShade="D9"/>
            <w:noWrap/>
            <w:vAlign w:val="center"/>
            <w:hideMark/>
          </w:tcPr>
          <w:p w:rsidR="006B42F4" w:rsidRPr="006B42F4" w:rsidRDefault="006B42F4" w:rsidP="006B42F4">
            <w:pPr>
              <w:rPr>
                <w:color w:val="000000"/>
                <w:sz w:val="16"/>
                <w:szCs w:val="16"/>
                <w:lang w:val="en-US" w:eastAsia="en-US"/>
              </w:rPr>
            </w:pPr>
          </w:p>
        </w:tc>
        <w:tc>
          <w:tcPr>
            <w:tcW w:w="323" w:type="pct"/>
            <w:shd w:val="clear" w:color="auto" w:fill="D9D9D9" w:themeFill="background1" w:themeFillShade="D9"/>
            <w:noWrap/>
            <w:vAlign w:val="center"/>
            <w:hideMark/>
          </w:tcPr>
          <w:p w:rsidR="006B42F4" w:rsidRPr="006B42F4" w:rsidRDefault="006B42F4" w:rsidP="006B42F4">
            <w:pPr>
              <w:rPr>
                <w:color w:val="000000"/>
                <w:sz w:val="16"/>
                <w:szCs w:val="16"/>
                <w:lang w:val="en-US" w:eastAsia="en-US"/>
              </w:rPr>
            </w:pPr>
          </w:p>
        </w:tc>
        <w:tc>
          <w:tcPr>
            <w:tcW w:w="323" w:type="pct"/>
            <w:shd w:val="clear" w:color="auto" w:fill="D9D9D9" w:themeFill="background1" w:themeFillShade="D9"/>
            <w:noWrap/>
            <w:vAlign w:val="center"/>
            <w:hideMark/>
          </w:tcPr>
          <w:p w:rsidR="006B42F4" w:rsidRPr="006B42F4" w:rsidRDefault="006B42F4" w:rsidP="006B42F4">
            <w:pPr>
              <w:rPr>
                <w:color w:val="000000"/>
                <w:sz w:val="16"/>
                <w:szCs w:val="16"/>
                <w:lang w:val="en-US" w:eastAsia="en-US"/>
              </w:rPr>
            </w:pPr>
          </w:p>
        </w:tc>
        <w:tc>
          <w:tcPr>
            <w:tcW w:w="322" w:type="pct"/>
            <w:shd w:val="clear" w:color="auto" w:fill="D9D9D9" w:themeFill="background1" w:themeFillShade="D9"/>
            <w:noWrap/>
            <w:vAlign w:val="center"/>
            <w:hideMark/>
          </w:tcPr>
          <w:p w:rsidR="006B42F4" w:rsidRPr="006B42F4" w:rsidRDefault="006B42F4" w:rsidP="006B42F4">
            <w:pPr>
              <w:rPr>
                <w:color w:val="000000"/>
                <w:sz w:val="16"/>
                <w:szCs w:val="16"/>
                <w:lang w:val="en-US" w:eastAsia="en-US"/>
              </w:rPr>
            </w:pPr>
          </w:p>
        </w:tc>
      </w:tr>
      <w:tr w:rsidR="006B42F4" w:rsidRPr="006B42F4" w:rsidTr="006B42F4">
        <w:trPr>
          <w:trHeight w:val="330"/>
          <w:jc w:val="center"/>
        </w:trPr>
        <w:tc>
          <w:tcPr>
            <w:tcW w:w="2740" w:type="pct"/>
            <w:noWrap/>
            <w:vAlign w:val="center"/>
            <w:hideMark/>
          </w:tcPr>
          <w:p w:rsidR="006B42F4" w:rsidRPr="006B42F4" w:rsidRDefault="006B42F4" w:rsidP="00365D95">
            <w:pPr>
              <w:rPr>
                <w:color w:val="000000"/>
                <w:sz w:val="16"/>
                <w:szCs w:val="16"/>
                <w:lang w:val="en-US" w:eastAsia="en-US"/>
              </w:rPr>
            </w:pPr>
            <w:r w:rsidRPr="006B42F4">
              <w:rPr>
                <w:color w:val="000000"/>
                <w:sz w:val="16"/>
                <w:szCs w:val="16"/>
                <w:lang w:eastAsia="en-US"/>
              </w:rPr>
              <w:t xml:space="preserve">HDP, v bežných cenách (mld. </w:t>
            </w:r>
            <w:r w:rsidR="00365D95">
              <w:rPr>
                <w:color w:val="000000"/>
                <w:sz w:val="16"/>
                <w:szCs w:val="16"/>
                <w:lang w:eastAsia="en-US"/>
              </w:rPr>
              <w:t>eur</w:t>
            </w:r>
            <w:r w:rsidRPr="006B42F4">
              <w:rPr>
                <w:color w:val="000000"/>
                <w:sz w:val="16"/>
                <w:szCs w:val="16"/>
                <w:lang w:eastAsia="en-US"/>
              </w:rPr>
              <w:t>)</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val="en-US" w:eastAsia="en-US"/>
              </w:rPr>
              <w:t>72,2</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val="en-US" w:eastAsia="en-US"/>
              </w:rPr>
              <w:t>73,6</w:t>
            </w:r>
          </w:p>
        </w:tc>
        <w:tc>
          <w:tcPr>
            <w:tcW w:w="323" w:type="pct"/>
            <w:noWrap/>
            <w:vAlign w:val="center"/>
            <w:hideMark/>
          </w:tcPr>
          <w:p w:rsidR="006B42F4" w:rsidRPr="006B42F4" w:rsidRDefault="006B42F4" w:rsidP="005D10B4">
            <w:pPr>
              <w:jc w:val="center"/>
              <w:rPr>
                <w:color w:val="000000"/>
                <w:sz w:val="16"/>
                <w:szCs w:val="16"/>
                <w:lang w:val="en-US" w:eastAsia="en-US"/>
              </w:rPr>
            </w:pPr>
            <w:r w:rsidRPr="006B42F4">
              <w:rPr>
                <w:color w:val="000000"/>
                <w:sz w:val="16"/>
                <w:szCs w:val="16"/>
                <w:lang w:val="en-US" w:eastAsia="en-US"/>
              </w:rPr>
              <w:t>75,</w:t>
            </w:r>
            <w:r w:rsidR="005D10B4">
              <w:rPr>
                <w:color w:val="000000"/>
                <w:sz w:val="16"/>
                <w:szCs w:val="16"/>
                <w:lang w:val="en-US" w:eastAsia="en-US"/>
              </w:rPr>
              <w:t>2</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val="en-US" w:eastAsia="en-US"/>
              </w:rPr>
              <w:t>77,3</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val="en-US" w:eastAsia="en-US"/>
              </w:rPr>
              <w:t>81,3</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val="en-US" w:eastAsia="en-US"/>
              </w:rPr>
              <w:t>85,7</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val="en-US" w:eastAsia="en-US"/>
              </w:rPr>
              <w:t>90,6</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HDP, reálny rast</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2,9</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3,6</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3,7</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Súkromná spotreba, reálny rast</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-0,5</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-0,8</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2,8</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2,7</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2,8</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2,9</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Súkromná spotreba, nominálny rast</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3,0</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1,9</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2,7</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4,6</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5,0</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Vládna spotreba</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-2,0</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3,8</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2,3</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1,0</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1,2</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1,3</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Fixné investície</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-9,3</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-2,7</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3,7</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1,8</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1,7</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2,1</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Export tovarov a služieb</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9,3</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5,2</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4,1</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5,9</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6,0</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6,1</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Import tovarov a služieb</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3,8</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4,7</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1,0</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4,5</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4,9</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4,8</w:t>
            </w:r>
          </w:p>
        </w:tc>
      </w:tr>
      <w:tr w:rsidR="006B42F4" w:rsidRPr="006B42F4" w:rsidTr="006B42F4">
        <w:trPr>
          <w:trHeight w:val="330"/>
          <w:jc w:val="center"/>
        </w:trPr>
        <w:tc>
          <w:tcPr>
            <w:tcW w:w="2740" w:type="pct"/>
            <w:shd w:val="clear" w:color="auto" w:fill="D9D9D9" w:themeFill="background1" w:themeFillShade="D9"/>
            <w:noWrap/>
            <w:vAlign w:val="center"/>
            <w:hideMark/>
          </w:tcPr>
          <w:p w:rsidR="006B42F4" w:rsidRPr="006B42F4" w:rsidRDefault="006B42F4" w:rsidP="006B42F4">
            <w:pPr>
              <w:rPr>
                <w:b/>
                <w:bCs/>
                <w:color w:val="000000"/>
                <w:sz w:val="16"/>
                <w:szCs w:val="16"/>
                <w:lang w:val="en-US" w:eastAsia="en-US"/>
              </w:rPr>
            </w:pPr>
            <w:r w:rsidRPr="006B42F4">
              <w:rPr>
                <w:b/>
                <w:bCs/>
                <w:color w:val="000000"/>
                <w:sz w:val="16"/>
                <w:szCs w:val="16"/>
                <w:lang w:eastAsia="en-US"/>
              </w:rPr>
              <w:t>Trh práce</w:t>
            </w: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 </w:t>
            </w:r>
          </w:p>
        </w:tc>
        <w:tc>
          <w:tcPr>
            <w:tcW w:w="323" w:type="pct"/>
            <w:shd w:val="clear" w:color="auto" w:fill="D9D9D9" w:themeFill="background1" w:themeFillShade="D9"/>
            <w:noWrap/>
            <w:vAlign w:val="bottom"/>
            <w:hideMark/>
          </w:tcPr>
          <w:p w:rsidR="006B42F4" w:rsidRPr="006B42F4" w:rsidRDefault="006B42F4" w:rsidP="006B42F4">
            <w:pPr>
              <w:rPr>
                <w:color w:val="000000"/>
                <w:sz w:val="16"/>
                <w:szCs w:val="16"/>
                <w:lang w:val="en-US" w:eastAsia="en-US"/>
              </w:rPr>
            </w:pPr>
          </w:p>
        </w:tc>
        <w:tc>
          <w:tcPr>
            <w:tcW w:w="323" w:type="pct"/>
            <w:shd w:val="clear" w:color="auto" w:fill="D9D9D9" w:themeFill="background1" w:themeFillShade="D9"/>
            <w:noWrap/>
            <w:vAlign w:val="bottom"/>
            <w:hideMark/>
          </w:tcPr>
          <w:p w:rsidR="006B42F4" w:rsidRPr="006B42F4" w:rsidRDefault="006B42F4" w:rsidP="006B42F4">
            <w:pPr>
              <w:rPr>
                <w:color w:val="000000"/>
                <w:sz w:val="16"/>
                <w:szCs w:val="16"/>
                <w:lang w:val="en-US" w:eastAsia="en-US"/>
              </w:rPr>
            </w:pPr>
          </w:p>
        </w:tc>
        <w:tc>
          <w:tcPr>
            <w:tcW w:w="323" w:type="pct"/>
            <w:shd w:val="clear" w:color="auto" w:fill="D9D9D9" w:themeFill="background1" w:themeFillShade="D9"/>
            <w:noWrap/>
            <w:vAlign w:val="bottom"/>
            <w:hideMark/>
          </w:tcPr>
          <w:p w:rsidR="006B42F4" w:rsidRPr="006B42F4" w:rsidRDefault="006B42F4" w:rsidP="006B42F4">
            <w:pPr>
              <w:rPr>
                <w:color w:val="000000"/>
                <w:sz w:val="16"/>
                <w:szCs w:val="16"/>
                <w:lang w:val="en-US" w:eastAsia="en-US"/>
              </w:rPr>
            </w:pP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p>
        </w:tc>
        <w:tc>
          <w:tcPr>
            <w:tcW w:w="322"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Zamestnanosť (podľa podnikového výkazníctva)</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-0,1</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-0,7</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1,1</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0,7</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0,7</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0,8</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Priemerná mesačná mzda za hospodárstvo; nom. rast</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3,9</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4,4</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4,6</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Priemerná mesačná mzda za hospodárstvo; reálny rast</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-1,2</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0,9</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4,4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2,3</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2,5</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2,6</w:t>
            </w:r>
          </w:p>
        </w:tc>
      </w:tr>
      <w:tr w:rsidR="006B42F4" w:rsidRPr="006B42F4" w:rsidTr="006B42F4">
        <w:trPr>
          <w:trHeight w:val="330"/>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Miera nezamestnanosti (VZPS)</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14,0</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14,2</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13,4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12,9</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12,2</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11,4</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10,5</w:t>
            </w:r>
          </w:p>
        </w:tc>
      </w:tr>
      <w:tr w:rsidR="006B42F4" w:rsidRPr="006B42F4" w:rsidTr="006B42F4">
        <w:trPr>
          <w:trHeight w:val="330"/>
          <w:jc w:val="center"/>
        </w:trPr>
        <w:tc>
          <w:tcPr>
            <w:tcW w:w="2740" w:type="pct"/>
            <w:shd w:val="clear" w:color="auto" w:fill="D9D9D9" w:themeFill="background1" w:themeFillShade="D9"/>
            <w:noWrap/>
            <w:vAlign w:val="center"/>
            <w:hideMark/>
          </w:tcPr>
          <w:p w:rsidR="006B42F4" w:rsidRPr="006B42F4" w:rsidRDefault="006B42F4" w:rsidP="006B42F4">
            <w:pPr>
              <w:rPr>
                <w:b/>
                <w:bCs/>
                <w:color w:val="000000"/>
                <w:sz w:val="16"/>
                <w:szCs w:val="16"/>
                <w:lang w:val="en-US" w:eastAsia="en-US"/>
              </w:rPr>
            </w:pPr>
            <w:r w:rsidRPr="006B42F4">
              <w:rPr>
                <w:b/>
                <w:bCs/>
                <w:color w:val="000000"/>
                <w:sz w:val="16"/>
                <w:szCs w:val="16"/>
                <w:lang w:eastAsia="en-US"/>
              </w:rPr>
              <w:t>Inflácia</w:t>
            </w: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 </w:t>
            </w:r>
          </w:p>
        </w:tc>
        <w:tc>
          <w:tcPr>
            <w:tcW w:w="323" w:type="pct"/>
            <w:shd w:val="clear" w:color="auto" w:fill="D9D9D9" w:themeFill="background1" w:themeFillShade="D9"/>
            <w:noWrap/>
            <w:vAlign w:val="bottom"/>
            <w:hideMark/>
          </w:tcPr>
          <w:p w:rsidR="006B42F4" w:rsidRPr="006B42F4" w:rsidRDefault="006B42F4" w:rsidP="006B42F4">
            <w:pPr>
              <w:rPr>
                <w:color w:val="000000"/>
                <w:sz w:val="16"/>
                <w:szCs w:val="16"/>
                <w:lang w:val="en-US" w:eastAsia="en-US"/>
              </w:rPr>
            </w:pPr>
          </w:p>
        </w:tc>
        <w:tc>
          <w:tcPr>
            <w:tcW w:w="323" w:type="pct"/>
            <w:shd w:val="clear" w:color="auto" w:fill="D9D9D9" w:themeFill="background1" w:themeFillShade="D9"/>
            <w:noWrap/>
            <w:vAlign w:val="bottom"/>
            <w:hideMark/>
          </w:tcPr>
          <w:p w:rsidR="006B42F4" w:rsidRPr="006B42F4" w:rsidRDefault="006B42F4" w:rsidP="006B42F4">
            <w:pPr>
              <w:rPr>
                <w:color w:val="000000"/>
                <w:sz w:val="16"/>
                <w:szCs w:val="16"/>
                <w:lang w:val="en-US" w:eastAsia="en-US"/>
              </w:rPr>
            </w:pPr>
          </w:p>
        </w:tc>
        <w:tc>
          <w:tcPr>
            <w:tcW w:w="323" w:type="pct"/>
            <w:shd w:val="clear" w:color="auto" w:fill="D9D9D9" w:themeFill="background1" w:themeFillShade="D9"/>
            <w:noWrap/>
            <w:vAlign w:val="bottom"/>
            <w:hideMark/>
          </w:tcPr>
          <w:p w:rsidR="006B42F4" w:rsidRPr="006B42F4" w:rsidRDefault="006B42F4" w:rsidP="006B42F4">
            <w:pPr>
              <w:rPr>
                <w:color w:val="000000"/>
                <w:sz w:val="16"/>
                <w:szCs w:val="16"/>
                <w:lang w:val="en-US" w:eastAsia="en-US"/>
              </w:rPr>
            </w:pPr>
          </w:p>
        </w:tc>
        <w:tc>
          <w:tcPr>
            <w:tcW w:w="323"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p>
        </w:tc>
        <w:tc>
          <w:tcPr>
            <w:tcW w:w="322" w:type="pct"/>
            <w:shd w:val="clear" w:color="auto" w:fill="D9D9D9" w:themeFill="background1" w:themeFillShade="D9"/>
            <w:noWrap/>
            <w:vAlign w:val="center"/>
            <w:hideMark/>
          </w:tcPr>
          <w:p w:rsidR="006B42F4" w:rsidRPr="006B42F4" w:rsidRDefault="006B42F4" w:rsidP="006B42F4">
            <w:pPr>
              <w:jc w:val="center"/>
              <w:rPr>
                <w:color w:val="000000"/>
                <w:sz w:val="16"/>
                <w:szCs w:val="16"/>
                <w:lang w:val="en-US" w:eastAsia="en-US"/>
              </w:rPr>
            </w:pPr>
          </w:p>
        </w:tc>
      </w:tr>
      <w:tr w:rsidR="006B42F4" w:rsidRPr="006B42F4" w:rsidTr="006B42F4">
        <w:trPr>
          <w:trHeight w:val="345"/>
          <w:jc w:val="center"/>
        </w:trPr>
        <w:tc>
          <w:tcPr>
            <w:tcW w:w="2740" w:type="pct"/>
            <w:noWrap/>
            <w:vAlign w:val="center"/>
            <w:hideMark/>
          </w:tcPr>
          <w:p w:rsidR="006B42F4" w:rsidRPr="006B42F4" w:rsidRDefault="006B42F4" w:rsidP="006B42F4">
            <w:pPr>
              <w:rPr>
                <w:color w:val="000000"/>
                <w:sz w:val="16"/>
                <w:szCs w:val="16"/>
                <w:lang w:val="en-US" w:eastAsia="en-US"/>
              </w:rPr>
            </w:pPr>
            <w:r w:rsidRPr="006B42F4">
              <w:rPr>
                <w:color w:val="000000"/>
                <w:sz w:val="16"/>
                <w:szCs w:val="16"/>
                <w:lang w:eastAsia="en-US"/>
              </w:rPr>
              <w:t>Index spotrebiteľských cien</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3,6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1,4</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-0,1</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0,0</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1,6</w:t>
            </w:r>
          </w:p>
        </w:tc>
        <w:tc>
          <w:tcPr>
            <w:tcW w:w="323"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1,8</w:t>
            </w:r>
          </w:p>
        </w:tc>
        <w:tc>
          <w:tcPr>
            <w:tcW w:w="322" w:type="pct"/>
            <w:noWrap/>
            <w:vAlign w:val="center"/>
            <w:hideMark/>
          </w:tcPr>
          <w:p w:rsidR="006B42F4" w:rsidRPr="006B42F4" w:rsidRDefault="006B42F4" w:rsidP="006B42F4">
            <w:pPr>
              <w:jc w:val="center"/>
              <w:rPr>
                <w:color w:val="000000"/>
                <w:sz w:val="16"/>
                <w:szCs w:val="16"/>
                <w:lang w:val="en-US" w:eastAsia="en-US"/>
              </w:rPr>
            </w:pPr>
            <w:r w:rsidRPr="006B42F4">
              <w:rPr>
                <w:color w:val="000000"/>
                <w:sz w:val="16"/>
                <w:szCs w:val="16"/>
                <w:lang w:eastAsia="en-US"/>
              </w:rPr>
              <w:t>2,0</w:t>
            </w:r>
          </w:p>
        </w:tc>
      </w:tr>
      <w:tr w:rsidR="006B42F4" w:rsidRPr="006B42F4" w:rsidTr="006B42F4">
        <w:trPr>
          <w:trHeight w:val="330"/>
          <w:jc w:val="center"/>
        </w:trPr>
        <w:tc>
          <w:tcPr>
            <w:tcW w:w="5000" w:type="pct"/>
            <w:gridSpan w:val="8"/>
            <w:tcBorders>
              <w:left w:val="nil"/>
              <w:bottom w:val="nil"/>
              <w:right w:val="nil"/>
            </w:tcBorders>
            <w:noWrap/>
            <w:vAlign w:val="center"/>
            <w:hideMark/>
          </w:tcPr>
          <w:p w:rsidR="006B42F4" w:rsidRPr="006B42F4" w:rsidRDefault="006B42F4" w:rsidP="006B42F4">
            <w:pPr>
              <w:jc w:val="right"/>
              <w:rPr>
                <w:i/>
                <w:iCs/>
                <w:color w:val="000000"/>
                <w:sz w:val="16"/>
                <w:szCs w:val="16"/>
                <w:lang w:val="en-US" w:eastAsia="en-US"/>
              </w:rPr>
            </w:pPr>
            <w:r w:rsidRPr="006B42F4">
              <w:rPr>
                <w:i/>
                <w:iCs/>
                <w:color w:val="000000"/>
                <w:sz w:val="16"/>
                <w:szCs w:val="16"/>
                <w:lang w:eastAsia="en-US"/>
              </w:rPr>
              <w:t xml:space="preserve">Zdroj: ŠÚ SR, </w:t>
            </w:r>
            <w:r>
              <w:rPr>
                <w:i/>
                <w:iCs/>
                <w:color w:val="000000"/>
                <w:sz w:val="16"/>
                <w:szCs w:val="16"/>
                <w:lang w:eastAsia="en-US"/>
              </w:rPr>
              <w:t>MF SR</w:t>
            </w:r>
          </w:p>
        </w:tc>
      </w:tr>
    </w:tbl>
    <w:p w:rsidR="006B42F4" w:rsidRPr="006B42F4" w:rsidRDefault="006B42F4" w:rsidP="006B42F4">
      <w:pPr>
        <w:jc w:val="both"/>
        <w:rPr>
          <w:lang w:eastAsia="cs-CZ"/>
        </w:rPr>
      </w:pPr>
    </w:p>
    <w:p w:rsidR="00EF304A" w:rsidRDefault="00EF304A" w:rsidP="0055665E">
      <w:pPr>
        <w:ind w:firstLine="708"/>
        <w:jc w:val="both"/>
        <w:rPr>
          <w:highlight w:val="yellow"/>
        </w:rPr>
      </w:pPr>
    </w:p>
    <w:p w:rsidR="00EF304A" w:rsidRDefault="00EF304A" w:rsidP="0055665E">
      <w:pPr>
        <w:ind w:firstLine="708"/>
        <w:jc w:val="both"/>
        <w:rPr>
          <w:highlight w:val="yellow"/>
        </w:rPr>
      </w:pPr>
    </w:p>
    <w:p w:rsidR="00EF304A" w:rsidRDefault="00EF304A" w:rsidP="0055665E">
      <w:pPr>
        <w:ind w:firstLine="708"/>
        <w:jc w:val="both"/>
        <w:rPr>
          <w:highlight w:val="yellow"/>
        </w:rPr>
      </w:pPr>
    </w:p>
    <w:p w:rsidR="00241D7C" w:rsidRPr="00BA59F6" w:rsidRDefault="00241D7C" w:rsidP="0055665E">
      <w:pPr>
        <w:ind w:firstLine="708"/>
        <w:jc w:val="both"/>
        <w:rPr>
          <w:highlight w:val="yellow"/>
        </w:rPr>
      </w:pPr>
    </w:p>
    <w:p w:rsidR="0055665E" w:rsidRDefault="0055665E" w:rsidP="0055665E">
      <w:pPr>
        <w:ind w:firstLine="708"/>
        <w:jc w:val="both"/>
        <w:rPr>
          <w:highlight w:val="yellow"/>
        </w:rPr>
      </w:pPr>
    </w:p>
    <w:p w:rsidR="0057757E" w:rsidRDefault="0057757E" w:rsidP="0055665E">
      <w:pPr>
        <w:ind w:firstLine="708"/>
        <w:jc w:val="both"/>
        <w:rPr>
          <w:highlight w:val="yellow"/>
        </w:rPr>
      </w:pPr>
    </w:p>
    <w:p w:rsidR="0057757E" w:rsidRPr="00BA59F6" w:rsidRDefault="0057757E" w:rsidP="0055665E">
      <w:pPr>
        <w:ind w:firstLine="708"/>
        <w:jc w:val="both"/>
        <w:rPr>
          <w:highlight w:val="yellow"/>
        </w:rPr>
      </w:pPr>
    </w:p>
    <w:p w:rsidR="00184D50" w:rsidRPr="00BA59F6" w:rsidRDefault="00184D50" w:rsidP="0055665E">
      <w:pPr>
        <w:ind w:firstLine="708"/>
        <w:jc w:val="both"/>
        <w:rPr>
          <w:highlight w:val="yellow"/>
        </w:rPr>
      </w:pPr>
    </w:p>
    <w:p w:rsidR="0055665E" w:rsidRDefault="0055665E" w:rsidP="0055665E">
      <w:pPr>
        <w:pStyle w:val="Default"/>
        <w:ind w:firstLine="708"/>
        <w:jc w:val="both"/>
        <w:rPr>
          <w:rFonts w:ascii="Times New Roman" w:hAnsi="Times New Roman"/>
          <w:highlight w:val="yellow"/>
        </w:rPr>
      </w:pPr>
    </w:p>
    <w:p w:rsidR="00F86626" w:rsidRDefault="00F86626" w:rsidP="0055665E">
      <w:pPr>
        <w:pStyle w:val="Default"/>
        <w:ind w:firstLine="708"/>
        <w:jc w:val="both"/>
        <w:rPr>
          <w:rFonts w:ascii="Times New Roman" w:hAnsi="Times New Roman"/>
          <w:highlight w:val="yellow"/>
        </w:rPr>
      </w:pPr>
    </w:p>
    <w:p w:rsidR="00F86626" w:rsidRPr="00BA59F6" w:rsidRDefault="00F86626" w:rsidP="0055665E">
      <w:pPr>
        <w:pStyle w:val="Default"/>
        <w:ind w:firstLine="708"/>
        <w:jc w:val="both"/>
        <w:rPr>
          <w:rFonts w:ascii="Times New Roman" w:hAnsi="Times New Roman"/>
          <w:highlight w:val="yellow"/>
        </w:rPr>
      </w:pPr>
    </w:p>
    <w:p w:rsidR="00CD1E39" w:rsidRPr="001856D6" w:rsidRDefault="00CD1E39" w:rsidP="00CD1E39">
      <w:pPr>
        <w:pStyle w:val="Nadpis1"/>
        <w:numPr>
          <w:ilvl w:val="0"/>
          <w:numId w:val="24"/>
        </w:numPr>
        <w:rPr>
          <w:rFonts w:ascii="Times New Roman" w:hAnsi="Times New Roman"/>
          <w:sz w:val="24"/>
          <w:szCs w:val="24"/>
        </w:rPr>
      </w:pPr>
      <w:r w:rsidRPr="001856D6">
        <w:rPr>
          <w:rFonts w:ascii="Times New Roman" w:hAnsi="Times New Roman"/>
          <w:sz w:val="24"/>
          <w:szCs w:val="24"/>
        </w:rPr>
        <w:lastRenderedPageBreak/>
        <w:t>Stanovenie výšky schodku rozpočtu verejnej správy na roky 201</w:t>
      </w:r>
      <w:r w:rsidR="007301EC" w:rsidRPr="001856D6">
        <w:rPr>
          <w:rFonts w:ascii="Times New Roman" w:hAnsi="Times New Roman"/>
          <w:sz w:val="24"/>
          <w:szCs w:val="24"/>
        </w:rPr>
        <w:t>6</w:t>
      </w:r>
      <w:r w:rsidRPr="001856D6">
        <w:rPr>
          <w:rFonts w:ascii="Times New Roman" w:hAnsi="Times New Roman"/>
          <w:sz w:val="24"/>
          <w:szCs w:val="24"/>
        </w:rPr>
        <w:t xml:space="preserve"> až 201</w:t>
      </w:r>
      <w:r w:rsidR="007301EC" w:rsidRPr="001856D6">
        <w:rPr>
          <w:rFonts w:ascii="Times New Roman" w:hAnsi="Times New Roman"/>
          <w:sz w:val="24"/>
          <w:szCs w:val="24"/>
        </w:rPr>
        <w:t>8</w:t>
      </w:r>
    </w:p>
    <w:p w:rsidR="00D519D7" w:rsidRDefault="00D519D7" w:rsidP="00D519D7">
      <w:pPr>
        <w:rPr>
          <w:highlight w:val="yellow"/>
        </w:rPr>
      </w:pPr>
    </w:p>
    <w:p w:rsidR="00360F4E" w:rsidRPr="007D5399" w:rsidRDefault="00360F4E" w:rsidP="00360F4E">
      <w:pPr>
        <w:ind w:firstLine="708"/>
        <w:jc w:val="both"/>
      </w:pPr>
      <w:r w:rsidRPr="007D5399">
        <w:t>Návrh východísk rozpočtu verejnej správy na roky 201</w:t>
      </w:r>
      <w:r>
        <w:t>6</w:t>
      </w:r>
      <w:r w:rsidRPr="007D5399">
        <w:t xml:space="preserve"> až 201</w:t>
      </w:r>
      <w:r>
        <w:t>8</w:t>
      </w:r>
      <w:r w:rsidRPr="007D5399">
        <w:t xml:space="preserve"> </w:t>
      </w:r>
      <w:r>
        <w:t>v</w:t>
      </w:r>
      <w:r w:rsidRPr="007D5399">
        <w:t xml:space="preserve">ychádza z prognózy vývoja ekonomiky a daňových a odvodových príjmov </w:t>
      </w:r>
      <w:r>
        <w:t xml:space="preserve">z </w:t>
      </w:r>
      <w:r w:rsidRPr="007D5399">
        <w:t>februára 201</w:t>
      </w:r>
      <w:r>
        <w:t xml:space="preserve">5 a </w:t>
      </w:r>
      <w:r w:rsidRPr="00C42AA3">
        <w:t>predstavuj</w:t>
      </w:r>
      <w:r>
        <w:t>e</w:t>
      </w:r>
      <w:r w:rsidRPr="00C42AA3">
        <w:t xml:space="preserve"> základný dokument pre prípravu</w:t>
      </w:r>
      <w:r>
        <w:t xml:space="preserve"> rozpočtu na roky 2016 až 2018. </w:t>
      </w:r>
    </w:p>
    <w:p w:rsidR="00360F4E" w:rsidRDefault="00360F4E" w:rsidP="00360F4E">
      <w:pPr>
        <w:jc w:val="both"/>
      </w:pPr>
    </w:p>
    <w:p w:rsidR="00360F4E" w:rsidRPr="003D7168" w:rsidRDefault="009A1AF1" w:rsidP="00360F4E">
      <w:pPr>
        <w:pStyle w:val="Zkladntext"/>
        <w:spacing w:after="0"/>
        <w:ind w:firstLine="709"/>
        <w:jc w:val="both"/>
        <w:rPr>
          <w:color w:val="1F497D"/>
        </w:rPr>
      </w:pPr>
      <w:r w:rsidRPr="003D7168">
        <w:t xml:space="preserve">Základným cieľom fiškálnej politiky je zabezpečenie dlhodobo udržateľných verejných financií. </w:t>
      </w:r>
      <w:r w:rsidRPr="003D7168">
        <w:rPr>
          <w:bCs/>
        </w:rPr>
        <w:t>Cieľová hodnota deficitu verejnej správy na rok 2016 bola preto stanovená vo výške 1,93 % HDP</w:t>
      </w:r>
      <w:r w:rsidRPr="003D7168">
        <w:t xml:space="preserve">. Predkladané východiská rozpočtu verejnej správy na roky 2016 až 2018 sú v súlade s európskymi fiškálnymi pravidlami. Za predpokladu naplnenia schváleného rozpočtu na rok 2015 sa pri stanovení cieľa na rok 2016 uvažuje s medziročným zlepšením štrukturálneho salda o 0,35 % HDP, čo zodpovedá deficitu verejnej správy na úrovni spomínaných 1,93 % HDP.  </w:t>
      </w:r>
      <w:r w:rsidRPr="003D7168">
        <w:rPr>
          <w:bCs/>
        </w:rPr>
        <w:t>V ďalších rokoch sa predpokladá znižovanie deficitu na úroveň 0,88 % HDP v roku 2017 a 0,53 % HDP v roku 2018</w:t>
      </w:r>
      <w:r w:rsidRPr="003D7168">
        <w:t>. Stanovené ciele by mali prispieť k udržaniu dlhu verejnej správy pod sankčnou hranicou 55 % HDP, čím sa zohľadňujú aj požiadavky ústavného zákona o rozpočtovej zodpovednosti.</w:t>
      </w:r>
    </w:p>
    <w:p w:rsidR="00360F4E" w:rsidRDefault="009A1AF1" w:rsidP="00360F4E">
      <w:pPr>
        <w:pStyle w:val="Zkladntext"/>
        <w:spacing w:after="0"/>
        <w:ind w:firstLine="709"/>
        <w:jc w:val="both"/>
      </w:pPr>
      <w:r>
        <w:t xml:space="preserve"> </w:t>
      </w:r>
    </w:p>
    <w:p w:rsidR="00360F4E" w:rsidRPr="00533FDF" w:rsidRDefault="00360F4E" w:rsidP="00360F4E">
      <w:pPr>
        <w:pStyle w:val="Odsekzoznamu"/>
        <w:ind w:left="0" w:firstLine="708"/>
        <w:jc w:val="both"/>
      </w:pPr>
      <w:r>
        <w:rPr>
          <w:color w:val="1F497D"/>
        </w:rPr>
        <w:t> </w:t>
      </w:r>
      <w:r w:rsidRPr="00533FDF">
        <w:t xml:space="preserve">Základom pre stanovenie výdavkov </w:t>
      </w:r>
      <w:r>
        <w:t>obsiahnutých v návrhu východísk</w:t>
      </w:r>
      <w:r w:rsidRPr="00533FDF">
        <w:t xml:space="preserve"> je platná legislatíva, pričom je zohľadnená zákonná valorizácia jednotlivých sociálnych a dôchodkových dávok. Väčšina výdavkov, ktorých rozpočet nie je určený konkrétnou legislatívou, vychádza z úrovne limitov na roky 201</w:t>
      </w:r>
      <w:r>
        <w:t>6</w:t>
      </w:r>
      <w:r w:rsidRPr="00533FDF">
        <w:t xml:space="preserve"> a 201</w:t>
      </w:r>
      <w:r>
        <w:t>7</w:t>
      </w:r>
      <w:r w:rsidRPr="00533FDF">
        <w:t>, ktoré boli súčasťou schváleného rozpočtu verejnej správy na roky 201</w:t>
      </w:r>
      <w:r>
        <w:t>5</w:t>
      </w:r>
      <w:r w:rsidRPr="00533FDF">
        <w:t xml:space="preserve"> až 201</w:t>
      </w:r>
      <w:r>
        <w:t>7</w:t>
      </w:r>
      <w:r w:rsidRPr="00533FDF">
        <w:t xml:space="preserve">. Tieto výdavky boli aktualizované o nové skutočnosti, ktoré vzhľadom na ich charakter bolo potrebné premietnuť do návrhu východísk. </w:t>
      </w:r>
      <w:r w:rsidRPr="00360F4E">
        <w:t>Napríklad v oblasti osobných výdavkov bol zapracovaný vplyv valorizácie platov vyjednaný v rámci kolektívneho vyjednávania na rok 2015.</w:t>
      </w:r>
      <w:r w:rsidRPr="00533FDF">
        <w:t xml:space="preserve">  </w:t>
      </w:r>
    </w:p>
    <w:p w:rsidR="00360F4E" w:rsidRPr="006C770C" w:rsidRDefault="00360F4E" w:rsidP="00360F4E">
      <w:pPr>
        <w:rPr>
          <w:highlight w:val="yellow"/>
        </w:rPr>
      </w:pPr>
    </w:p>
    <w:p w:rsidR="00360F4E" w:rsidRDefault="00360F4E" w:rsidP="00360F4E">
      <w:pPr>
        <w:ind w:firstLine="708"/>
        <w:jc w:val="both"/>
      </w:pPr>
      <w:r w:rsidRPr="00533FDF">
        <w:t xml:space="preserve">Východiská za oblasť prostriedkov EÚ a spolufinancovania sú zostavené na základe podkladov jednotlivých kapitol štátneho rozpočtu a ich odhadov o plánovanom čerpaní. Zároveň sa zohľadňuje potreba dočerpania záväzkov v rámci aktuálneho programového obdobia. </w:t>
      </w:r>
    </w:p>
    <w:p w:rsidR="00360F4E" w:rsidRDefault="00360F4E" w:rsidP="00360F4E">
      <w:pPr>
        <w:ind w:firstLine="708"/>
        <w:jc w:val="both"/>
      </w:pPr>
    </w:p>
    <w:p w:rsidR="00C122B6" w:rsidRDefault="00360F4E" w:rsidP="00C122B6">
      <w:pPr>
        <w:autoSpaceDE w:val="0"/>
        <w:autoSpaceDN w:val="0"/>
        <w:adjustRightInd w:val="0"/>
        <w:ind w:firstLine="708"/>
        <w:jc w:val="both"/>
      </w:pPr>
      <w:r>
        <w:t>Na základe týchto skutočností návrh východísk rozpočtu verejnej správy aktuálne počíta so schodkom na úrovni 1,93 % HDP v roku 2016, 1,</w:t>
      </w:r>
      <w:r w:rsidR="00B50B01">
        <w:t>38</w:t>
      </w:r>
      <w:r>
        <w:t xml:space="preserve"> % HDP v roku 2017 a</w:t>
      </w:r>
      <w:r w:rsidR="00D46CF0">
        <w:t> </w:t>
      </w:r>
      <w:r w:rsidR="00B50B01">
        <w:t>1</w:t>
      </w:r>
      <w:r w:rsidR="00D46CF0">
        <w:t>,</w:t>
      </w:r>
      <w:r w:rsidR="00B50B01">
        <w:t>01</w:t>
      </w:r>
      <w:r>
        <w:t xml:space="preserve"> % HDP v roku 2018 tak, ako </w:t>
      </w:r>
      <w:r w:rsidRPr="001307BA">
        <w:t>zobrazuje nasledovná tabuľka. Saldo</w:t>
      </w:r>
      <w:r>
        <w:t xml:space="preserve"> hospodárenia jednotlivých subjektov je uvedené v prílohe.</w:t>
      </w:r>
    </w:p>
    <w:p w:rsidR="002C0FF2" w:rsidRDefault="002C0FF2" w:rsidP="00C122B6">
      <w:pPr>
        <w:autoSpaceDE w:val="0"/>
        <w:autoSpaceDN w:val="0"/>
        <w:adjustRightInd w:val="0"/>
        <w:jc w:val="both"/>
        <w:rPr>
          <w:i/>
          <w:sz w:val="14"/>
          <w:szCs w:val="16"/>
        </w:rPr>
      </w:pPr>
    </w:p>
    <w:tbl>
      <w:tblPr>
        <w:tblW w:w="5000" w:type="pct"/>
        <w:tblCellMar>
          <w:left w:w="70" w:type="dxa"/>
          <w:right w:w="70" w:type="dxa"/>
        </w:tblCellMar>
        <w:tblLook w:val="04A0" w:firstRow="1" w:lastRow="0" w:firstColumn="1" w:lastColumn="0" w:noHBand="0" w:noVBand="1"/>
      </w:tblPr>
      <w:tblGrid>
        <w:gridCol w:w="2706"/>
        <w:gridCol w:w="676"/>
        <w:gridCol w:w="676"/>
        <w:gridCol w:w="805"/>
        <w:gridCol w:w="747"/>
        <w:gridCol w:w="817"/>
        <w:gridCol w:w="679"/>
        <w:gridCol w:w="679"/>
        <w:gridCol w:w="680"/>
        <w:gridCol w:w="747"/>
      </w:tblGrid>
      <w:tr w:rsidR="002C0FF2" w:rsidRPr="00882101" w:rsidTr="002C0FF2">
        <w:trPr>
          <w:trHeight w:val="840"/>
        </w:trPr>
        <w:tc>
          <w:tcPr>
            <w:tcW w:w="1458" w:type="pct"/>
            <w:vMerge w:val="restart"/>
            <w:tcBorders>
              <w:top w:val="single" w:sz="4" w:space="0" w:color="auto"/>
              <w:left w:val="single" w:sz="4" w:space="0" w:color="auto"/>
              <w:bottom w:val="single" w:sz="4" w:space="0" w:color="000000"/>
              <w:right w:val="single" w:sz="4" w:space="0" w:color="auto"/>
            </w:tcBorders>
            <w:shd w:val="clear" w:color="000000" w:fill="A6A6A6"/>
            <w:noWrap/>
            <w:hideMark/>
          </w:tcPr>
          <w:p w:rsidR="002C0FF2" w:rsidRPr="00882101" w:rsidRDefault="002C0FF2">
            <w:pPr>
              <w:rPr>
                <w:b/>
                <w:bCs/>
                <w:color w:val="000000"/>
                <w:sz w:val="14"/>
                <w:szCs w:val="14"/>
              </w:rPr>
            </w:pPr>
            <w:r w:rsidRPr="00882101">
              <w:rPr>
                <w:b/>
                <w:bCs/>
                <w:color w:val="000000"/>
                <w:sz w:val="14"/>
                <w:szCs w:val="14"/>
              </w:rPr>
              <w:t>(v mil. eur; ESA 2010)</w:t>
            </w:r>
          </w:p>
        </w:tc>
        <w:tc>
          <w:tcPr>
            <w:tcW w:w="751" w:type="pct"/>
            <w:gridSpan w:val="2"/>
            <w:tcBorders>
              <w:top w:val="single" w:sz="4" w:space="0" w:color="auto"/>
              <w:left w:val="nil"/>
              <w:bottom w:val="single" w:sz="4" w:space="0" w:color="auto"/>
              <w:right w:val="single" w:sz="4" w:space="0" w:color="auto"/>
            </w:tcBorders>
            <w:shd w:val="clear" w:color="000000" w:fill="A6A6A6"/>
            <w:vAlign w:val="center"/>
            <w:hideMark/>
          </w:tcPr>
          <w:p w:rsidR="002C0FF2" w:rsidRPr="00882101" w:rsidRDefault="002C0FF2">
            <w:pPr>
              <w:jc w:val="center"/>
              <w:rPr>
                <w:b/>
                <w:bCs/>
                <w:color w:val="000000"/>
                <w:sz w:val="14"/>
                <w:szCs w:val="14"/>
              </w:rPr>
            </w:pPr>
            <w:r w:rsidRPr="00882101">
              <w:rPr>
                <w:b/>
                <w:bCs/>
                <w:color w:val="000000"/>
                <w:sz w:val="14"/>
                <w:szCs w:val="14"/>
              </w:rPr>
              <w:t>Skutočnosť</w:t>
            </w:r>
          </w:p>
        </w:tc>
        <w:tc>
          <w:tcPr>
            <w:tcW w:w="435" w:type="pct"/>
            <w:tcBorders>
              <w:top w:val="single" w:sz="4" w:space="0" w:color="auto"/>
              <w:left w:val="nil"/>
              <w:bottom w:val="single" w:sz="4" w:space="0" w:color="auto"/>
              <w:right w:val="single" w:sz="4" w:space="0" w:color="auto"/>
            </w:tcBorders>
            <w:shd w:val="clear" w:color="000000" w:fill="A6A6A6"/>
            <w:vAlign w:val="center"/>
            <w:hideMark/>
          </w:tcPr>
          <w:p w:rsidR="002C0FF2" w:rsidRPr="00882101" w:rsidRDefault="002C0FF2">
            <w:pPr>
              <w:jc w:val="center"/>
              <w:rPr>
                <w:b/>
                <w:bCs/>
                <w:color w:val="000000"/>
                <w:sz w:val="14"/>
                <w:szCs w:val="14"/>
              </w:rPr>
            </w:pPr>
            <w:r w:rsidRPr="00882101">
              <w:rPr>
                <w:b/>
                <w:bCs/>
                <w:color w:val="000000"/>
                <w:sz w:val="14"/>
                <w:szCs w:val="14"/>
              </w:rPr>
              <w:t>Predbežná</w:t>
            </w:r>
            <w:r w:rsidRPr="00882101">
              <w:rPr>
                <w:b/>
                <w:bCs/>
                <w:color w:val="000000"/>
                <w:sz w:val="14"/>
                <w:szCs w:val="14"/>
              </w:rPr>
              <w:br/>
              <w:t>skutočnosť</w:t>
            </w:r>
          </w:p>
        </w:tc>
        <w:tc>
          <w:tcPr>
            <w:tcW w:w="403" w:type="pct"/>
            <w:tcBorders>
              <w:top w:val="single" w:sz="4" w:space="0" w:color="auto"/>
              <w:left w:val="nil"/>
              <w:bottom w:val="single" w:sz="4" w:space="0" w:color="auto"/>
              <w:right w:val="single" w:sz="4" w:space="0" w:color="auto"/>
            </w:tcBorders>
            <w:shd w:val="clear" w:color="000000" w:fill="A6A6A6"/>
            <w:vAlign w:val="center"/>
            <w:hideMark/>
          </w:tcPr>
          <w:p w:rsidR="002C0FF2" w:rsidRPr="00882101" w:rsidRDefault="002C0FF2">
            <w:pPr>
              <w:jc w:val="center"/>
              <w:rPr>
                <w:b/>
                <w:bCs/>
                <w:color w:val="000000"/>
                <w:sz w:val="14"/>
                <w:szCs w:val="14"/>
              </w:rPr>
            </w:pPr>
            <w:r w:rsidRPr="00882101">
              <w:rPr>
                <w:b/>
                <w:bCs/>
                <w:color w:val="000000"/>
                <w:sz w:val="14"/>
                <w:szCs w:val="14"/>
              </w:rPr>
              <w:t>Schválený</w:t>
            </w:r>
            <w:r w:rsidRPr="00882101">
              <w:rPr>
                <w:b/>
                <w:bCs/>
                <w:color w:val="000000"/>
                <w:sz w:val="14"/>
                <w:szCs w:val="14"/>
              </w:rPr>
              <w:br/>
              <w:t>RVS</w:t>
            </w:r>
          </w:p>
        </w:tc>
        <w:tc>
          <w:tcPr>
            <w:tcW w:w="441" w:type="pct"/>
            <w:tcBorders>
              <w:top w:val="single" w:sz="4" w:space="0" w:color="auto"/>
              <w:left w:val="nil"/>
              <w:bottom w:val="single" w:sz="4" w:space="0" w:color="auto"/>
              <w:right w:val="single" w:sz="4" w:space="0" w:color="auto"/>
            </w:tcBorders>
            <w:shd w:val="clear" w:color="000000" w:fill="A6A6A6"/>
            <w:vAlign w:val="center"/>
            <w:hideMark/>
          </w:tcPr>
          <w:p w:rsidR="002C0FF2" w:rsidRPr="00882101" w:rsidRDefault="002C0FF2">
            <w:pPr>
              <w:jc w:val="center"/>
              <w:rPr>
                <w:b/>
                <w:bCs/>
                <w:color w:val="000000"/>
                <w:sz w:val="14"/>
                <w:szCs w:val="14"/>
              </w:rPr>
            </w:pPr>
            <w:r w:rsidRPr="00882101">
              <w:rPr>
                <w:b/>
                <w:bCs/>
                <w:color w:val="000000"/>
                <w:sz w:val="14"/>
                <w:szCs w:val="14"/>
              </w:rPr>
              <w:t>Očakávaná skutočnosť</w:t>
            </w:r>
          </w:p>
        </w:tc>
        <w:tc>
          <w:tcPr>
            <w:tcW w:w="1134" w:type="pct"/>
            <w:gridSpan w:val="3"/>
            <w:tcBorders>
              <w:top w:val="single" w:sz="4" w:space="0" w:color="auto"/>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color w:val="000000"/>
                <w:sz w:val="14"/>
                <w:szCs w:val="14"/>
              </w:rPr>
            </w:pPr>
            <w:r w:rsidRPr="00882101">
              <w:rPr>
                <w:b/>
                <w:bCs/>
                <w:color w:val="000000"/>
                <w:sz w:val="14"/>
                <w:szCs w:val="14"/>
              </w:rPr>
              <w:t>Východiská rozpočtu VS</w:t>
            </w:r>
          </w:p>
        </w:tc>
        <w:tc>
          <w:tcPr>
            <w:tcW w:w="378" w:type="pct"/>
            <w:tcBorders>
              <w:top w:val="single" w:sz="4" w:space="0" w:color="auto"/>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color w:val="000000"/>
                <w:sz w:val="14"/>
                <w:szCs w:val="14"/>
              </w:rPr>
            </w:pPr>
            <w:r w:rsidRPr="00882101">
              <w:rPr>
                <w:b/>
                <w:bCs/>
                <w:color w:val="000000"/>
                <w:sz w:val="14"/>
                <w:szCs w:val="14"/>
              </w:rPr>
              <w:t>Rozdiel</w:t>
            </w:r>
          </w:p>
        </w:tc>
      </w:tr>
      <w:tr w:rsidR="002C0FF2" w:rsidRPr="00882101" w:rsidTr="002C0FF2">
        <w:trPr>
          <w:trHeight w:val="285"/>
        </w:trPr>
        <w:tc>
          <w:tcPr>
            <w:tcW w:w="1458" w:type="pct"/>
            <w:vMerge/>
            <w:tcBorders>
              <w:top w:val="single" w:sz="4" w:space="0" w:color="auto"/>
              <w:left w:val="single" w:sz="4" w:space="0" w:color="auto"/>
              <w:bottom w:val="single" w:sz="4" w:space="0" w:color="000000"/>
              <w:right w:val="single" w:sz="4" w:space="0" w:color="auto"/>
            </w:tcBorders>
            <w:vAlign w:val="center"/>
            <w:hideMark/>
          </w:tcPr>
          <w:p w:rsidR="002C0FF2" w:rsidRPr="00882101" w:rsidRDefault="002C0FF2">
            <w:pPr>
              <w:rPr>
                <w:b/>
                <w:bCs/>
                <w:color w:val="000000"/>
                <w:sz w:val="14"/>
                <w:szCs w:val="14"/>
              </w:rPr>
            </w:pPr>
          </w:p>
        </w:tc>
        <w:tc>
          <w:tcPr>
            <w:tcW w:w="376" w:type="pct"/>
            <w:tcBorders>
              <w:top w:val="nil"/>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sz w:val="14"/>
                <w:szCs w:val="14"/>
              </w:rPr>
            </w:pPr>
            <w:r w:rsidRPr="00882101">
              <w:rPr>
                <w:b/>
                <w:bCs/>
                <w:sz w:val="14"/>
                <w:szCs w:val="14"/>
              </w:rPr>
              <w:t>2012</w:t>
            </w:r>
          </w:p>
        </w:tc>
        <w:tc>
          <w:tcPr>
            <w:tcW w:w="376" w:type="pct"/>
            <w:tcBorders>
              <w:top w:val="nil"/>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sz w:val="14"/>
                <w:szCs w:val="14"/>
              </w:rPr>
            </w:pPr>
            <w:r w:rsidRPr="00882101">
              <w:rPr>
                <w:b/>
                <w:bCs/>
                <w:sz w:val="14"/>
                <w:szCs w:val="14"/>
              </w:rPr>
              <w:t>2013</w:t>
            </w:r>
          </w:p>
        </w:tc>
        <w:tc>
          <w:tcPr>
            <w:tcW w:w="435" w:type="pct"/>
            <w:tcBorders>
              <w:top w:val="nil"/>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sz w:val="14"/>
                <w:szCs w:val="14"/>
              </w:rPr>
            </w:pPr>
            <w:r w:rsidRPr="00882101">
              <w:rPr>
                <w:b/>
                <w:bCs/>
                <w:sz w:val="14"/>
                <w:szCs w:val="14"/>
              </w:rPr>
              <w:t>2014</w:t>
            </w:r>
          </w:p>
        </w:tc>
        <w:tc>
          <w:tcPr>
            <w:tcW w:w="844" w:type="pct"/>
            <w:gridSpan w:val="2"/>
            <w:tcBorders>
              <w:top w:val="single" w:sz="4" w:space="0" w:color="auto"/>
              <w:left w:val="nil"/>
              <w:bottom w:val="single" w:sz="4" w:space="0" w:color="auto"/>
              <w:right w:val="single" w:sz="4" w:space="0" w:color="000000"/>
            </w:tcBorders>
            <w:shd w:val="clear" w:color="000000" w:fill="A6A6A6"/>
            <w:noWrap/>
            <w:vAlign w:val="center"/>
            <w:hideMark/>
          </w:tcPr>
          <w:p w:rsidR="002C0FF2" w:rsidRPr="00882101" w:rsidRDefault="002C0FF2">
            <w:pPr>
              <w:jc w:val="center"/>
              <w:rPr>
                <w:b/>
                <w:bCs/>
                <w:sz w:val="14"/>
                <w:szCs w:val="14"/>
              </w:rPr>
            </w:pPr>
            <w:r w:rsidRPr="00882101">
              <w:rPr>
                <w:b/>
                <w:bCs/>
                <w:sz w:val="14"/>
                <w:szCs w:val="14"/>
              </w:rPr>
              <w:t>2015</w:t>
            </w:r>
          </w:p>
        </w:tc>
        <w:tc>
          <w:tcPr>
            <w:tcW w:w="378" w:type="pct"/>
            <w:tcBorders>
              <w:top w:val="nil"/>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sz w:val="14"/>
                <w:szCs w:val="14"/>
              </w:rPr>
            </w:pPr>
            <w:r w:rsidRPr="00882101">
              <w:rPr>
                <w:b/>
                <w:bCs/>
                <w:sz w:val="14"/>
                <w:szCs w:val="14"/>
              </w:rPr>
              <w:t>2016</w:t>
            </w:r>
          </w:p>
        </w:tc>
        <w:tc>
          <w:tcPr>
            <w:tcW w:w="378" w:type="pct"/>
            <w:tcBorders>
              <w:top w:val="nil"/>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sz w:val="14"/>
                <w:szCs w:val="14"/>
              </w:rPr>
            </w:pPr>
            <w:r w:rsidRPr="00882101">
              <w:rPr>
                <w:b/>
                <w:bCs/>
                <w:sz w:val="14"/>
                <w:szCs w:val="14"/>
              </w:rPr>
              <w:t>2017</w:t>
            </w:r>
          </w:p>
        </w:tc>
        <w:tc>
          <w:tcPr>
            <w:tcW w:w="378" w:type="pct"/>
            <w:tcBorders>
              <w:top w:val="nil"/>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sz w:val="14"/>
                <w:szCs w:val="14"/>
              </w:rPr>
            </w:pPr>
            <w:r w:rsidRPr="00882101">
              <w:rPr>
                <w:b/>
                <w:bCs/>
                <w:sz w:val="14"/>
                <w:szCs w:val="14"/>
              </w:rPr>
              <w:t>2018</w:t>
            </w:r>
          </w:p>
        </w:tc>
        <w:tc>
          <w:tcPr>
            <w:tcW w:w="378" w:type="pct"/>
            <w:tcBorders>
              <w:top w:val="nil"/>
              <w:left w:val="nil"/>
              <w:bottom w:val="single" w:sz="4" w:space="0" w:color="auto"/>
              <w:right w:val="single" w:sz="4" w:space="0" w:color="auto"/>
            </w:tcBorders>
            <w:shd w:val="clear" w:color="000000" w:fill="A6A6A6"/>
            <w:noWrap/>
            <w:vAlign w:val="center"/>
            <w:hideMark/>
          </w:tcPr>
          <w:p w:rsidR="002C0FF2" w:rsidRPr="00882101" w:rsidRDefault="002C0FF2">
            <w:pPr>
              <w:jc w:val="center"/>
              <w:rPr>
                <w:b/>
                <w:bCs/>
                <w:sz w:val="14"/>
                <w:szCs w:val="14"/>
              </w:rPr>
            </w:pPr>
            <w:r w:rsidRPr="00882101">
              <w:rPr>
                <w:b/>
                <w:bCs/>
                <w:sz w:val="14"/>
                <w:szCs w:val="14"/>
              </w:rPr>
              <w:t>2016-2015</w:t>
            </w:r>
          </w:p>
        </w:tc>
      </w:tr>
      <w:tr w:rsidR="002C0FF2" w:rsidRPr="00882101" w:rsidTr="002C0FF2">
        <w:trPr>
          <w:trHeight w:val="285"/>
        </w:trPr>
        <w:tc>
          <w:tcPr>
            <w:tcW w:w="1458" w:type="pct"/>
            <w:tcBorders>
              <w:top w:val="nil"/>
              <w:left w:val="single" w:sz="4" w:space="0" w:color="auto"/>
              <w:bottom w:val="single" w:sz="4" w:space="0" w:color="auto"/>
              <w:right w:val="single" w:sz="4" w:space="0" w:color="auto"/>
            </w:tcBorders>
            <w:noWrap/>
            <w:vAlign w:val="center"/>
            <w:hideMark/>
          </w:tcPr>
          <w:p w:rsidR="002C0FF2" w:rsidRPr="00882101" w:rsidRDefault="002C0FF2">
            <w:pPr>
              <w:rPr>
                <w:color w:val="000000"/>
                <w:sz w:val="14"/>
                <w:szCs w:val="14"/>
              </w:rPr>
            </w:pPr>
            <w:r w:rsidRPr="00882101">
              <w:rPr>
                <w:color w:val="000000"/>
                <w:sz w:val="14"/>
                <w:szCs w:val="14"/>
              </w:rPr>
              <w:t>Hospodárenie ostatných subjektov VS</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639,8</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301,7</w:t>
            </w:r>
          </w:p>
        </w:tc>
        <w:tc>
          <w:tcPr>
            <w:tcW w:w="435"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-161,7</w:t>
            </w:r>
          </w:p>
        </w:tc>
        <w:tc>
          <w:tcPr>
            <w:tcW w:w="403"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683,7</w:t>
            </w:r>
          </w:p>
        </w:tc>
        <w:tc>
          <w:tcPr>
            <w:tcW w:w="441"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507,0</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569,0</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684,9</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641,4</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-114,7</w:t>
            </w:r>
          </w:p>
        </w:tc>
      </w:tr>
      <w:tr w:rsidR="002C0FF2" w:rsidRPr="00882101" w:rsidTr="002C0FF2">
        <w:trPr>
          <w:trHeight w:val="285"/>
        </w:trPr>
        <w:tc>
          <w:tcPr>
            <w:tcW w:w="1458" w:type="pct"/>
            <w:tcBorders>
              <w:top w:val="nil"/>
              <w:left w:val="single" w:sz="4" w:space="0" w:color="auto"/>
              <w:bottom w:val="single" w:sz="4" w:space="0" w:color="auto"/>
              <w:right w:val="single" w:sz="4" w:space="0" w:color="auto"/>
            </w:tcBorders>
            <w:noWrap/>
            <w:vAlign w:val="center"/>
            <w:hideMark/>
          </w:tcPr>
          <w:p w:rsidR="002C0FF2" w:rsidRPr="00882101" w:rsidRDefault="002C0FF2">
            <w:pPr>
              <w:rPr>
                <w:color w:val="000000"/>
                <w:sz w:val="14"/>
                <w:szCs w:val="14"/>
              </w:rPr>
            </w:pPr>
            <w:r w:rsidRPr="00882101">
              <w:rPr>
                <w:color w:val="000000"/>
                <w:sz w:val="14"/>
                <w:szCs w:val="14"/>
              </w:rPr>
              <w:t>Modifikujúce faktory (vplyv akrualizácie ŠR)</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124,5</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-211,8</w:t>
            </w:r>
          </w:p>
        </w:tc>
        <w:tc>
          <w:tcPr>
            <w:tcW w:w="435"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928,4</w:t>
            </w:r>
          </w:p>
        </w:tc>
        <w:tc>
          <w:tcPr>
            <w:tcW w:w="403"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359,8</w:t>
            </w:r>
          </w:p>
        </w:tc>
        <w:tc>
          <w:tcPr>
            <w:tcW w:w="441"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206,1</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85,3</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243,1</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64,3</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-274,5</w:t>
            </w:r>
          </w:p>
        </w:tc>
      </w:tr>
      <w:tr w:rsidR="002C0FF2" w:rsidRPr="00882101" w:rsidTr="002C0FF2">
        <w:trPr>
          <w:trHeight w:val="285"/>
        </w:trPr>
        <w:tc>
          <w:tcPr>
            <w:tcW w:w="1458" w:type="pct"/>
            <w:tcBorders>
              <w:top w:val="nil"/>
              <w:left w:val="single" w:sz="4" w:space="0" w:color="auto"/>
              <w:bottom w:val="single" w:sz="4" w:space="0" w:color="auto"/>
              <w:right w:val="single" w:sz="4" w:space="0" w:color="auto"/>
            </w:tcBorders>
            <w:noWrap/>
            <w:vAlign w:val="center"/>
            <w:hideMark/>
          </w:tcPr>
          <w:p w:rsidR="002C0FF2" w:rsidRPr="00882101" w:rsidRDefault="002C0FF2">
            <w:pPr>
              <w:rPr>
                <w:color w:val="000000"/>
                <w:sz w:val="14"/>
                <w:szCs w:val="14"/>
              </w:rPr>
            </w:pPr>
            <w:r w:rsidRPr="00882101">
              <w:rPr>
                <w:color w:val="000000"/>
                <w:sz w:val="14"/>
                <w:szCs w:val="14"/>
              </w:rPr>
              <w:t>Schodok ŠR na hotovostnom princípe</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-3 810,7</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-2 023,3</w:t>
            </w:r>
          </w:p>
        </w:tc>
        <w:tc>
          <w:tcPr>
            <w:tcW w:w="435"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-2 923,4</w:t>
            </w:r>
          </w:p>
        </w:tc>
        <w:tc>
          <w:tcPr>
            <w:tcW w:w="403"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-2 983,6</w:t>
            </w:r>
          </w:p>
        </w:tc>
        <w:tc>
          <w:tcPr>
            <w:tcW w:w="441"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-2 681,7</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-2 222,7</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-2 109,1</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-1 621,4</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760,9</w:t>
            </w:r>
          </w:p>
        </w:tc>
      </w:tr>
      <w:tr w:rsidR="002C0FF2" w:rsidRPr="00882101" w:rsidTr="002C0FF2">
        <w:trPr>
          <w:trHeight w:val="285"/>
        </w:trPr>
        <w:tc>
          <w:tcPr>
            <w:tcW w:w="1458" w:type="pct"/>
            <w:tcBorders>
              <w:top w:val="nil"/>
              <w:left w:val="single" w:sz="4" w:space="0" w:color="auto"/>
              <w:bottom w:val="single" w:sz="4" w:space="0" w:color="auto"/>
              <w:right w:val="single" w:sz="4" w:space="0" w:color="auto"/>
            </w:tcBorders>
            <w:noWrap/>
            <w:vAlign w:val="center"/>
            <w:hideMark/>
          </w:tcPr>
          <w:p w:rsidR="002C0FF2" w:rsidRPr="00882101" w:rsidRDefault="002C0FF2">
            <w:pPr>
              <w:rPr>
                <w:color w:val="000000"/>
                <w:sz w:val="14"/>
                <w:szCs w:val="14"/>
              </w:rPr>
            </w:pPr>
            <w:r w:rsidRPr="00882101">
              <w:rPr>
                <w:color w:val="000000"/>
                <w:sz w:val="14"/>
                <w:szCs w:val="14"/>
              </w:rPr>
              <w:t>Schodok rozpočtu VS</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-3 046,4</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-1 933,4</w:t>
            </w:r>
          </w:p>
        </w:tc>
        <w:tc>
          <w:tcPr>
            <w:tcW w:w="435"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-2 156,7</w:t>
            </w:r>
          </w:p>
        </w:tc>
        <w:tc>
          <w:tcPr>
            <w:tcW w:w="403"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-1 940,1</w:t>
            </w:r>
          </w:p>
        </w:tc>
        <w:tc>
          <w:tcPr>
            <w:tcW w:w="441"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-1 968,6</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-1 568,4</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-1 181,1</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-915,7</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371,7</w:t>
            </w:r>
          </w:p>
        </w:tc>
      </w:tr>
      <w:tr w:rsidR="002C0FF2" w:rsidRPr="00882101" w:rsidTr="002C0FF2">
        <w:trPr>
          <w:trHeight w:val="285"/>
        </w:trPr>
        <w:tc>
          <w:tcPr>
            <w:tcW w:w="1458" w:type="pct"/>
            <w:tcBorders>
              <w:top w:val="nil"/>
              <w:left w:val="single" w:sz="4" w:space="0" w:color="auto"/>
              <w:bottom w:val="single" w:sz="4" w:space="0" w:color="auto"/>
              <w:right w:val="single" w:sz="4" w:space="0" w:color="auto"/>
            </w:tcBorders>
            <w:shd w:val="clear" w:color="000000" w:fill="BFBFBF"/>
            <w:noWrap/>
            <w:vAlign w:val="center"/>
            <w:hideMark/>
          </w:tcPr>
          <w:p w:rsidR="002C0FF2" w:rsidRPr="00882101" w:rsidRDefault="002C0FF2">
            <w:pPr>
              <w:rPr>
                <w:b/>
                <w:bCs/>
                <w:color w:val="000000"/>
                <w:sz w:val="14"/>
                <w:szCs w:val="14"/>
              </w:rPr>
            </w:pPr>
            <w:r w:rsidRPr="00882101">
              <w:rPr>
                <w:b/>
                <w:bCs/>
                <w:color w:val="000000"/>
                <w:sz w:val="14"/>
                <w:szCs w:val="14"/>
              </w:rPr>
              <w:t>Schodok rozpočtu VS (v % na HDP)</w:t>
            </w:r>
          </w:p>
        </w:tc>
        <w:tc>
          <w:tcPr>
            <w:tcW w:w="376"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-4,22</w:t>
            </w:r>
          </w:p>
        </w:tc>
        <w:tc>
          <w:tcPr>
            <w:tcW w:w="376"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-2,63</w:t>
            </w:r>
          </w:p>
        </w:tc>
        <w:tc>
          <w:tcPr>
            <w:tcW w:w="435"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-2,87</w:t>
            </w:r>
          </w:p>
        </w:tc>
        <w:tc>
          <w:tcPr>
            <w:tcW w:w="403"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-2,49</w:t>
            </w:r>
          </w:p>
        </w:tc>
        <w:tc>
          <w:tcPr>
            <w:tcW w:w="441"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-2,55</w:t>
            </w:r>
          </w:p>
        </w:tc>
        <w:tc>
          <w:tcPr>
            <w:tcW w:w="378"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-1,93</w:t>
            </w:r>
          </w:p>
        </w:tc>
        <w:tc>
          <w:tcPr>
            <w:tcW w:w="378"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-1,38</w:t>
            </w:r>
          </w:p>
        </w:tc>
        <w:tc>
          <w:tcPr>
            <w:tcW w:w="378"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-1,01</w:t>
            </w:r>
          </w:p>
        </w:tc>
        <w:tc>
          <w:tcPr>
            <w:tcW w:w="378" w:type="pct"/>
            <w:tcBorders>
              <w:top w:val="nil"/>
              <w:left w:val="nil"/>
              <w:bottom w:val="single" w:sz="4" w:space="0" w:color="auto"/>
              <w:right w:val="single" w:sz="4" w:space="0" w:color="auto"/>
            </w:tcBorders>
            <w:shd w:val="clear" w:color="000000" w:fill="BFBFBF"/>
            <w:noWrap/>
            <w:vAlign w:val="center"/>
            <w:hideMark/>
          </w:tcPr>
          <w:p w:rsidR="002C0FF2" w:rsidRPr="00882101" w:rsidRDefault="002C0FF2">
            <w:pPr>
              <w:jc w:val="right"/>
              <w:rPr>
                <w:b/>
                <w:bCs/>
                <w:color w:val="000000"/>
                <w:sz w:val="14"/>
                <w:szCs w:val="14"/>
              </w:rPr>
            </w:pPr>
            <w:r w:rsidRPr="00882101">
              <w:rPr>
                <w:b/>
                <w:bCs/>
                <w:color w:val="000000"/>
                <w:sz w:val="14"/>
                <w:szCs w:val="14"/>
              </w:rPr>
              <w:t>0,56</w:t>
            </w:r>
          </w:p>
        </w:tc>
      </w:tr>
      <w:tr w:rsidR="002C0FF2" w:rsidRPr="00882101" w:rsidTr="002C0FF2">
        <w:trPr>
          <w:trHeight w:val="285"/>
        </w:trPr>
        <w:tc>
          <w:tcPr>
            <w:tcW w:w="1458" w:type="pct"/>
            <w:tcBorders>
              <w:top w:val="nil"/>
              <w:left w:val="single" w:sz="4" w:space="0" w:color="auto"/>
              <w:bottom w:val="single" w:sz="4" w:space="0" w:color="auto"/>
              <w:right w:val="single" w:sz="4" w:space="0" w:color="auto"/>
            </w:tcBorders>
            <w:noWrap/>
            <w:vAlign w:val="center"/>
            <w:hideMark/>
          </w:tcPr>
          <w:p w:rsidR="002C0FF2" w:rsidRPr="00882101" w:rsidRDefault="002C0FF2">
            <w:pPr>
              <w:rPr>
                <w:color w:val="000000"/>
                <w:sz w:val="14"/>
                <w:szCs w:val="14"/>
              </w:rPr>
            </w:pPr>
            <w:r w:rsidRPr="00882101">
              <w:rPr>
                <w:color w:val="000000"/>
                <w:sz w:val="14"/>
                <w:szCs w:val="14"/>
              </w:rPr>
              <w:t>HDP (b. c.; v mil. eur)</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72 184,7</w:t>
            </w:r>
          </w:p>
        </w:tc>
        <w:tc>
          <w:tcPr>
            <w:tcW w:w="376"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73 593,2</w:t>
            </w:r>
          </w:p>
        </w:tc>
        <w:tc>
          <w:tcPr>
            <w:tcW w:w="435"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75 214,9</w:t>
            </w:r>
          </w:p>
        </w:tc>
        <w:tc>
          <w:tcPr>
            <w:tcW w:w="403"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77 916,0</w:t>
            </w:r>
          </w:p>
        </w:tc>
        <w:tc>
          <w:tcPr>
            <w:tcW w:w="441"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77 311,0</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81 261,9</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85 704,8</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90 575,1</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color w:val="000000"/>
                <w:sz w:val="14"/>
                <w:szCs w:val="14"/>
              </w:rPr>
            </w:pPr>
            <w:r w:rsidRPr="00882101">
              <w:rPr>
                <w:color w:val="000000"/>
                <w:sz w:val="14"/>
                <w:szCs w:val="14"/>
              </w:rPr>
              <w:t>3 345,9</w:t>
            </w:r>
          </w:p>
        </w:tc>
      </w:tr>
      <w:tr w:rsidR="002C0FF2" w:rsidRPr="00882101" w:rsidTr="002C0FF2">
        <w:trPr>
          <w:trHeight w:val="165"/>
        </w:trPr>
        <w:tc>
          <w:tcPr>
            <w:tcW w:w="1458" w:type="pct"/>
            <w:tcBorders>
              <w:top w:val="nil"/>
              <w:left w:val="nil"/>
              <w:bottom w:val="nil"/>
              <w:right w:val="nil"/>
            </w:tcBorders>
            <w:noWrap/>
            <w:vAlign w:val="bottom"/>
            <w:hideMark/>
          </w:tcPr>
          <w:p w:rsidR="002C0FF2" w:rsidRPr="00882101" w:rsidRDefault="002C0FF2">
            <w:pPr>
              <w:rPr>
                <w:color w:val="000000"/>
                <w:sz w:val="14"/>
                <w:szCs w:val="14"/>
              </w:rPr>
            </w:pPr>
          </w:p>
        </w:tc>
        <w:tc>
          <w:tcPr>
            <w:tcW w:w="376" w:type="pct"/>
            <w:tcBorders>
              <w:top w:val="nil"/>
              <w:left w:val="nil"/>
              <w:bottom w:val="nil"/>
              <w:right w:val="nil"/>
            </w:tcBorders>
            <w:noWrap/>
            <w:vAlign w:val="bottom"/>
            <w:hideMark/>
          </w:tcPr>
          <w:p w:rsidR="002C0FF2" w:rsidRPr="00882101" w:rsidRDefault="002C0FF2">
            <w:pPr>
              <w:rPr>
                <w:color w:val="000000"/>
                <w:sz w:val="14"/>
                <w:szCs w:val="14"/>
              </w:rPr>
            </w:pPr>
          </w:p>
        </w:tc>
        <w:tc>
          <w:tcPr>
            <w:tcW w:w="376" w:type="pct"/>
            <w:tcBorders>
              <w:top w:val="nil"/>
              <w:left w:val="nil"/>
              <w:bottom w:val="nil"/>
              <w:right w:val="nil"/>
            </w:tcBorders>
            <w:noWrap/>
            <w:vAlign w:val="bottom"/>
            <w:hideMark/>
          </w:tcPr>
          <w:p w:rsidR="002C0FF2" w:rsidRPr="00882101" w:rsidRDefault="002C0FF2">
            <w:pPr>
              <w:rPr>
                <w:color w:val="000000"/>
                <w:sz w:val="14"/>
                <w:szCs w:val="14"/>
              </w:rPr>
            </w:pPr>
          </w:p>
        </w:tc>
        <w:tc>
          <w:tcPr>
            <w:tcW w:w="435" w:type="pct"/>
            <w:tcBorders>
              <w:top w:val="nil"/>
              <w:left w:val="nil"/>
              <w:bottom w:val="nil"/>
              <w:right w:val="nil"/>
            </w:tcBorders>
            <w:noWrap/>
            <w:vAlign w:val="bottom"/>
            <w:hideMark/>
          </w:tcPr>
          <w:p w:rsidR="002C0FF2" w:rsidRPr="00882101" w:rsidRDefault="002C0FF2">
            <w:pPr>
              <w:rPr>
                <w:color w:val="000000"/>
                <w:sz w:val="14"/>
                <w:szCs w:val="14"/>
              </w:rPr>
            </w:pPr>
          </w:p>
        </w:tc>
        <w:tc>
          <w:tcPr>
            <w:tcW w:w="403" w:type="pct"/>
            <w:tcBorders>
              <w:top w:val="nil"/>
              <w:left w:val="nil"/>
              <w:bottom w:val="nil"/>
              <w:right w:val="nil"/>
            </w:tcBorders>
            <w:noWrap/>
            <w:vAlign w:val="bottom"/>
            <w:hideMark/>
          </w:tcPr>
          <w:p w:rsidR="002C0FF2" w:rsidRPr="00882101" w:rsidRDefault="002C0FF2">
            <w:pPr>
              <w:rPr>
                <w:color w:val="000000"/>
                <w:sz w:val="14"/>
                <w:szCs w:val="14"/>
              </w:rPr>
            </w:pPr>
          </w:p>
        </w:tc>
        <w:tc>
          <w:tcPr>
            <w:tcW w:w="441" w:type="pct"/>
            <w:tcBorders>
              <w:top w:val="nil"/>
              <w:left w:val="nil"/>
              <w:bottom w:val="nil"/>
              <w:right w:val="nil"/>
            </w:tcBorders>
            <w:noWrap/>
            <w:vAlign w:val="bottom"/>
            <w:hideMark/>
          </w:tcPr>
          <w:p w:rsidR="002C0FF2" w:rsidRPr="00882101" w:rsidRDefault="002C0FF2">
            <w:pPr>
              <w:rPr>
                <w:color w:val="000000"/>
                <w:sz w:val="14"/>
                <w:szCs w:val="14"/>
              </w:rPr>
            </w:pPr>
          </w:p>
        </w:tc>
        <w:tc>
          <w:tcPr>
            <w:tcW w:w="378" w:type="pct"/>
            <w:tcBorders>
              <w:top w:val="nil"/>
              <w:left w:val="nil"/>
              <w:bottom w:val="nil"/>
              <w:right w:val="nil"/>
            </w:tcBorders>
            <w:noWrap/>
            <w:vAlign w:val="bottom"/>
            <w:hideMark/>
          </w:tcPr>
          <w:p w:rsidR="002C0FF2" w:rsidRPr="00882101" w:rsidRDefault="002C0FF2">
            <w:pPr>
              <w:rPr>
                <w:color w:val="000000"/>
                <w:sz w:val="14"/>
                <w:szCs w:val="14"/>
              </w:rPr>
            </w:pPr>
          </w:p>
        </w:tc>
        <w:tc>
          <w:tcPr>
            <w:tcW w:w="378" w:type="pct"/>
            <w:tcBorders>
              <w:top w:val="nil"/>
              <w:left w:val="nil"/>
              <w:bottom w:val="nil"/>
              <w:right w:val="nil"/>
            </w:tcBorders>
            <w:noWrap/>
            <w:vAlign w:val="bottom"/>
            <w:hideMark/>
          </w:tcPr>
          <w:p w:rsidR="002C0FF2" w:rsidRPr="00882101" w:rsidRDefault="002C0FF2">
            <w:pPr>
              <w:rPr>
                <w:color w:val="000000"/>
                <w:sz w:val="14"/>
                <w:szCs w:val="14"/>
              </w:rPr>
            </w:pPr>
          </w:p>
        </w:tc>
        <w:tc>
          <w:tcPr>
            <w:tcW w:w="378" w:type="pct"/>
            <w:tcBorders>
              <w:top w:val="nil"/>
              <w:left w:val="nil"/>
              <w:bottom w:val="nil"/>
              <w:right w:val="nil"/>
            </w:tcBorders>
            <w:noWrap/>
            <w:vAlign w:val="bottom"/>
            <w:hideMark/>
          </w:tcPr>
          <w:p w:rsidR="002C0FF2" w:rsidRPr="00882101" w:rsidRDefault="002C0FF2">
            <w:pPr>
              <w:rPr>
                <w:color w:val="000000"/>
                <w:sz w:val="14"/>
                <w:szCs w:val="14"/>
              </w:rPr>
            </w:pPr>
          </w:p>
        </w:tc>
        <w:tc>
          <w:tcPr>
            <w:tcW w:w="378" w:type="pct"/>
            <w:tcBorders>
              <w:top w:val="nil"/>
              <w:left w:val="nil"/>
              <w:bottom w:val="nil"/>
              <w:right w:val="nil"/>
            </w:tcBorders>
            <w:noWrap/>
            <w:vAlign w:val="bottom"/>
            <w:hideMark/>
          </w:tcPr>
          <w:p w:rsidR="002C0FF2" w:rsidRPr="00882101" w:rsidRDefault="002C0FF2">
            <w:pPr>
              <w:rPr>
                <w:color w:val="000000"/>
                <w:sz w:val="14"/>
                <w:szCs w:val="14"/>
              </w:rPr>
            </w:pPr>
          </w:p>
        </w:tc>
      </w:tr>
      <w:tr w:rsidR="002C0FF2" w:rsidRPr="00882101" w:rsidTr="002C0FF2">
        <w:trPr>
          <w:trHeight w:val="285"/>
        </w:trPr>
        <w:tc>
          <w:tcPr>
            <w:tcW w:w="3047" w:type="pct"/>
            <w:gridSpan w:val="5"/>
            <w:tcBorders>
              <w:top w:val="single" w:sz="4" w:space="0" w:color="auto"/>
              <w:left w:val="single" w:sz="4" w:space="0" w:color="auto"/>
              <w:bottom w:val="single" w:sz="4" w:space="0" w:color="auto"/>
              <w:right w:val="single" w:sz="4" w:space="0" w:color="000000"/>
            </w:tcBorders>
            <w:noWrap/>
            <w:vAlign w:val="center"/>
            <w:hideMark/>
          </w:tcPr>
          <w:p w:rsidR="002C0FF2" w:rsidRPr="00882101" w:rsidRDefault="002C0FF2">
            <w:pPr>
              <w:rPr>
                <w:b/>
                <w:bCs/>
                <w:color w:val="000000"/>
                <w:sz w:val="14"/>
                <w:szCs w:val="14"/>
              </w:rPr>
            </w:pPr>
            <w:r w:rsidRPr="00882101">
              <w:rPr>
                <w:b/>
                <w:bCs/>
                <w:color w:val="000000"/>
                <w:sz w:val="14"/>
                <w:szCs w:val="14"/>
              </w:rPr>
              <w:t>Cielený schodok rozpočtu VS (v % na HDP)</w:t>
            </w:r>
          </w:p>
        </w:tc>
        <w:tc>
          <w:tcPr>
            <w:tcW w:w="441" w:type="pct"/>
            <w:tcBorders>
              <w:top w:val="single" w:sz="4" w:space="0" w:color="auto"/>
              <w:left w:val="nil"/>
              <w:bottom w:val="single" w:sz="4" w:space="0" w:color="auto"/>
              <w:right w:val="single" w:sz="4" w:space="0" w:color="auto"/>
            </w:tcBorders>
            <w:noWrap/>
            <w:vAlign w:val="center"/>
            <w:hideMark/>
          </w:tcPr>
          <w:p w:rsidR="002C0FF2" w:rsidRPr="00882101" w:rsidRDefault="002C0FF2">
            <w:pPr>
              <w:jc w:val="right"/>
              <w:rPr>
                <w:b/>
                <w:bCs/>
                <w:color w:val="000000"/>
                <w:sz w:val="14"/>
                <w:szCs w:val="14"/>
              </w:rPr>
            </w:pPr>
            <w:r w:rsidRPr="00882101">
              <w:rPr>
                <w:b/>
                <w:bCs/>
                <w:color w:val="000000"/>
                <w:sz w:val="14"/>
                <w:szCs w:val="14"/>
              </w:rPr>
              <w:t>-2,49</w:t>
            </w:r>
          </w:p>
        </w:tc>
        <w:tc>
          <w:tcPr>
            <w:tcW w:w="378" w:type="pct"/>
            <w:tcBorders>
              <w:top w:val="single" w:sz="4" w:space="0" w:color="auto"/>
              <w:left w:val="nil"/>
              <w:bottom w:val="single" w:sz="4" w:space="0" w:color="auto"/>
              <w:right w:val="single" w:sz="4" w:space="0" w:color="auto"/>
            </w:tcBorders>
            <w:noWrap/>
            <w:vAlign w:val="center"/>
            <w:hideMark/>
          </w:tcPr>
          <w:p w:rsidR="002C0FF2" w:rsidRPr="00882101" w:rsidRDefault="002C0FF2">
            <w:pPr>
              <w:jc w:val="right"/>
              <w:rPr>
                <w:b/>
                <w:bCs/>
                <w:color w:val="000000"/>
                <w:sz w:val="14"/>
                <w:szCs w:val="14"/>
              </w:rPr>
            </w:pPr>
            <w:r w:rsidRPr="00882101">
              <w:rPr>
                <w:b/>
                <w:bCs/>
                <w:color w:val="000000"/>
                <w:sz w:val="14"/>
                <w:szCs w:val="14"/>
              </w:rPr>
              <w:t>-1,93</w:t>
            </w:r>
          </w:p>
        </w:tc>
        <w:tc>
          <w:tcPr>
            <w:tcW w:w="378" w:type="pct"/>
            <w:tcBorders>
              <w:top w:val="single" w:sz="4" w:space="0" w:color="auto"/>
              <w:left w:val="nil"/>
              <w:bottom w:val="single" w:sz="4" w:space="0" w:color="auto"/>
              <w:right w:val="single" w:sz="4" w:space="0" w:color="auto"/>
            </w:tcBorders>
            <w:noWrap/>
            <w:vAlign w:val="center"/>
            <w:hideMark/>
          </w:tcPr>
          <w:p w:rsidR="002C0FF2" w:rsidRPr="00882101" w:rsidRDefault="002C0FF2">
            <w:pPr>
              <w:jc w:val="right"/>
              <w:rPr>
                <w:b/>
                <w:bCs/>
                <w:color w:val="000000"/>
                <w:sz w:val="14"/>
                <w:szCs w:val="14"/>
              </w:rPr>
            </w:pPr>
            <w:r w:rsidRPr="00882101">
              <w:rPr>
                <w:b/>
                <w:bCs/>
                <w:color w:val="000000"/>
                <w:sz w:val="14"/>
                <w:szCs w:val="14"/>
              </w:rPr>
              <w:t>-0,88</w:t>
            </w:r>
          </w:p>
        </w:tc>
        <w:tc>
          <w:tcPr>
            <w:tcW w:w="378" w:type="pct"/>
            <w:tcBorders>
              <w:top w:val="single" w:sz="4" w:space="0" w:color="auto"/>
              <w:left w:val="nil"/>
              <w:bottom w:val="single" w:sz="4" w:space="0" w:color="auto"/>
              <w:right w:val="single" w:sz="4" w:space="0" w:color="auto"/>
            </w:tcBorders>
            <w:noWrap/>
            <w:vAlign w:val="center"/>
            <w:hideMark/>
          </w:tcPr>
          <w:p w:rsidR="002C0FF2" w:rsidRPr="00882101" w:rsidRDefault="002C0FF2">
            <w:pPr>
              <w:jc w:val="right"/>
              <w:rPr>
                <w:b/>
                <w:bCs/>
                <w:color w:val="000000"/>
                <w:sz w:val="14"/>
                <w:szCs w:val="14"/>
              </w:rPr>
            </w:pPr>
            <w:r w:rsidRPr="00882101">
              <w:rPr>
                <w:b/>
                <w:bCs/>
                <w:color w:val="000000"/>
                <w:sz w:val="14"/>
                <w:szCs w:val="14"/>
              </w:rPr>
              <w:t>-0,53</w:t>
            </w:r>
          </w:p>
        </w:tc>
        <w:tc>
          <w:tcPr>
            <w:tcW w:w="378" w:type="pct"/>
            <w:tcBorders>
              <w:top w:val="nil"/>
              <w:left w:val="nil"/>
              <w:bottom w:val="nil"/>
              <w:right w:val="nil"/>
            </w:tcBorders>
            <w:noWrap/>
            <w:vAlign w:val="center"/>
            <w:hideMark/>
          </w:tcPr>
          <w:p w:rsidR="002C0FF2" w:rsidRPr="00882101" w:rsidRDefault="002C0FF2">
            <w:pPr>
              <w:rPr>
                <w:color w:val="000000"/>
                <w:sz w:val="14"/>
                <w:szCs w:val="14"/>
              </w:rPr>
            </w:pPr>
          </w:p>
        </w:tc>
      </w:tr>
      <w:tr w:rsidR="002C0FF2" w:rsidRPr="00882101" w:rsidTr="002C0FF2">
        <w:trPr>
          <w:trHeight w:val="285"/>
        </w:trPr>
        <w:tc>
          <w:tcPr>
            <w:tcW w:w="3047" w:type="pct"/>
            <w:gridSpan w:val="5"/>
            <w:tcBorders>
              <w:top w:val="single" w:sz="4" w:space="0" w:color="auto"/>
              <w:left w:val="single" w:sz="4" w:space="0" w:color="auto"/>
              <w:bottom w:val="single" w:sz="4" w:space="0" w:color="auto"/>
              <w:right w:val="single" w:sz="4" w:space="0" w:color="000000"/>
            </w:tcBorders>
            <w:noWrap/>
            <w:vAlign w:val="center"/>
            <w:hideMark/>
          </w:tcPr>
          <w:p w:rsidR="002C0FF2" w:rsidRPr="00882101" w:rsidRDefault="002C0FF2">
            <w:pPr>
              <w:rPr>
                <w:b/>
                <w:bCs/>
                <w:color w:val="000000"/>
                <w:sz w:val="14"/>
                <w:szCs w:val="14"/>
              </w:rPr>
            </w:pPr>
            <w:r w:rsidRPr="00882101">
              <w:rPr>
                <w:b/>
                <w:bCs/>
                <w:color w:val="000000"/>
                <w:sz w:val="14"/>
                <w:szCs w:val="14"/>
              </w:rPr>
              <w:t>Potreba opatrení na zabezpečenie cieleného schodku RVS (v mil. eur)</w:t>
            </w:r>
          </w:p>
        </w:tc>
        <w:tc>
          <w:tcPr>
            <w:tcW w:w="441" w:type="pct"/>
            <w:tcBorders>
              <w:top w:val="nil"/>
              <w:left w:val="nil"/>
              <w:bottom w:val="single" w:sz="4" w:space="0" w:color="auto"/>
              <w:right w:val="single" w:sz="4" w:space="0" w:color="auto"/>
            </w:tcBorders>
            <w:noWrap/>
            <w:vAlign w:val="center"/>
            <w:hideMark/>
          </w:tcPr>
          <w:p w:rsidR="002C0FF2" w:rsidRPr="00882101" w:rsidRDefault="002C0FF2">
            <w:pPr>
              <w:jc w:val="right"/>
              <w:rPr>
                <w:b/>
                <w:bCs/>
                <w:color w:val="000000"/>
                <w:sz w:val="14"/>
                <w:szCs w:val="14"/>
              </w:rPr>
            </w:pPr>
            <w:r w:rsidRPr="00882101">
              <w:rPr>
                <w:b/>
                <w:bCs/>
                <w:color w:val="000000"/>
                <w:sz w:val="14"/>
                <w:szCs w:val="14"/>
              </w:rPr>
              <w:t>43,6</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b/>
                <w:bCs/>
                <w:color w:val="000000"/>
                <w:sz w:val="14"/>
                <w:szCs w:val="14"/>
              </w:rPr>
            </w:pPr>
            <w:r w:rsidRPr="00882101">
              <w:rPr>
                <w:b/>
                <w:bCs/>
                <w:color w:val="000000"/>
                <w:sz w:val="14"/>
                <w:szCs w:val="14"/>
              </w:rPr>
              <w:t>0,0</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b/>
                <w:bCs/>
                <w:color w:val="000000"/>
                <w:sz w:val="14"/>
                <w:szCs w:val="14"/>
              </w:rPr>
            </w:pPr>
            <w:r w:rsidRPr="00882101">
              <w:rPr>
                <w:b/>
                <w:bCs/>
                <w:color w:val="000000"/>
                <w:sz w:val="14"/>
                <w:szCs w:val="14"/>
              </w:rPr>
              <w:t>426,9</w:t>
            </w:r>
          </w:p>
        </w:tc>
        <w:tc>
          <w:tcPr>
            <w:tcW w:w="378" w:type="pct"/>
            <w:tcBorders>
              <w:top w:val="nil"/>
              <w:left w:val="nil"/>
              <w:bottom w:val="single" w:sz="4" w:space="0" w:color="auto"/>
              <w:right w:val="single" w:sz="4" w:space="0" w:color="auto"/>
            </w:tcBorders>
            <w:noWrap/>
            <w:vAlign w:val="center"/>
            <w:hideMark/>
          </w:tcPr>
          <w:p w:rsidR="002C0FF2" w:rsidRPr="00882101" w:rsidRDefault="002C0FF2">
            <w:pPr>
              <w:jc w:val="right"/>
              <w:rPr>
                <w:b/>
                <w:bCs/>
                <w:color w:val="000000"/>
                <w:sz w:val="14"/>
                <w:szCs w:val="14"/>
              </w:rPr>
            </w:pPr>
            <w:r w:rsidRPr="00882101">
              <w:rPr>
                <w:b/>
                <w:bCs/>
                <w:color w:val="000000"/>
                <w:sz w:val="14"/>
                <w:szCs w:val="14"/>
              </w:rPr>
              <w:t>435,7</w:t>
            </w:r>
          </w:p>
        </w:tc>
        <w:tc>
          <w:tcPr>
            <w:tcW w:w="378" w:type="pct"/>
            <w:tcBorders>
              <w:top w:val="nil"/>
              <w:left w:val="nil"/>
              <w:bottom w:val="nil"/>
              <w:right w:val="nil"/>
            </w:tcBorders>
            <w:noWrap/>
            <w:vAlign w:val="center"/>
            <w:hideMark/>
          </w:tcPr>
          <w:p w:rsidR="002C0FF2" w:rsidRPr="00882101" w:rsidRDefault="002C0FF2">
            <w:pPr>
              <w:rPr>
                <w:color w:val="000000"/>
                <w:sz w:val="14"/>
                <w:szCs w:val="14"/>
              </w:rPr>
            </w:pPr>
          </w:p>
        </w:tc>
      </w:tr>
    </w:tbl>
    <w:p w:rsidR="00360F4E" w:rsidRPr="006305FD" w:rsidRDefault="00360F4E" w:rsidP="00C122B6">
      <w:pPr>
        <w:autoSpaceDE w:val="0"/>
        <w:autoSpaceDN w:val="0"/>
        <w:adjustRightInd w:val="0"/>
        <w:jc w:val="both"/>
        <w:rPr>
          <w:i/>
          <w:sz w:val="14"/>
          <w:szCs w:val="16"/>
        </w:rPr>
      </w:pPr>
      <w:r w:rsidRPr="006305FD">
        <w:rPr>
          <w:i/>
          <w:sz w:val="14"/>
          <w:szCs w:val="16"/>
        </w:rPr>
        <w:t>Pozn.:  V stĺpci „rozdiel“ údaj so znamienkom mínus, resp. plus znamená zhoršenie, resp.</w:t>
      </w:r>
      <w:r w:rsidRPr="006305FD">
        <w:rPr>
          <w:i/>
          <w:sz w:val="22"/>
        </w:rPr>
        <w:t xml:space="preserve"> </w:t>
      </w:r>
      <w:r w:rsidRPr="006305FD">
        <w:rPr>
          <w:i/>
          <w:sz w:val="14"/>
          <w:szCs w:val="16"/>
        </w:rPr>
        <w:t>zlepšenie bilancie.</w:t>
      </w:r>
    </w:p>
    <w:p w:rsidR="00360F4E" w:rsidRDefault="00360F4E" w:rsidP="00D46CF0">
      <w:pPr>
        <w:autoSpaceDE w:val="0"/>
        <w:autoSpaceDN w:val="0"/>
        <w:adjustRightInd w:val="0"/>
        <w:ind w:firstLine="708"/>
        <w:jc w:val="both"/>
      </w:pPr>
      <w:r w:rsidRPr="004A6C6F">
        <w:lastRenderedPageBreak/>
        <w:t>Na rokovanie vlády SR bude do 15. augusta predložený Návrh rozpočtu verejnej správy na roky 201</w:t>
      </w:r>
      <w:r>
        <w:t>6</w:t>
      </w:r>
      <w:r w:rsidRPr="004A6C6F">
        <w:t xml:space="preserve"> až 201</w:t>
      </w:r>
      <w:r>
        <w:t>8</w:t>
      </w:r>
      <w:r w:rsidRPr="004A6C6F">
        <w:t xml:space="preserve">, ktorý bude zohľadňovať júnovú prognózu vývoja ekonomiky a daňových a odvodových príjmov. </w:t>
      </w:r>
      <w:r>
        <w:t xml:space="preserve">V rámci prípravy </w:t>
      </w:r>
      <w:r w:rsidRPr="004A6C6F">
        <w:t>návrhu rozpočtu budú ešte prebiehať podrobné rokovania a diskusie s prísluš</w:t>
      </w:r>
      <w:r>
        <w:t xml:space="preserve">nými subjektmi verejnej správy. </w:t>
      </w:r>
    </w:p>
    <w:p w:rsidR="00360F4E" w:rsidRDefault="00360F4E" w:rsidP="00360F4E">
      <w:pPr>
        <w:ind w:firstLine="708"/>
        <w:jc w:val="both"/>
      </w:pPr>
    </w:p>
    <w:p w:rsidR="001856D6" w:rsidRDefault="001856D6" w:rsidP="007F3DA3">
      <w:pPr>
        <w:ind w:firstLine="708"/>
        <w:jc w:val="both"/>
      </w:pPr>
    </w:p>
    <w:p w:rsidR="00F934AF" w:rsidRPr="007E7CFA" w:rsidRDefault="00F934AF" w:rsidP="008E7A19">
      <w:pPr>
        <w:pStyle w:val="Nadpis1"/>
        <w:numPr>
          <w:ilvl w:val="0"/>
          <w:numId w:val="24"/>
        </w:numPr>
        <w:spacing w:before="0" w:after="0"/>
        <w:rPr>
          <w:rFonts w:ascii="Times New Roman" w:hAnsi="Times New Roman"/>
          <w:sz w:val="24"/>
          <w:szCs w:val="24"/>
        </w:rPr>
      </w:pPr>
      <w:r w:rsidRPr="007E7CFA">
        <w:rPr>
          <w:rFonts w:ascii="Times New Roman" w:hAnsi="Times New Roman"/>
          <w:sz w:val="24"/>
          <w:szCs w:val="24"/>
        </w:rPr>
        <w:t>Daňové a odvodové príjmy</w:t>
      </w:r>
    </w:p>
    <w:p w:rsidR="00C42E7C" w:rsidRDefault="00C42E7C" w:rsidP="00C42E7C">
      <w:pPr>
        <w:ind w:firstLine="708"/>
        <w:jc w:val="both"/>
        <w:rPr>
          <w:bCs/>
        </w:rPr>
      </w:pPr>
    </w:p>
    <w:p w:rsidR="007E7CFA" w:rsidRPr="002F2D02" w:rsidRDefault="007E7CFA" w:rsidP="007E7CFA">
      <w:pPr>
        <w:ind w:firstLine="708"/>
        <w:jc w:val="both"/>
        <w:rPr>
          <w:bCs/>
          <w:highlight w:val="yellow"/>
        </w:rPr>
      </w:pPr>
      <w:r w:rsidRPr="004250F5">
        <w:rPr>
          <w:bCs/>
        </w:rPr>
        <w:t>Makroekonomické predpoklady uvedené v prvej časti tohto dokumentu boli základom pre vypracovanie aktuálnych prognóz daňových a odvodových príj</w:t>
      </w:r>
      <w:r>
        <w:rPr>
          <w:bCs/>
        </w:rPr>
        <w:t>mov verejnej správy na roky 2015</w:t>
      </w:r>
      <w:r w:rsidRPr="004250F5">
        <w:rPr>
          <w:bCs/>
        </w:rPr>
        <w:t xml:space="preserve"> až 201</w:t>
      </w:r>
      <w:r>
        <w:rPr>
          <w:bCs/>
        </w:rPr>
        <w:t xml:space="preserve">8. </w:t>
      </w:r>
      <w:r w:rsidRPr="002F2D02">
        <w:rPr>
          <w:bCs/>
        </w:rPr>
        <w:t xml:space="preserve">Prognóza daní a odvodov </w:t>
      </w:r>
      <w:r w:rsidRPr="004250F5">
        <w:rPr>
          <w:bCs/>
        </w:rPr>
        <w:t xml:space="preserve">bola podrobená hodnoteniu v rámci výboru pre daňové prognózy dňa </w:t>
      </w:r>
      <w:r>
        <w:rPr>
          <w:bCs/>
        </w:rPr>
        <w:t>10</w:t>
      </w:r>
      <w:r w:rsidRPr="004250F5">
        <w:rPr>
          <w:bCs/>
        </w:rPr>
        <w:t>. februára 201</w:t>
      </w:r>
      <w:r>
        <w:rPr>
          <w:bCs/>
        </w:rPr>
        <w:t>5</w:t>
      </w:r>
      <w:r w:rsidRPr="004250F5">
        <w:rPr>
          <w:bCs/>
        </w:rPr>
        <w:t xml:space="preserve">. </w:t>
      </w:r>
      <w:r w:rsidRPr="00F868F0">
        <w:rPr>
          <w:bCs/>
        </w:rPr>
        <w:t>Strednodobá prognóza daňových príjmov a príjmov sociálneho a zdravotného poistenia MF SR b</w:t>
      </w:r>
      <w:r w:rsidR="00105734">
        <w:rPr>
          <w:bCs/>
        </w:rPr>
        <w:t>ola členmi výboru (KRRZ, NBS, SL</w:t>
      </w:r>
      <w:r w:rsidRPr="00F868F0">
        <w:rPr>
          <w:bCs/>
        </w:rPr>
        <w:t>SP, ČSOB, UniCredit</w:t>
      </w:r>
      <w:r w:rsidR="00105734">
        <w:rPr>
          <w:bCs/>
        </w:rPr>
        <w:t xml:space="preserve"> </w:t>
      </w:r>
      <w:r w:rsidRPr="00F868F0">
        <w:rPr>
          <w:bCs/>
        </w:rPr>
        <w:t>Bank a Tatrabanka) označená ako realistická, s výnimkou Infostatu, ktorý označil prognózu ako optimistickú.</w:t>
      </w:r>
      <w:r>
        <w:rPr>
          <w:bCs/>
        </w:rPr>
        <w:t xml:space="preserve"> </w:t>
      </w:r>
      <w:r w:rsidRPr="002F2D02">
        <w:rPr>
          <w:bCs/>
        </w:rPr>
        <w:t>Aktuálny odhad navyše obsahuje aj úpravu daní o predpokladané notifikované údaje v rokoch 2013 a 2014.</w:t>
      </w:r>
    </w:p>
    <w:p w:rsidR="007E7CFA" w:rsidRPr="00F868F0" w:rsidRDefault="007E7CFA" w:rsidP="007E7CFA">
      <w:pPr>
        <w:ind w:firstLine="708"/>
        <w:jc w:val="both"/>
        <w:rPr>
          <w:bCs/>
          <w:highlight w:val="yellow"/>
        </w:rPr>
      </w:pPr>
    </w:p>
    <w:p w:rsidR="007E7CFA" w:rsidRPr="00CA4EC4" w:rsidRDefault="007E7CFA" w:rsidP="007E7CFA">
      <w:pPr>
        <w:ind w:firstLine="708"/>
        <w:jc w:val="both"/>
        <w:rPr>
          <w:bCs/>
        </w:rPr>
      </w:pPr>
      <w:r w:rsidRPr="00F868F0">
        <w:rPr>
          <w:bCs/>
        </w:rPr>
        <w:t>Prognóza jednotlivých daní na nasledujúce roky je ovplyvnená</w:t>
      </w:r>
      <w:r>
        <w:rPr>
          <w:bCs/>
        </w:rPr>
        <w:t xml:space="preserve"> najmä m</w:t>
      </w:r>
      <w:r w:rsidRPr="00CA4EC4">
        <w:rPr>
          <w:bCs/>
        </w:rPr>
        <w:t>akroekonomický</w:t>
      </w:r>
      <w:r>
        <w:rPr>
          <w:bCs/>
        </w:rPr>
        <w:t>m</w:t>
      </w:r>
      <w:r w:rsidRPr="00CA4EC4">
        <w:rPr>
          <w:bCs/>
        </w:rPr>
        <w:t xml:space="preserve"> vývoj</w:t>
      </w:r>
      <w:r>
        <w:rPr>
          <w:bCs/>
        </w:rPr>
        <w:t>om, ktorý</w:t>
      </w:r>
      <w:r w:rsidRPr="00CA4EC4">
        <w:rPr>
          <w:bCs/>
        </w:rPr>
        <w:t xml:space="preserve"> bude v najbližších rokoch z pohľadu daňových príjmov menej priaznivý, s kulmináciou v roku 2016. Vyšší reálny ekonomický rast a väčšia kúpyschopnosť vďaka vyššej reálnej mzde majú na daňové príjmy pozitívny vplyv. Nad ním ale prevažuje vplyv nízkej inflácie, znižujúcej nominálne základne, z ktorých sa platí väčšina daní. Na výnos DPH majú negatívny vplyv aj nižšie vládne výdavky. </w:t>
      </w:r>
      <w:r>
        <w:rPr>
          <w:bCs/>
        </w:rPr>
        <w:t>Z</w:t>
      </w:r>
      <w:r w:rsidRPr="000F74FA">
        <w:rPr>
          <w:bCs/>
        </w:rPr>
        <w:t>lepšovanie úspešnosti výberu</w:t>
      </w:r>
      <w:r>
        <w:rPr>
          <w:bCs/>
        </w:rPr>
        <w:t xml:space="preserve"> </w:t>
      </w:r>
      <w:r w:rsidRPr="000F74FA">
        <w:rPr>
          <w:bCs/>
        </w:rPr>
        <w:t>DPH</w:t>
      </w:r>
      <w:r>
        <w:rPr>
          <w:bCs/>
        </w:rPr>
        <w:t xml:space="preserve"> a vyššia ziskovosť firiem kompenzuje negatívny vplyv makroekonomickej prognózy.</w:t>
      </w:r>
    </w:p>
    <w:p w:rsidR="007E7CFA" w:rsidRPr="00CA4EC4" w:rsidRDefault="007E7CFA" w:rsidP="007E7CFA">
      <w:pPr>
        <w:jc w:val="both"/>
        <w:rPr>
          <w:bCs/>
        </w:rPr>
      </w:pPr>
    </w:p>
    <w:p w:rsidR="007E7CFA" w:rsidRPr="00F868F0" w:rsidRDefault="007E7CFA" w:rsidP="007E7CFA">
      <w:pPr>
        <w:ind w:firstLine="708"/>
        <w:jc w:val="both"/>
      </w:pPr>
      <w:r w:rsidRPr="00F868F0">
        <w:rPr>
          <w:bCs/>
        </w:rPr>
        <w:t>Daňové a odvodové príjmy na akruálnej báze</w:t>
      </w:r>
      <w:r w:rsidRPr="00F868F0">
        <w:t xml:space="preserve"> (metodika ESA</w:t>
      </w:r>
      <w:r w:rsidR="00C74298">
        <w:t xml:space="preserve"> </w:t>
      </w:r>
      <w:r w:rsidRPr="00F868F0">
        <w:t xml:space="preserve">2010) </w:t>
      </w:r>
      <w:r w:rsidRPr="00F868F0">
        <w:rPr>
          <w:bCs/>
        </w:rPr>
        <w:t>bez sankcií</w:t>
      </w:r>
      <w:r w:rsidRPr="00F868F0">
        <w:t xml:space="preserve"> sú prezentované v nasledovnej tabuľke.</w:t>
      </w:r>
    </w:p>
    <w:p w:rsidR="007E7CFA" w:rsidRPr="00F868F0" w:rsidRDefault="007E7CFA" w:rsidP="007E7CFA">
      <w:pPr>
        <w:ind w:firstLine="708"/>
        <w:jc w:val="both"/>
        <w:rPr>
          <w:rFonts w:ascii="Arial Narrow" w:hAnsi="Arial Narrow" w:cs="Arial Narrow"/>
          <w:sz w:val="22"/>
          <w:szCs w:val="22"/>
          <w:highlight w:val="yellow"/>
        </w:rPr>
      </w:pPr>
    </w:p>
    <w:tbl>
      <w:tblPr>
        <w:tblW w:w="5000" w:type="pct"/>
        <w:jc w:val="center"/>
        <w:tblCellMar>
          <w:left w:w="70" w:type="dxa"/>
          <w:right w:w="70" w:type="dxa"/>
        </w:tblCellMar>
        <w:tblLook w:val="04A0" w:firstRow="1" w:lastRow="0" w:firstColumn="1" w:lastColumn="0" w:noHBand="0" w:noVBand="1"/>
      </w:tblPr>
      <w:tblGrid>
        <w:gridCol w:w="3986"/>
        <w:gridCol w:w="926"/>
        <w:gridCol w:w="860"/>
        <w:gridCol w:w="860"/>
        <w:gridCol w:w="860"/>
        <w:gridCol w:w="860"/>
        <w:gridCol w:w="860"/>
      </w:tblGrid>
      <w:tr w:rsidR="007E7CFA" w:rsidRPr="007E7CFA" w:rsidTr="007E7CFA">
        <w:trPr>
          <w:trHeight w:val="255"/>
          <w:jc w:val="center"/>
        </w:trPr>
        <w:tc>
          <w:tcPr>
            <w:tcW w:w="2240" w:type="pct"/>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7E7CFA">
            <w:pPr>
              <w:rPr>
                <w:b/>
                <w:sz w:val="16"/>
                <w:szCs w:val="16"/>
              </w:rPr>
            </w:pPr>
            <w:r>
              <w:rPr>
                <w:b/>
                <w:sz w:val="16"/>
                <w:szCs w:val="16"/>
              </w:rPr>
              <w:t xml:space="preserve">(v tis. eur, </w:t>
            </w:r>
            <w:r w:rsidRPr="007E7CFA">
              <w:rPr>
                <w:b/>
                <w:sz w:val="16"/>
                <w:szCs w:val="16"/>
              </w:rPr>
              <w:t>ESA 2010</w:t>
            </w:r>
            <w:r>
              <w:rPr>
                <w:b/>
                <w:sz w:val="16"/>
                <w:szCs w:val="16"/>
              </w:rPr>
              <w:t>)</w:t>
            </w:r>
          </w:p>
        </w:tc>
        <w:tc>
          <w:tcPr>
            <w:tcW w:w="489"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Skutočnosť</w:t>
            </w:r>
          </w:p>
        </w:tc>
        <w:tc>
          <w:tcPr>
            <w:tcW w:w="454"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Odhad</w:t>
            </w:r>
          </w:p>
        </w:tc>
        <w:tc>
          <w:tcPr>
            <w:tcW w:w="1817" w:type="pct"/>
            <w:gridSpan w:val="4"/>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Prognóza</w:t>
            </w:r>
          </w:p>
        </w:tc>
      </w:tr>
      <w:tr w:rsidR="007E7CFA" w:rsidRPr="007E7CFA" w:rsidTr="007E7CFA">
        <w:trPr>
          <w:trHeight w:val="255"/>
          <w:jc w:val="center"/>
        </w:trPr>
        <w:tc>
          <w:tcPr>
            <w:tcW w:w="2240" w:type="pct"/>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7E7CFA" w:rsidRPr="007E7CFA" w:rsidRDefault="007E7CFA" w:rsidP="00FF21E4">
            <w:pPr>
              <w:rPr>
                <w:b/>
                <w:sz w:val="16"/>
                <w:szCs w:val="16"/>
              </w:rPr>
            </w:pPr>
          </w:p>
        </w:tc>
        <w:tc>
          <w:tcPr>
            <w:tcW w:w="489" w:type="pct"/>
            <w:tcBorders>
              <w:top w:val="nil"/>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2013</w:t>
            </w:r>
          </w:p>
        </w:tc>
        <w:tc>
          <w:tcPr>
            <w:tcW w:w="454" w:type="pct"/>
            <w:tcBorders>
              <w:top w:val="nil"/>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2014</w:t>
            </w:r>
          </w:p>
        </w:tc>
        <w:tc>
          <w:tcPr>
            <w:tcW w:w="454" w:type="pct"/>
            <w:tcBorders>
              <w:top w:val="nil"/>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2015</w:t>
            </w:r>
          </w:p>
        </w:tc>
        <w:tc>
          <w:tcPr>
            <w:tcW w:w="454" w:type="pct"/>
            <w:tcBorders>
              <w:top w:val="nil"/>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2016</w:t>
            </w:r>
          </w:p>
        </w:tc>
        <w:tc>
          <w:tcPr>
            <w:tcW w:w="454" w:type="pct"/>
            <w:tcBorders>
              <w:top w:val="nil"/>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2017</w:t>
            </w:r>
          </w:p>
        </w:tc>
        <w:tc>
          <w:tcPr>
            <w:tcW w:w="454" w:type="pct"/>
            <w:tcBorders>
              <w:top w:val="nil"/>
              <w:left w:val="nil"/>
              <w:bottom w:val="single" w:sz="4" w:space="0" w:color="auto"/>
              <w:right w:val="single" w:sz="4" w:space="0" w:color="auto"/>
            </w:tcBorders>
            <w:shd w:val="clear" w:color="auto" w:fill="A6A6A6" w:themeFill="background1" w:themeFillShade="A6"/>
            <w:noWrap/>
            <w:vAlign w:val="center"/>
            <w:hideMark/>
          </w:tcPr>
          <w:p w:rsidR="007E7CFA" w:rsidRPr="007E7CFA" w:rsidRDefault="007E7CFA" w:rsidP="00FF21E4">
            <w:pPr>
              <w:jc w:val="center"/>
              <w:rPr>
                <w:b/>
                <w:bCs/>
                <w:color w:val="000000"/>
                <w:sz w:val="16"/>
                <w:szCs w:val="16"/>
              </w:rPr>
            </w:pPr>
            <w:r w:rsidRPr="007E7CFA">
              <w:rPr>
                <w:b/>
                <w:bCs/>
                <w:color w:val="000000"/>
                <w:sz w:val="16"/>
                <w:szCs w:val="16"/>
              </w:rPr>
              <w:t>2018</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100" w:firstLine="161"/>
              <w:jc w:val="both"/>
              <w:rPr>
                <w:b/>
                <w:bCs/>
                <w:color w:val="000000"/>
                <w:sz w:val="16"/>
                <w:szCs w:val="16"/>
              </w:rPr>
            </w:pPr>
            <w:r w:rsidRPr="007E7CFA">
              <w:rPr>
                <w:b/>
                <w:bCs/>
                <w:color w:val="000000"/>
                <w:sz w:val="16"/>
                <w:szCs w:val="16"/>
              </w:rPr>
              <w:t>Daňové príjmy VS spolu</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12 097 609</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12 656 006</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13 086 062</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13 564 891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14 012 308</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14 721 960</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200" w:firstLine="320"/>
              <w:jc w:val="both"/>
              <w:rPr>
                <w:sz w:val="16"/>
                <w:szCs w:val="16"/>
              </w:rPr>
            </w:pPr>
            <w:r w:rsidRPr="007E7CFA">
              <w:rPr>
                <w:sz w:val="16"/>
                <w:szCs w:val="16"/>
              </w:rPr>
              <w:t>Daň z príjmov fyzických osôb</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2 146 214</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2 276 571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2 391 728</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2 534 113</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2 682 739</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2 849 229</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200" w:firstLine="320"/>
              <w:jc w:val="both"/>
              <w:rPr>
                <w:sz w:val="16"/>
                <w:szCs w:val="16"/>
              </w:rPr>
            </w:pPr>
            <w:r w:rsidRPr="007E7CFA">
              <w:rPr>
                <w:sz w:val="16"/>
                <w:szCs w:val="16"/>
              </w:rPr>
              <w:t xml:space="preserve">Daň z príjmov právnických osôb </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2 047 207</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2 180 650</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2 354 190</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2 453 316</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2 597 317</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2 785 767</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200" w:firstLine="320"/>
              <w:jc w:val="both"/>
              <w:rPr>
                <w:sz w:val="16"/>
                <w:szCs w:val="16"/>
              </w:rPr>
            </w:pPr>
            <w:r w:rsidRPr="007E7CFA">
              <w:rPr>
                <w:sz w:val="16"/>
                <w:szCs w:val="16"/>
              </w:rPr>
              <w:t>Daň z príjmov vyberaná zrážkou</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color w:val="000000"/>
                <w:sz w:val="16"/>
                <w:szCs w:val="16"/>
              </w:rPr>
            </w:pPr>
            <w:r w:rsidRPr="007E7CFA">
              <w:rPr>
                <w:color w:val="000000"/>
                <w:sz w:val="16"/>
                <w:szCs w:val="16"/>
              </w:rPr>
              <w:t>177 784</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color w:val="000000"/>
                <w:sz w:val="16"/>
                <w:szCs w:val="16"/>
              </w:rPr>
            </w:pPr>
            <w:r w:rsidRPr="007E7CFA">
              <w:rPr>
                <w:color w:val="000000"/>
                <w:sz w:val="16"/>
                <w:szCs w:val="16"/>
              </w:rPr>
              <w:t>175 061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color w:val="000000"/>
                <w:sz w:val="16"/>
                <w:szCs w:val="16"/>
              </w:rPr>
            </w:pPr>
            <w:r w:rsidRPr="007E7CFA">
              <w:rPr>
                <w:color w:val="000000"/>
                <w:sz w:val="16"/>
                <w:szCs w:val="16"/>
              </w:rPr>
              <w:t>158 872</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color w:val="000000"/>
                <w:sz w:val="16"/>
                <w:szCs w:val="16"/>
              </w:rPr>
            </w:pPr>
            <w:r w:rsidRPr="007E7CFA">
              <w:rPr>
                <w:color w:val="000000"/>
                <w:sz w:val="16"/>
                <w:szCs w:val="16"/>
              </w:rPr>
              <w:t>168 847</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color w:val="000000"/>
                <w:sz w:val="16"/>
                <w:szCs w:val="16"/>
              </w:rPr>
            </w:pPr>
            <w:r w:rsidRPr="007E7CFA">
              <w:rPr>
                <w:color w:val="000000"/>
                <w:sz w:val="16"/>
                <w:szCs w:val="16"/>
              </w:rPr>
              <w:t>177 809</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color w:val="000000"/>
                <w:sz w:val="16"/>
                <w:szCs w:val="16"/>
              </w:rPr>
            </w:pPr>
            <w:r w:rsidRPr="007E7CFA">
              <w:rPr>
                <w:color w:val="000000"/>
                <w:sz w:val="16"/>
                <w:szCs w:val="16"/>
              </w:rPr>
              <w:t>187 277</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200" w:firstLine="320"/>
              <w:jc w:val="both"/>
              <w:rPr>
                <w:sz w:val="16"/>
                <w:szCs w:val="16"/>
              </w:rPr>
            </w:pPr>
            <w:r w:rsidRPr="007E7CFA">
              <w:rPr>
                <w:sz w:val="16"/>
                <w:szCs w:val="16"/>
              </w:rPr>
              <w:t>Daň z pridanej hodnoty</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4 696 141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5 013 006</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5 166 991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5 365 101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5 623 192</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5 920 415</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200" w:firstLine="320"/>
              <w:jc w:val="both"/>
              <w:rPr>
                <w:sz w:val="16"/>
                <w:szCs w:val="16"/>
              </w:rPr>
            </w:pPr>
            <w:r w:rsidRPr="007E7CFA">
              <w:rPr>
                <w:sz w:val="16"/>
                <w:szCs w:val="16"/>
              </w:rPr>
              <w:t>Spotrebné dane</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1 985 246</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2 014 993</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2 029 846</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2 046 342</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2 059 809</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sz w:val="16"/>
                <w:szCs w:val="16"/>
              </w:rPr>
            </w:pPr>
            <w:r w:rsidRPr="007E7CFA">
              <w:rPr>
                <w:sz w:val="16"/>
                <w:szCs w:val="16"/>
              </w:rPr>
              <w:t>2 075 520</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200" w:firstLine="320"/>
              <w:jc w:val="both"/>
              <w:rPr>
                <w:sz w:val="16"/>
                <w:szCs w:val="16"/>
              </w:rPr>
            </w:pPr>
            <w:r w:rsidRPr="007E7CFA">
              <w:rPr>
                <w:sz w:val="16"/>
                <w:szCs w:val="16"/>
              </w:rPr>
              <w:t>Dane z medzinár. obchodu a transakcií</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27 553</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31 512</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31 303</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26 410</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28 034</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29 743</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200" w:firstLine="320"/>
              <w:jc w:val="both"/>
              <w:rPr>
                <w:sz w:val="16"/>
                <w:szCs w:val="16"/>
              </w:rPr>
            </w:pPr>
            <w:r w:rsidRPr="007E7CFA">
              <w:rPr>
                <w:sz w:val="16"/>
                <w:szCs w:val="16"/>
              </w:rPr>
              <w:t>Miestne dane (od roku 2015 bez dane z</w:t>
            </w:r>
            <w:r>
              <w:rPr>
                <w:sz w:val="16"/>
                <w:szCs w:val="16"/>
              </w:rPr>
              <w:t> </w:t>
            </w:r>
            <w:r w:rsidRPr="007E7CFA">
              <w:rPr>
                <w:sz w:val="16"/>
                <w:szCs w:val="16"/>
              </w:rPr>
              <w:t>motor</w:t>
            </w:r>
            <w:r>
              <w:rPr>
                <w:sz w:val="16"/>
                <w:szCs w:val="16"/>
              </w:rPr>
              <w:t>ových</w:t>
            </w:r>
            <w:r w:rsidRPr="007E7CFA">
              <w:rPr>
                <w:sz w:val="16"/>
                <w:szCs w:val="16"/>
              </w:rPr>
              <w:t xml:space="preserve"> </w:t>
            </w:r>
            <w:r>
              <w:rPr>
                <w:sz w:val="16"/>
                <w:szCs w:val="16"/>
              </w:rPr>
              <w:br/>
              <w:t xml:space="preserve">       </w:t>
            </w:r>
            <w:r w:rsidRPr="007E7CFA">
              <w:rPr>
                <w:sz w:val="16"/>
                <w:szCs w:val="16"/>
              </w:rPr>
              <w:t>vozidiel**)</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640 375</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646 622</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526 463</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530 161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550 434</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574 460</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200" w:firstLine="320"/>
              <w:jc w:val="both"/>
              <w:rPr>
                <w:sz w:val="16"/>
                <w:szCs w:val="16"/>
              </w:rPr>
            </w:pPr>
            <w:r w:rsidRPr="007E7CFA">
              <w:rPr>
                <w:sz w:val="16"/>
                <w:szCs w:val="16"/>
              </w:rPr>
              <w:t>Ostatné dane</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377 088</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317 591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426 669</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440 601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292 974</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299 549</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100" w:firstLine="161"/>
              <w:jc w:val="both"/>
              <w:rPr>
                <w:b/>
                <w:bCs/>
                <w:sz w:val="16"/>
                <w:szCs w:val="16"/>
              </w:rPr>
            </w:pPr>
            <w:r w:rsidRPr="007E7CFA">
              <w:rPr>
                <w:b/>
                <w:bCs/>
                <w:sz w:val="16"/>
                <w:szCs w:val="16"/>
              </w:rPr>
              <w:t>Sociálna poisťovňa (EAO + dlžné)*</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5 495 474</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5 756 222</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5 958 185</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6 232 508</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6 517 069</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6 861 327</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100" w:firstLine="161"/>
              <w:jc w:val="both"/>
              <w:rPr>
                <w:b/>
                <w:bCs/>
                <w:sz w:val="16"/>
                <w:szCs w:val="16"/>
              </w:rPr>
            </w:pPr>
            <w:r w:rsidRPr="007E7CFA">
              <w:rPr>
                <w:b/>
                <w:bCs/>
                <w:sz w:val="16"/>
                <w:szCs w:val="16"/>
              </w:rPr>
              <w:t>Zdravotné poisťovne (EAO + dlžné)</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2 636 201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2 778 554</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2 701 266</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2 827 227</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2 989 771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
                <w:bCs/>
                <w:sz w:val="16"/>
                <w:szCs w:val="16"/>
              </w:rPr>
            </w:pPr>
            <w:r w:rsidRPr="007E7CFA">
              <w:rPr>
                <w:b/>
                <w:bCs/>
                <w:sz w:val="16"/>
                <w:szCs w:val="16"/>
              </w:rPr>
              <w:t>3 168 164</w:t>
            </w:r>
          </w:p>
        </w:tc>
      </w:tr>
      <w:tr w:rsidR="007E7CFA" w:rsidRPr="007E7CFA" w:rsidTr="007E7CFA">
        <w:trPr>
          <w:trHeight w:val="255"/>
          <w:jc w:val="center"/>
        </w:trPr>
        <w:tc>
          <w:tcPr>
            <w:tcW w:w="224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E7CFA" w:rsidRPr="007E7CFA" w:rsidRDefault="007E7CFA" w:rsidP="007E7CFA">
            <w:pPr>
              <w:ind w:firstLineChars="100" w:firstLine="161"/>
              <w:jc w:val="both"/>
              <w:rPr>
                <w:b/>
                <w:bCs/>
                <w:color w:val="000000"/>
                <w:sz w:val="16"/>
                <w:szCs w:val="16"/>
              </w:rPr>
            </w:pPr>
            <w:r w:rsidRPr="007E7CFA">
              <w:rPr>
                <w:b/>
                <w:bCs/>
                <w:color w:val="000000"/>
                <w:sz w:val="16"/>
                <w:szCs w:val="16"/>
              </w:rPr>
              <w:t>Daňové a odvodové príjmy spolu</w:t>
            </w:r>
          </w:p>
        </w:tc>
        <w:tc>
          <w:tcPr>
            <w:tcW w:w="48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E7CFA" w:rsidRPr="007E7CFA" w:rsidRDefault="007E7CFA" w:rsidP="00FF21E4">
            <w:pPr>
              <w:jc w:val="right"/>
              <w:rPr>
                <w:b/>
                <w:bCs/>
                <w:sz w:val="16"/>
                <w:szCs w:val="16"/>
              </w:rPr>
            </w:pPr>
            <w:r w:rsidRPr="007E7CFA">
              <w:rPr>
                <w:b/>
                <w:bCs/>
                <w:sz w:val="16"/>
                <w:szCs w:val="16"/>
              </w:rPr>
              <w:t>20 229 284</w:t>
            </w:r>
          </w:p>
        </w:tc>
        <w:tc>
          <w:tcPr>
            <w:tcW w:w="45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E7CFA" w:rsidRPr="007E7CFA" w:rsidRDefault="007E7CFA" w:rsidP="00FF21E4">
            <w:pPr>
              <w:jc w:val="right"/>
              <w:rPr>
                <w:b/>
                <w:bCs/>
                <w:sz w:val="16"/>
                <w:szCs w:val="16"/>
              </w:rPr>
            </w:pPr>
            <w:r w:rsidRPr="007E7CFA">
              <w:rPr>
                <w:b/>
                <w:bCs/>
                <w:sz w:val="16"/>
                <w:szCs w:val="16"/>
              </w:rPr>
              <w:t>21 190 781</w:t>
            </w:r>
          </w:p>
        </w:tc>
        <w:tc>
          <w:tcPr>
            <w:tcW w:w="45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E7CFA" w:rsidRPr="007E7CFA" w:rsidRDefault="007E7CFA" w:rsidP="00FF21E4">
            <w:pPr>
              <w:jc w:val="right"/>
              <w:rPr>
                <w:b/>
                <w:bCs/>
                <w:sz w:val="16"/>
                <w:szCs w:val="16"/>
              </w:rPr>
            </w:pPr>
            <w:r w:rsidRPr="007E7CFA">
              <w:rPr>
                <w:b/>
                <w:bCs/>
                <w:sz w:val="16"/>
                <w:szCs w:val="16"/>
              </w:rPr>
              <w:t>21 745 513</w:t>
            </w:r>
          </w:p>
        </w:tc>
        <w:tc>
          <w:tcPr>
            <w:tcW w:w="45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E7CFA" w:rsidRPr="007E7CFA" w:rsidRDefault="007E7CFA" w:rsidP="00FF21E4">
            <w:pPr>
              <w:jc w:val="right"/>
              <w:rPr>
                <w:b/>
                <w:bCs/>
                <w:sz w:val="16"/>
                <w:szCs w:val="16"/>
              </w:rPr>
            </w:pPr>
            <w:r w:rsidRPr="007E7CFA">
              <w:rPr>
                <w:b/>
                <w:bCs/>
                <w:sz w:val="16"/>
                <w:szCs w:val="16"/>
              </w:rPr>
              <w:t>22 624 626</w:t>
            </w:r>
          </w:p>
        </w:tc>
        <w:tc>
          <w:tcPr>
            <w:tcW w:w="45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E7CFA" w:rsidRPr="007E7CFA" w:rsidRDefault="007E7CFA" w:rsidP="00FF21E4">
            <w:pPr>
              <w:jc w:val="right"/>
              <w:rPr>
                <w:b/>
                <w:bCs/>
                <w:sz w:val="16"/>
                <w:szCs w:val="16"/>
              </w:rPr>
            </w:pPr>
            <w:r w:rsidRPr="007E7CFA">
              <w:rPr>
                <w:b/>
                <w:bCs/>
                <w:sz w:val="16"/>
                <w:szCs w:val="16"/>
              </w:rPr>
              <w:t>23 519 148</w:t>
            </w:r>
          </w:p>
        </w:tc>
        <w:tc>
          <w:tcPr>
            <w:tcW w:w="45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E7CFA" w:rsidRPr="007E7CFA" w:rsidRDefault="007E7CFA" w:rsidP="00FF21E4">
            <w:pPr>
              <w:jc w:val="right"/>
              <w:rPr>
                <w:b/>
                <w:bCs/>
                <w:sz w:val="16"/>
                <w:szCs w:val="16"/>
              </w:rPr>
            </w:pPr>
            <w:r w:rsidRPr="007E7CFA">
              <w:rPr>
                <w:b/>
                <w:bCs/>
                <w:sz w:val="16"/>
                <w:szCs w:val="16"/>
              </w:rPr>
              <w:t>24 751 451</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100" w:firstLine="160"/>
              <w:jc w:val="both"/>
              <w:rPr>
                <w:color w:val="000000"/>
                <w:sz w:val="16"/>
                <w:szCs w:val="16"/>
              </w:rPr>
            </w:pPr>
            <w:r w:rsidRPr="007E7CFA">
              <w:rPr>
                <w:color w:val="000000"/>
                <w:sz w:val="16"/>
                <w:szCs w:val="16"/>
              </w:rPr>
              <w:t>Daňové a odvod. príjmy - medziročný rast (%)</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9,8</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4,8</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2,6</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4,0</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4,0</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5,2</w:t>
            </w:r>
          </w:p>
        </w:tc>
      </w:tr>
      <w:tr w:rsidR="007E7CFA" w:rsidRPr="007E7CFA" w:rsidTr="007E7CFA">
        <w:trPr>
          <w:trHeight w:val="255"/>
          <w:jc w:val="center"/>
        </w:trPr>
        <w:tc>
          <w:tcPr>
            <w:tcW w:w="2240" w:type="pct"/>
            <w:tcBorders>
              <w:top w:val="nil"/>
              <w:left w:val="single" w:sz="4" w:space="0" w:color="auto"/>
              <w:bottom w:val="single" w:sz="4" w:space="0" w:color="auto"/>
              <w:right w:val="single" w:sz="4" w:space="0" w:color="auto"/>
            </w:tcBorders>
            <w:noWrap/>
            <w:vAlign w:val="center"/>
            <w:hideMark/>
          </w:tcPr>
          <w:p w:rsidR="007E7CFA" w:rsidRPr="007E7CFA" w:rsidRDefault="007E7CFA" w:rsidP="007E7CFA">
            <w:pPr>
              <w:ind w:firstLineChars="100" w:firstLine="160"/>
              <w:jc w:val="both"/>
              <w:rPr>
                <w:color w:val="000000"/>
                <w:sz w:val="16"/>
                <w:szCs w:val="16"/>
              </w:rPr>
            </w:pPr>
            <w:r w:rsidRPr="007E7CFA">
              <w:rPr>
                <w:color w:val="000000"/>
                <w:sz w:val="16"/>
                <w:szCs w:val="16"/>
              </w:rPr>
              <w:t>Daňové a odvod. príjmy - % podiel na HDP</w:t>
            </w:r>
          </w:p>
        </w:tc>
        <w:tc>
          <w:tcPr>
            <w:tcW w:w="489"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27,5</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28,2</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28,1</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27,8</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27,4</w:t>
            </w:r>
          </w:p>
        </w:tc>
        <w:tc>
          <w:tcPr>
            <w:tcW w:w="454" w:type="pct"/>
            <w:tcBorders>
              <w:top w:val="nil"/>
              <w:left w:val="nil"/>
              <w:bottom w:val="single" w:sz="4" w:space="0" w:color="auto"/>
              <w:right w:val="single" w:sz="4" w:space="0" w:color="auto"/>
            </w:tcBorders>
            <w:noWrap/>
            <w:vAlign w:val="center"/>
            <w:hideMark/>
          </w:tcPr>
          <w:p w:rsidR="007E7CFA" w:rsidRPr="007E7CFA" w:rsidRDefault="007E7CFA" w:rsidP="00FF21E4">
            <w:pPr>
              <w:jc w:val="right"/>
              <w:rPr>
                <w:bCs/>
                <w:sz w:val="16"/>
                <w:szCs w:val="16"/>
              </w:rPr>
            </w:pPr>
            <w:r w:rsidRPr="007E7CFA">
              <w:rPr>
                <w:bCs/>
                <w:sz w:val="16"/>
                <w:szCs w:val="16"/>
              </w:rPr>
              <w:t>27,3</w:t>
            </w:r>
          </w:p>
        </w:tc>
      </w:tr>
      <w:tr w:rsidR="007E7CFA" w:rsidRPr="007E7CFA" w:rsidTr="007E7CFA">
        <w:trPr>
          <w:trHeight w:val="330"/>
          <w:jc w:val="center"/>
        </w:trPr>
        <w:tc>
          <w:tcPr>
            <w:tcW w:w="4546" w:type="pct"/>
            <w:gridSpan w:val="6"/>
            <w:tcBorders>
              <w:top w:val="nil"/>
              <w:left w:val="nil"/>
              <w:bottom w:val="nil"/>
              <w:right w:val="nil"/>
            </w:tcBorders>
            <w:noWrap/>
            <w:vAlign w:val="center"/>
            <w:hideMark/>
          </w:tcPr>
          <w:p w:rsidR="007E7CFA" w:rsidRPr="007E7CFA" w:rsidRDefault="007E7CFA" w:rsidP="00FF21E4">
            <w:pPr>
              <w:rPr>
                <w:sz w:val="16"/>
                <w:szCs w:val="16"/>
                <w:highlight w:val="yellow"/>
              </w:rPr>
            </w:pPr>
            <w:r w:rsidRPr="007E7CFA">
              <w:rPr>
                <w:sz w:val="16"/>
                <w:szCs w:val="16"/>
              </w:rPr>
              <w:t xml:space="preserve">* bez  transferu úspor z DSS od vystúpených </w:t>
            </w:r>
          </w:p>
        </w:tc>
        <w:tc>
          <w:tcPr>
            <w:tcW w:w="454" w:type="pct"/>
            <w:tcBorders>
              <w:top w:val="nil"/>
              <w:left w:val="nil"/>
              <w:bottom w:val="nil"/>
              <w:right w:val="nil"/>
            </w:tcBorders>
            <w:noWrap/>
            <w:vAlign w:val="bottom"/>
            <w:hideMark/>
          </w:tcPr>
          <w:p w:rsidR="007E7CFA" w:rsidRPr="007E7CFA" w:rsidRDefault="007E7CFA" w:rsidP="00FF21E4">
            <w:pPr>
              <w:rPr>
                <w:sz w:val="16"/>
                <w:szCs w:val="16"/>
                <w:highlight w:val="yellow"/>
              </w:rPr>
            </w:pPr>
          </w:p>
        </w:tc>
      </w:tr>
      <w:tr w:rsidR="007E7CFA" w:rsidRPr="007E7CFA" w:rsidTr="007E7CFA">
        <w:trPr>
          <w:trHeight w:val="173"/>
          <w:jc w:val="center"/>
        </w:trPr>
        <w:tc>
          <w:tcPr>
            <w:tcW w:w="4546" w:type="pct"/>
            <w:gridSpan w:val="6"/>
            <w:tcBorders>
              <w:top w:val="nil"/>
              <w:left w:val="nil"/>
              <w:bottom w:val="nil"/>
              <w:right w:val="nil"/>
            </w:tcBorders>
            <w:noWrap/>
            <w:vAlign w:val="center"/>
          </w:tcPr>
          <w:p w:rsidR="007E7CFA" w:rsidRPr="007E7CFA" w:rsidRDefault="007E7CFA" w:rsidP="00FF21E4">
            <w:pPr>
              <w:rPr>
                <w:sz w:val="16"/>
                <w:szCs w:val="16"/>
              </w:rPr>
            </w:pPr>
            <w:r w:rsidRPr="007E7CFA">
              <w:rPr>
                <w:sz w:val="16"/>
                <w:szCs w:val="16"/>
              </w:rPr>
              <w:t>** s výnimkou decembrového presunu z roku 2014 v januári 2015</w:t>
            </w:r>
          </w:p>
        </w:tc>
        <w:tc>
          <w:tcPr>
            <w:tcW w:w="454" w:type="pct"/>
            <w:tcBorders>
              <w:top w:val="nil"/>
              <w:left w:val="nil"/>
              <w:bottom w:val="nil"/>
              <w:right w:val="nil"/>
            </w:tcBorders>
            <w:noWrap/>
            <w:vAlign w:val="bottom"/>
          </w:tcPr>
          <w:p w:rsidR="007E7CFA" w:rsidRPr="007E7CFA" w:rsidRDefault="007E7CFA" w:rsidP="00FF21E4">
            <w:pPr>
              <w:rPr>
                <w:sz w:val="16"/>
                <w:szCs w:val="16"/>
                <w:highlight w:val="yellow"/>
              </w:rPr>
            </w:pPr>
          </w:p>
        </w:tc>
      </w:tr>
    </w:tbl>
    <w:p w:rsidR="007E7CFA" w:rsidRPr="00F868F0" w:rsidRDefault="007E7CFA" w:rsidP="007E7CFA">
      <w:pPr>
        <w:rPr>
          <w:highlight w:val="yellow"/>
        </w:rPr>
      </w:pPr>
    </w:p>
    <w:p w:rsidR="002949D3" w:rsidRPr="00BA59F6" w:rsidRDefault="002949D3" w:rsidP="009755E8">
      <w:pPr>
        <w:rPr>
          <w:bCs/>
          <w:szCs w:val="16"/>
          <w:highlight w:val="yellow"/>
        </w:rPr>
      </w:pPr>
    </w:p>
    <w:p w:rsidR="00CD1E39" w:rsidRPr="001856D6" w:rsidRDefault="009E277A" w:rsidP="009C70A5">
      <w:pPr>
        <w:pStyle w:val="Nadpis1"/>
        <w:numPr>
          <w:ilvl w:val="0"/>
          <w:numId w:val="24"/>
        </w:numPr>
        <w:spacing w:before="0" w:after="0"/>
        <w:ind w:left="714" w:hanging="357"/>
        <w:jc w:val="both"/>
        <w:rPr>
          <w:rFonts w:ascii="Times New Roman" w:hAnsi="Times New Roman"/>
          <w:sz w:val="24"/>
          <w:szCs w:val="24"/>
        </w:rPr>
      </w:pPr>
      <w:r w:rsidRPr="001856D6">
        <w:rPr>
          <w:rFonts w:ascii="Times New Roman" w:hAnsi="Times New Roman"/>
          <w:sz w:val="24"/>
          <w:szCs w:val="24"/>
        </w:rPr>
        <w:lastRenderedPageBreak/>
        <w:t>R</w:t>
      </w:r>
      <w:r w:rsidR="00CD1E39" w:rsidRPr="001856D6">
        <w:rPr>
          <w:rFonts w:ascii="Times New Roman" w:hAnsi="Times New Roman"/>
          <w:sz w:val="24"/>
          <w:szCs w:val="24"/>
        </w:rPr>
        <w:t>ozdiely medzi východiskami rozpočtu verejnej správy na rok 201</w:t>
      </w:r>
      <w:r w:rsidR="007301EC" w:rsidRPr="001856D6">
        <w:rPr>
          <w:rFonts w:ascii="Times New Roman" w:hAnsi="Times New Roman"/>
          <w:sz w:val="24"/>
          <w:szCs w:val="24"/>
        </w:rPr>
        <w:t>6</w:t>
      </w:r>
      <w:r w:rsidR="00673EF9" w:rsidRPr="001856D6">
        <w:rPr>
          <w:rFonts w:ascii="Times New Roman" w:hAnsi="Times New Roman"/>
          <w:sz w:val="24"/>
          <w:szCs w:val="24"/>
        </w:rPr>
        <w:t xml:space="preserve"> a</w:t>
      </w:r>
      <w:r w:rsidR="00CD1E39" w:rsidRPr="001856D6">
        <w:rPr>
          <w:rFonts w:ascii="Times New Roman" w:hAnsi="Times New Roman"/>
          <w:sz w:val="24"/>
          <w:szCs w:val="24"/>
        </w:rPr>
        <w:t> schváleným rozpočtom verejnej správy na rok 201</w:t>
      </w:r>
      <w:r w:rsidR="007301EC" w:rsidRPr="001856D6">
        <w:rPr>
          <w:rFonts w:ascii="Times New Roman" w:hAnsi="Times New Roman"/>
          <w:sz w:val="24"/>
          <w:szCs w:val="24"/>
        </w:rPr>
        <w:t>5</w:t>
      </w:r>
    </w:p>
    <w:p w:rsidR="007951CB" w:rsidRDefault="007951CB" w:rsidP="00522CDA">
      <w:pPr>
        <w:pStyle w:val="Zkladntext2"/>
        <w:spacing w:after="0" w:line="240" w:lineRule="auto"/>
        <w:ind w:firstLine="708"/>
        <w:jc w:val="both"/>
        <w:rPr>
          <w:bCs/>
          <w:lang w:eastAsia="x-none"/>
        </w:rPr>
      </w:pPr>
    </w:p>
    <w:p w:rsidR="008A20F7" w:rsidRDefault="008A20F7" w:rsidP="008C34E5">
      <w:pPr>
        <w:pStyle w:val="Zkladntext2"/>
        <w:spacing w:after="0" w:line="240" w:lineRule="auto"/>
        <w:ind w:firstLine="708"/>
        <w:jc w:val="both"/>
        <w:rPr>
          <w:b/>
        </w:rPr>
      </w:pPr>
      <w:r w:rsidRPr="007D5399">
        <w:rPr>
          <w:bCs/>
          <w:lang w:eastAsia="x-none"/>
        </w:rPr>
        <w:t>Na základe aktuálnej predikcie makroekonomického rámca, štátneho rozpočtu a ostatných subjektov verejnej správy je možné predpokladať nasledovné rozdiely medzi schváleným rozpočtom verejnej správy na rok 201</w:t>
      </w:r>
      <w:r>
        <w:rPr>
          <w:bCs/>
          <w:lang w:eastAsia="x-none"/>
        </w:rPr>
        <w:t>5</w:t>
      </w:r>
      <w:r w:rsidRPr="007D5399">
        <w:rPr>
          <w:bCs/>
          <w:lang w:eastAsia="x-none"/>
        </w:rPr>
        <w:t xml:space="preserve"> a návrhom východísk rozpočtu verejnej správy na rok 201</w:t>
      </w:r>
      <w:r>
        <w:rPr>
          <w:bCs/>
          <w:lang w:eastAsia="x-none"/>
        </w:rPr>
        <w:t>6</w:t>
      </w:r>
      <w:r w:rsidRPr="007D5399">
        <w:rPr>
          <w:bCs/>
          <w:lang w:eastAsia="x-none"/>
        </w:rPr>
        <w:t xml:space="preserve">. </w:t>
      </w:r>
      <w:r w:rsidR="001856D6" w:rsidRPr="008C34E5">
        <w:rPr>
          <w:bCs/>
          <w:lang w:eastAsia="x-none"/>
        </w:rPr>
        <w:t>Nižšie sú popísané</w:t>
      </w:r>
      <w:r w:rsidRPr="008C34E5">
        <w:rPr>
          <w:bCs/>
          <w:lang w:eastAsia="x-none"/>
        </w:rPr>
        <w:t xml:space="preserve"> </w:t>
      </w:r>
      <w:r w:rsidR="008C34E5" w:rsidRPr="008C34E5">
        <w:rPr>
          <w:bCs/>
          <w:lang w:eastAsia="x-none"/>
        </w:rPr>
        <w:t xml:space="preserve">najvýznamnejšie </w:t>
      </w:r>
      <w:r w:rsidRPr="008C34E5">
        <w:rPr>
          <w:bCs/>
          <w:lang w:eastAsia="x-none"/>
        </w:rPr>
        <w:t>zmeny v</w:t>
      </w:r>
      <w:r w:rsidR="001856D6" w:rsidRPr="008C34E5">
        <w:rPr>
          <w:bCs/>
          <w:lang w:eastAsia="x-none"/>
        </w:rPr>
        <w:t> jednotlivých subjektoch</w:t>
      </w:r>
      <w:r w:rsidR="008C34E5" w:rsidRPr="008C34E5">
        <w:rPr>
          <w:bCs/>
          <w:lang w:eastAsia="x-none"/>
        </w:rPr>
        <w:t>.</w:t>
      </w:r>
      <w:r w:rsidR="001856D6" w:rsidRPr="008C34E5">
        <w:rPr>
          <w:bCs/>
          <w:lang w:eastAsia="x-none"/>
        </w:rPr>
        <w:t xml:space="preserve"> </w:t>
      </w:r>
    </w:p>
    <w:p w:rsidR="008A20F7" w:rsidRDefault="008A20F7" w:rsidP="00CD3601">
      <w:pPr>
        <w:ind w:firstLine="708"/>
        <w:jc w:val="both"/>
      </w:pPr>
    </w:p>
    <w:p w:rsidR="000E3CBD" w:rsidRPr="000E3CBD" w:rsidRDefault="000E3CBD" w:rsidP="000E3CBD">
      <w:pPr>
        <w:rPr>
          <w:b/>
          <w:bCs/>
        </w:rPr>
      </w:pPr>
      <w:r w:rsidRPr="003C256E">
        <w:rPr>
          <w:b/>
          <w:bCs/>
        </w:rPr>
        <w:t>Štátny rozpočet</w:t>
      </w:r>
    </w:p>
    <w:p w:rsidR="000E3CBD" w:rsidRDefault="000E3CBD" w:rsidP="000E3CBD">
      <w:pPr>
        <w:jc w:val="both"/>
      </w:pPr>
    </w:p>
    <w:p w:rsidR="00DE2440" w:rsidRDefault="00BE5DA0" w:rsidP="003C256E">
      <w:pPr>
        <w:ind w:firstLine="708"/>
        <w:jc w:val="both"/>
      </w:pPr>
      <w:r w:rsidRPr="008668B3">
        <w:t>Príjmy štátneho rozpočtu v porovnaní so schváleným rozpočtom na rok 2015 klesajú o</w:t>
      </w:r>
      <w:r w:rsidR="004C6A20">
        <w:t> 1,14</w:t>
      </w:r>
      <w:r w:rsidRPr="008668B3">
        <w:t xml:space="preserve"> ml</w:t>
      </w:r>
      <w:r w:rsidR="004C6A20">
        <w:t>d</w:t>
      </w:r>
      <w:r w:rsidRPr="008668B3">
        <w:t xml:space="preserve">. </w:t>
      </w:r>
      <w:r w:rsidRPr="003C256E">
        <w:t xml:space="preserve">eur, čo je spôsobené </w:t>
      </w:r>
      <w:r w:rsidR="003C256E">
        <w:t xml:space="preserve">najmä </w:t>
      </w:r>
      <w:r w:rsidRPr="003C256E">
        <w:t>znížením príjmov z</w:t>
      </w:r>
      <w:r w:rsidR="003C256E">
        <w:t> prostriedkov Európskej únie</w:t>
      </w:r>
      <w:r w:rsidR="00F97C86">
        <w:t xml:space="preserve"> z dôvodu ukončenia 2. programového obdobia a rozbiehania 3. programového obdobia.</w:t>
      </w:r>
      <w:r w:rsidR="003C256E">
        <w:t xml:space="preserve"> </w:t>
      </w:r>
    </w:p>
    <w:p w:rsidR="00DE2440" w:rsidRDefault="00DE2440" w:rsidP="00DE2440">
      <w:pPr>
        <w:jc w:val="both"/>
      </w:pPr>
    </w:p>
    <w:p w:rsidR="00BE5DA0" w:rsidRDefault="003C256E" w:rsidP="00DE2440">
      <w:pPr>
        <w:ind w:firstLine="708"/>
        <w:jc w:val="both"/>
      </w:pPr>
      <w:r>
        <w:t>Výdavky štátneho rozpočtu klesajú o </w:t>
      </w:r>
      <w:r w:rsidR="004C6A20">
        <w:t>1</w:t>
      </w:r>
      <w:r>
        <w:t>,</w:t>
      </w:r>
      <w:r w:rsidR="004C6A20">
        <w:t>90</w:t>
      </w:r>
      <w:r>
        <w:t xml:space="preserve"> m</w:t>
      </w:r>
      <w:r w:rsidR="006B3706">
        <w:t>ld</w:t>
      </w:r>
      <w:r>
        <w:t>. eur</w:t>
      </w:r>
      <w:r w:rsidR="00BD1061">
        <w:t>. V rámci nich dochádza najmä k zníženiu</w:t>
      </w:r>
      <w:r w:rsidR="00FA30FB">
        <w:t xml:space="preserve"> výdavkov z prostriedkov Európskej únie, výdavkov na spolufinancovanie</w:t>
      </w:r>
      <w:r w:rsidR="00F243C1">
        <w:t xml:space="preserve"> a</w:t>
      </w:r>
      <w:r w:rsidR="00FA30FB">
        <w:t xml:space="preserve"> znižuje s</w:t>
      </w:r>
      <w:r w:rsidR="00F243C1">
        <w:t>a transfer Sociálnej poisťovni</w:t>
      </w:r>
      <w:r w:rsidR="00BD1061">
        <w:t>.</w:t>
      </w:r>
    </w:p>
    <w:p w:rsidR="000E3CBD" w:rsidRDefault="000E3CBD" w:rsidP="000E3CBD">
      <w:pPr>
        <w:jc w:val="both"/>
      </w:pPr>
    </w:p>
    <w:p w:rsidR="000E3CBD" w:rsidRPr="000E3CBD" w:rsidRDefault="000E3CBD" w:rsidP="000E3CBD">
      <w:pPr>
        <w:jc w:val="both"/>
        <w:rPr>
          <w:b/>
        </w:rPr>
      </w:pPr>
      <w:r w:rsidRPr="006754F0">
        <w:rPr>
          <w:b/>
        </w:rPr>
        <w:t>Obce</w:t>
      </w:r>
    </w:p>
    <w:p w:rsidR="000E3CBD" w:rsidRDefault="000E3CBD" w:rsidP="000E3CBD">
      <w:pPr>
        <w:jc w:val="both"/>
      </w:pPr>
    </w:p>
    <w:p w:rsidR="006754F0" w:rsidRPr="006754F0" w:rsidRDefault="006754F0" w:rsidP="006754F0">
      <w:pPr>
        <w:ind w:firstLine="708"/>
        <w:jc w:val="both"/>
      </w:pPr>
      <w:r w:rsidRPr="006754F0">
        <w:t xml:space="preserve">V návrhu východísk na rok 2016 sa predpokladá prebytok rozpočtového hospodárenia obcí vo výške 80 741 tis. eur, čo je oproti schválenému rozpočtu na rok 2015 menej </w:t>
      </w:r>
      <w:r>
        <w:br/>
      </w:r>
      <w:r w:rsidRPr="006754F0">
        <w:t xml:space="preserve">o 64 296 tis. eur. Zníženie prebytku je ovplyvnené hlavne odhadovaným vyšším čerpaním bežných výdavkov, ktoré zohľadňuje vývoj skutočnosti v predchádzajúcom období a prípravu návrhu rozpočtu bez obmedzenia dlhovej brzdy. V tejto etape sa predbežne rozpočtujú v príjmoch nižšie kapitálové granty a transfery a kapitálové výdavky v nadväznosti na to, že rezorty zatiaľ len čiastočne rozpočtujú zapojenie zdrojov EÚ v rámci nového tretieho programového obdobia. Celkové príjmy vrátane finančných operácií na rok 2016 sa predpokladajú v sume 3 880 248 tis. eur a celkové výdavky vrátane finančných operácii v sume 3 651 507 tis. eur. </w:t>
      </w:r>
    </w:p>
    <w:p w:rsidR="000E3CBD" w:rsidRDefault="000E3CBD" w:rsidP="000E3CBD">
      <w:pPr>
        <w:jc w:val="both"/>
      </w:pPr>
    </w:p>
    <w:p w:rsidR="000E3CBD" w:rsidRPr="000E3CBD" w:rsidRDefault="000E3CBD" w:rsidP="000E3CBD">
      <w:pPr>
        <w:jc w:val="both"/>
        <w:rPr>
          <w:b/>
        </w:rPr>
      </w:pPr>
      <w:r w:rsidRPr="006754F0">
        <w:rPr>
          <w:b/>
        </w:rPr>
        <w:t>Vyššie územné celky</w:t>
      </w:r>
    </w:p>
    <w:p w:rsidR="006754F0" w:rsidRDefault="006754F0" w:rsidP="006754F0">
      <w:pPr>
        <w:ind w:firstLine="708"/>
        <w:jc w:val="both"/>
        <w:rPr>
          <w:rFonts w:ascii="Arial Narrow" w:hAnsi="Arial Narrow"/>
        </w:rPr>
      </w:pPr>
    </w:p>
    <w:p w:rsidR="006754F0" w:rsidRPr="006754F0" w:rsidRDefault="006754F0" w:rsidP="006754F0">
      <w:pPr>
        <w:ind w:firstLine="708"/>
        <w:jc w:val="both"/>
      </w:pPr>
      <w:r w:rsidRPr="006754F0">
        <w:t xml:space="preserve">V návrhu východísk na rok 2016 sa predpokladá prebytok rozpočtového hospodárenia VÚC vo výške 82 475 tis. eur, čo je oproti schválenému rozpočtu na rok 2015 menej </w:t>
      </w:r>
      <w:r>
        <w:br/>
      </w:r>
      <w:r w:rsidRPr="006754F0">
        <w:t xml:space="preserve">o 41 363 tis. eur. Zníženie prebytku je ovplyvnené najmä predpokladaným vyšším čerpaním bežných výdavkov, ktoré prihliada na vývoj skutočnosti v predchádzajúcom období a prípravu návrhu rozpočtu bez obmedzenia dlhovej brzdy. V tejto etape sa predbežne rozpočtujú v príjmoch nižšie kapitálové granty a transfery a kapitálové výdavky v nadväznosti na to, že rezorty zatiaľ len čiastočne rozpočtujú zapojenie zdrojov EÚ v rámci nového tretieho programového obdobia. Celkové príjmy vrátane finančných operácií na rok 2016 sa predpokladajú vo výške 1 277 207 tis. eur a celkové výdavky vrátane finančných operácií vo výške 1 145 732 tis. eur. </w:t>
      </w:r>
    </w:p>
    <w:p w:rsidR="000E3CBD" w:rsidRDefault="000E3CBD" w:rsidP="00CD3601">
      <w:pPr>
        <w:ind w:firstLine="708"/>
        <w:jc w:val="both"/>
      </w:pPr>
    </w:p>
    <w:p w:rsidR="008A20F7" w:rsidRPr="001856D6" w:rsidRDefault="008A20F7" w:rsidP="008A20F7">
      <w:pPr>
        <w:rPr>
          <w:b/>
          <w:bCs/>
        </w:rPr>
      </w:pPr>
      <w:r w:rsidRPr="001856D6">
        <w:rPr>
          <w:b/>
          <w:bCs/>
        </w:rPr>
        <w:t>Sociálna poisťovňa</w:t>
      </w:r>
    </w:p>
    <w:p w:rsidR="008A20F7" w:rsidRPr="001856D6" w:rsidRDefault="008A20F7" w:rsidP="008A20F7">
      <w:pPr>
        <w:jc w:val="both"/>
      </w:pPr>
    </w:p>
    <w:p w:rsidR="008A20F7" w:rsidRPr="001856D6" w:rsidRDefault="008A20F7" w:rsidP="008A20F7">
      <w:pPr>
        <w:ind w:firstLine="708"/>
        <w:jc w:val="both"/>
      </w:pPr>
      <w:r w:rsidRPr="001856D6">
        <w:t xml:space="preserve">Celkové príjmy Sociálnej poisťovne na rok 2016 sa navrhujú v sume 7,83 mld. eur, čo v porovnaní so schváleným rozpočtom príjmov na rok 2015 predstavuje nárast o 180 mil. eur, t. j. o 2,35 %. Príjmy z poistného od ekonomicky aktívnych osôb sa predpokladajú v sume </w:t>
      </w:r>
      <w:r w:rsidRPr="001856D6">
        <w:br/>
        <w:t xml:space="preserve">5,99 mld. eur, v porovnaní s rokom 2015 sú teda vyššie o 276 mil. eur. Transfer zo štátneho </w:t>
      </w:r>
      <w:r w:rsidRPr="001856D6">
        <w:lastRenderedPageBreak/>
        <w:t>rozpočtu na zabezpečenie platobnej schopnosti Sociálnej poisťovne sa predpokladá v sume 0,82 mld. eur, čo je o 87,6 mil. eur menej oproti schválenému rozpočtu na rok 2015.</w:t>
      </w:r>
    </w:p>
    <w:p w:rsidR="008A20F7" w:rsidRPr="001856D6" w:rsidRDefault="008A20F7" w:rsidP="008A20F7">
      <w:pPr>
        <w:jc w:val="both"/>
      </w:pPr>
    </w:p>
    <w:p w:rsidR="008A20F7" w:rsidRPr="001856D6" w:rsidRDefault="008A20F7" w:rsidP="008A20F7">
      <w:pPr>
        <w:ind w:firstLine="708"/>
        <w:jc w:val="both"/>
      </w:pPr>
      <w:r w:rsidRPr="001856D6">
        <w:t xml:space="preserve">Celkové výdavky Sociálnej poisťovne v roku 2016 sa navrhujú v sume 7,29 mld. eur. V porovnaní so schváleným rozpočtom na rok 2015 rastú o 184 mil. eur, čo predstavuje nárast o 2,59 %. Nárast je premietnutý najmä vo výdavkoch poistenia. Výdavky správneho fondu sa navrhujú v sume 106 mil. eur, t. j. na rovnakej úrovni ako v roku 2015. </w:t>
      </w:r>
    </w:p>
    <w:p w:rsidR="008A20F7" w:rsidRPr="001856D6" w:rsidRDefault="008A20F7" w:rsidP="008A20F7">
      <w:pPr>
        <w:jc w:val="both"/>
      </w:pPr>
    </w:p>
    <w:p w:rsidR="008A20F7" w:rsidRPr="001856D6" w:rsidRDefault="008A20F7" w:rsidP="008A20F7">
      <w:pPr>
        <w:ind w:firstLine="708"/>
        <w:jc w:val="both"/>
      </w:pPr>
      <w:r w:rsidRPr="001856D6">
        <w:t>Celkový hotovostný prebytok v roku 2016 je rozpočtovaný vo výške 541 mil. eur a v metodike ESA 2010 je navrhnutý prebytok na úrovni 32,6 mil. eur.</w:t>
      </w:r>
    </w:p>
    <w:p w:rsidR="008A20F7" w:rsidRPr="001856D6" w:rsidRDefault="008A20F7" w:rsidP="008A20F7">
      <w:pPr>
        <w:ind w:firstLine="708"/>
        <w:jc w:val="both"/>
        <w:rPr>
          <w:highlight w:val="yellow"/>
        </w:rPr>
      </w:pPr>
    </w:p>
    <w:p w:rsidR="008A20F7" w:rsidRPr="001856D6" w:rsidRDefault="008A20F7" w:rsidP="008A20F7">
      <w:pPr>
        <w:rPr>
          <w:b/>
          <w:bCs/>
        </w:rPr>
      </w:pPr>
      <w:r w:rsidRPr="001856D6">
        <w:rPr>
          <w:b/>
          <w:bCs/>
        </w:rPr>
        <w:t>Verejné zdravotné poistenie</w:t>
      </w:r>
    </w:p>
    <w:p w:rsidR="008A20F7" w:rsidRPr="001856D6" w:rsidRDefault="008A20F7" w:rsidP="008A20F7">
      <w:pPr>
        <w:rPr>
          <w:b/>
          <w:bCs/>
        </w:rPr>
      </w:pPr>
    </w:p>
    <w:p w:rsidR="008A20F7" w:rsidRPr="001856D6" w:rsidRDefault="008A20F7" w:rsidP="008A20F7">
      <w:pPr>
        <w:ind w:firstLine="708"/>
        <w:jc w:val="both"/>
      </w:pPr>
      <w:r w:rsidRPr="001856D6">
        <w:t xml:space="preserve">Návrh príjmov Verejného zdravotného poistenia (ďalej len „VZP“) na rok 2016 v sume 4,39 mld. eur v porovnaní so schváleným rozpočtom  na rok 2015 vo výške </w:t>
      </w:r>
      <w:r w:rsidRPr="001856D6">
        <w:br/>
        <w:t>4,26 mld. eur predstavuje rast o 131,8 mil. eur. Ide predovšetkým o rast príjmov od ekonomicky aktívnych osôb vrátane ročného zúčtovania.</w:t>
      </w:r>
    </w:p>
    <w:p w:rsidR="008A20F7" w:rsidRPr="001856D6" w:rsidRDefault="008A20F7" w:rsidP="008A20F7">
      <w:pPr>
        <w:ind w:firstLine="708"/>
        <w:jc w:val="both"/>
      </w:pPr>
    </w:p>
    <w:p w:rsidR="008A20F7" w:rsidRPr="001856D6" w:rsidRDefault="008A20F7" w:rsidP="008A20F7">
      <w:pPr>
        <w:ind w:firstLine="708"/>
        <w:jc w:val="both"/>
      </w:pPr>
      <w:r w:rsidRPr="001856D6">
        <w:t xml:space="preserve">Výdavky VZP na rok 2016 v sume 4,13 mld. eur v porovnaní so schváleným rozpočtom na rok 2015 v sume 3,99 mld. eur rastú o 146,4 mil. eur, čo sa premieta do rastu výdavkov poistenia. </w:t>
      </w:r>
    </w:p>
    <w:p w:rsidR="008A20F7" w:rsidRPr="001856D6" w:rsidRDefault="008A20F7" w:rsidP="008A20F7">
      <w:pPr>
        <w:jc w:val="both"/>
        <w:rPr>
          <w:highlight w:val="yellow"/>
        </w:rPr>
      </w:pPr>
    </w:p>
    <w:p w:rsidR="008A20F7" w:rsidRPr="001856D6" w:rsidRDefault="008A20F7" w:rsidP="008A20F7">
      <w:pPr>
        <w:ind w:firstLine="708"/>
        <w:jc w:val="both"/>
      </w:pPr>
      <w:r w:rsidRPr="001856D6">
        <w:t>Celkový prebytok prostriedkov VZP na rok 2016 je rozpočtovaný v sume 258 mil. eur a prebytok v metodike ESA 2010 na rok 2016 je navrhnutý na úrovni 9,79 mil. eur.</w:t>
      </w:r>
    </w:p>
    <w:p w:rsidR="006754F0" w:rsidRDefault="006754F0" w:rsidP="008A20F7">
      <w:pPr>
        <w:ind w:firstLine="708"/>
        <w:jc w:val="both"/>
        <w:rPr>
          <w:highlight w:val="yellow"/>
        </w:rPr>
      </w:pPr>
    </w:p>
    <w:p w:rsidR="003868B5" w:rsidRDefault="003868B5" w:rsidP="003868B5">
      <w:pPr>
        <w:jc w:val="both"/>
        <w:rPr>
          <w:b/>
        </w:rPr>
      </w:pPr>
      <w:r>
        <w:rPr>
          <w:b/>
        </w:rPr>
        <w:t>Zdravotnícke zariadenia</w:t>
      </w:r>
    </w:p>
    <w:p w:rsidR="003868B5" w:rsidRDefault="003868B5" w:rsidP="003868B5">
      <w:pPr>
        <w:ind w:firstLine="708"/>
        <w:jc w:val="both"/>
      </w:pPr>
    </w:p>
    <w:p w:rsidR="003868B5" w:rsidRDefault="003868B5" w:rsidP="003868B5">
      <w:pPr>
        <w:ind w:firstLine="708"/>
        <w:jc w:val="both"/>
      </w:pPr>
      <w:r>
        <w:t xml:space="preserve">Návrh príjmov Zdravotníckych zariadení (ďalej len „ZZ“) na rok 2016 sa predpokladá vo výške 1 327,0 mil. eur, čo predstavuje nárast o 0,20 % oproti súhrnu rozpočtovaných príjmov jednotlivých ZZ </w:t>
      </w:r>
      <w:r w:rsidR="0050613B">
        <w:t>na</w:t>
      </w:r>
      <w:r>
        <w:t xml:space="preserve"> rok 2015. Nedaňové príjmy vo výške 1 260,3 mil. eur, ktoré sú tvorené v prevažnej miere z príjmov za úhradu zdravotnej starostlivosti, predstavujú 95,0 % z celkových príjmov ZZ. </w:t>
      </w:r>
    </w:p>
    <w:p w:rsidR="003868B5" w:rsidRDefault="003868B5" w:rsidP="003868B5">
      <w:pPr>
        <w:ind w:firstLine="708"/>
        <w:jc w:val="both"/>
      </w:pPr>
    </w:p>
    <w:p w:rsidR="003868B5" w:rsidRDefault="003868B5" w:rsidP="003868B5">
      <w:pPr>
        <w:ind w:firstLine="708"/>
        <w:jc w:val="both"/>
      </w:pPr>
      <w:r>
        <w:t xml:space="preserve">Výdavky ZZ na rok 2016 predstavujú sumu 1 275,8 mil. eur, čo je nárast oproti roku 2015 o 2,90 mil. eur. Bežné výdavky medziročne rastú o 7,88 mil. eur. Kapitálové výdavky medziročne klesajú o 5,86 mil. eur. </w:t>
      </w:r>
    </w:p>
    <w:p w:rsidR="003868B5" w:rsidRDefault="003868B5" w:rsidP="003868B5">
      <w:pPr>
        <w:ind w:firstLine="708"/>
        <w:jc w:val="both"/>
      </w:pPr>
    </w:p>
    <w:p w:rsidR="003868B5" w:rsidRDefault="003868B5" w:rsidP="003868B5">
      <w:pPr>
        <w:ind w:firstLine="708"/>
        <w:jc w:val="both"/>
      </w:pPr>
      <w:r>
        <w:t>Celkový prebytok prostriedkov ZZ na rok 2016 predstavuje 51,2 mil. eur a prebytok v metodike ESA 2010 na rok 2016 je vo výške 2,88 mil. eur.</w:t>
      </w:r>
    </w:p>
    <w:p w:rsidR="003868B5" w:rsidRPr="001856D6" w:rsidRDefault="003868B5" w:rsidP="008A20F7">
      <w:pPr>
        <w:ind w:firstLine="708"/>
        <w:jc w:val="both"/>
        <w:rPr>
          <w:highlight w:val="yellow"/>
        </w:rPr>
      </w:pPr>
    </w:p>
    <w:p w:rsidR="008A20F7" w:rsidRPr="001856D6" w:rsidRDefault="008A20F7" w:rsidP="008A20F7">
      <w:pPr>
        <w:jc w:val="both"/>
        <w:rPr>
          <w:b/>
        </w:rPr>
      </w:pPr>
      <w:r w:rsidRPr="001856D6">
        <w:rPr>
          <w:b/>
        </w:rPr>
        <w:t xml:space="preserve">Národný jadrový fond </w:t>
      </w:r>
    </w:p>
    <w:p w:rsidR="008A20F7" w:rsidRPr="001856D6" w:rsidRDefault="008A20F7" w:rsidP="008A20F7">
      <w:pPr>
        <w:rPr>
          <w:b/>
          <w:highlight w:val="yellow"/>
        </w:rPr>
      </w:pPr>
    </w:p>
    <w:p w:rsidR="008A20F7" w:rsidRPr="001856D6" w:rsidRDefault="008A20F7" w:rsidP="008A20F7">
      <w:pPr>
        <w:ind w:firstLine="708"/>
        <w:jc w:val="both"/>
      </w:pPr>
      <w:r w:rsidRPr="001856D6">
        <w:t>Návrh príjmov Národného jadrového fondu na vyraďovanie jadrových zariadení a na nakladanie s vyhoretým jadrovým palivom a rádioaktívnymi odpadmi (ďalej len „NJF“) na rok 2016 predstavuje 1,50 mld. eur, čo oproti schválenému rozpočtu na rok 2015 predstavuje nárast o 102 mil. eur. Na uvedenom náraste sa podieľa najmä medziročný nárast zostatku prostriedkov z minulého roka v sume 96 mil. eur.</w:t>
      </w:r>
    </w:p>
    <w:p w:rsidR="008A20F7" w:rsidRPr="001856D6" w:rsidRDefault="008A20F7" w:rsidP="008A20F7">
      <w:pPr>
        <w:jc w:val="both"/>
      </w:pPr>
    </w:p>
    <w:p w:rsidR="008A20F7" w:rsidRPr="001856D6" w:rsidRDefault="008A20F7" w:rsidP="008A20F7">
      <w:pPr>
        <w:ind w:firstLine="708"/>
        <w:jc w:val="both"/>
      </w:pPr>
      <w:r w:rsidRPr="001856D6">
        <w:t>Výdavky NJF na rok 2016 predstavujú sumu 50,8 mil. eur a v porovnaní so schváleným rozpočtom na rok 2015 klesajú o 20,4 mil. eur.</w:t>
      </w:r>
    </w:p>
    <w:p w:rsidR="008A20F7" w:rsidRPr="001856D6" w:rsidRDefault="008A20F7" w:rsidP="008A20F7">
      <w:pPr>
        <w:ind w:firstLine="708"/>
        <w:jc w:val="both"/>
      </w:pPr>
    </w:p>
    <w:p w:rsidR="008A20F7" w:rsidRPr="001856D6" w:rsidRDefault="008A20F7" w:rsidP="008A20F7">
      <w:pPr>
        <w:ind w:firstLine="708"/>
        <w:jc w:val="both"/>
      </w:pPr>
      <w:r w:rsidRPr="001856D6">
        <w:lastRenderedPageBreak/>
        <w:t>Celkový prebytok prostriedkov NJF na rok 2016 predstavuje 1,45 mld. eur a prebytok v metodike ESA 2010 na rok 2016 predstavuje 128 mil. eur.</w:t>
      </w:r>
    </w:p>
    <w:p w:rsidR="008A20F7" w:rsidRDefault="008A20F7" w:rsidP="008A20F7">
      <w:pPr>
        <w:rPr>
          <w:b/>
          <w:highlight w:val="yellow"/>
        </w:rPr>
      </w:pPr>
    </w:p>
    <w:p w:rsidR="000E3CBD" w:rsidRPr="001856D6" w:rsidRDefault="000E3CBD" w:rsidP="000E3CBD">
      <w:pPr>
        <w:jc w:val="both"/>
        <w:rPr>
          <w:b/>
        </w:rPr>
      </w:pPr>
      <w:r w:rsidRPr="001856D6">
        <w:rPr>
          <w:b/>
        </w:rPr>
        <w:t>Fond národného majetku SR</w:t>
      </w:r>
    </w:p>
    <w:p w:rsidR="000E3CBD" w:rsidRPr="001856D6" w:rsidRDefault="000E3CBD" w:rsidP="000E3CBD">
      <w:pPr>
        <w:jc w:val="both"/>
      </w:pPr>
    </w:p>
    <w:p w:rsidR="000E3CBD" w:rsidRPr="001856D6" w:rsidRDefault="000E3CBD" w:rsidP="000E3CBD">
      <w:pPr>
        <w:ind w:firstLine="708"/>
        <w:jc w:val="both"/>
      </w:pPr>
      <w:r w:rsidRPr="001856D6">
        <w:t>Príjmy Fondu národného majetku SR (ďalej len „FNM SR“) sa na rok 2016 navrhujú vo výške 67,5 mil. eur, čo predstavuje pokles oproti schválenému rozpočtu na rok 2015 v sume 19,9 mil. eur. Príčinou poklesu príjmov oproti schválenému rozpočtu na rok 2015 je pokles plánovaného príjmu z dividend o 15,4 mil. eur</w:t>
      </w:r>
      <w:r w:rsidR="008C34E5">
        <w:t xml:space="preserve"> z dôvodu odpredaja majetkových podielov spoločnosti Slovak Telekom, a. s.</w:t>
      </w:r>
      <w:r w:rsidRPr="001856D6">
        <w:t xml:space="preserve"> Zostatok peňažných prostriedkov z predchádzajúceho roka klesá o 4,4 mil. eur.</w:t>
      </w:r>
    </w:p>
    <w:p w:rsidR="000E3CBD" w:rsidRPr="001856D6" w:rsidRDefault="000E3CBD" w:rsidP="000E3CBD">
      <w:pPr>
        <w:jc w:val="both"/>
      </w:pPr>
    </w:p>
    <w:p w:rsidR="000E3CBD" w:rsidRPr="001856D6" w:rsidRDefault="000E3CBD" w:rsidP="000E3CBD">
      <w:pPr>
        <w:ind w:firstLine="708"/>
        <w:jc w:val="both"/>
      </w:pPr>
      <w:r w:rsidRPr="001856D6">
        <w:t xml:space="preserve">Na strane výdavkov FNM SR dochádza k poklesu oproti schválenému rozpočtu na rok 2015 o 21,6 mil. eur, keď celkové výdavky FNM SR sú navrhované na rok 2016 vo výške </w:t>
      </w:r>
      <w:r>
        <w:br/>
      </w:r>
      <w:r w:rsidRPr="001856D6">
        <w:t>5,4 mil. eur. Pokles výdavkov je zapríčinený znížením transferu do štátnych finančných aktív v dôsledku zníženého príjmu z dividend o 15,4 mil. eur, znížením výdavkov na bezodplatný prevod cenných papierov od fyzických osôb na FNM SR o 5,1 mil. eur a nerozpočtovaním výdavkov na ukončenie činnosti FNM SR</w:t>
      </w:r>
      <w:r w:rsidR="008C34E5">
        <w:t>.</w:t>
      </w:r>
    </w:p>
    <w:p w:rsidR="000E3CBD" w:rsidRPr="001856D6" w:rsidRDefault="000E3CBD" w:rsidP="000E3CBD">
      <w:pPr>
        <w:jc w:val="both"/>
      </w:pPr>
    </w:p>
    <w:p w:rsidR="000E3CBD" w:rsidRPr="001856D6" w:rsidRDefault="000E3CBD" w:rsidP="000E3CBD">
      <w:pPr>
        <w:ind w:firstLine="708"/>
        <w:jc w:val="both"/>
      </w:pPr>
      <w:r w:rsidRPr="001856D6">
        <w:t xml:space="preserve">Celkový hotovostný prebytok FNM SR v roku 2016 je navrhovaný vo výške </w:t>
      </w:r>
      <w:r>
        <w:br/>
      </w:r>
      <w:r w:rsidRPr="001856D6">
        <w:t>62,1 mil. eur a schodok v metodike ESA 2010 vo výške 5,2 mil. eur.</w:t>
      </w:r>
    </w:p>
    <w:p w:rsidR="000E3CBD" w:rsidRPr="001856D6" w:rsidRDefault="000E3CBD" w:rsidP="008A20F7">
      <w:pPr>
        <w:rPr>
          <w:b/>
          <w:highlight w:val="yellow"/>
        </w:rPr>
      </w:pPr>
    </w:p>
    <w:p w:rsidR="008A20F7" w:rsidRPr="001856D6" w:rsidRDefault="008A20F7" w:rsidP="008A20F7">
      <w:pPr>
        <w:rPr>
          <w:b/>
          <w:u w:val="single"/>
        </w:rPr>
      </w:pPr>
      <w:r w:rsidRPr="001856D6">
        <w:rPr>
          <w:b/>
        </w:rPr>
        <w:t>Environmentálny fond</w:t>
      </w:r>
    </w:p>
    <w:p w:rsidR="008A20F7" w:rsidRPr="001856D6" w:rsidRDefault="008A20F7" w:rsidP="008A20F7">
      <w:pPr>
        <w:ind w:firstLine="708"/>
        <w:jc w:val="both"/>
      </w:pPr>
    </w:p>
    <w:p w:rsidR="008A20F7" w:rsidRPr="001856D6" w:rsidRDefault="008A20F7" w:rsidP="008A20F7">
      <w:pPr>
        <w:ind w:firstLine="708"/>
        <w:jc w:val="both"/>
        <w:rPr>
          <w:b/>
          <w:u w:val="single"/>
        </w:rPr>
      </w:pPr>
      <w:r w:rsidRPr="001856D6">
        <w:t>Objem príjmov Environmentálneho fondu (ďalej len „EF“) navrhnutý na rok 2016</w:t>
      </w:r>
      <w:r w:rsidR="00200540">
        <w:t xml:space="preserve"> v sume 431 mil. eur</w:t>
      </w:r>
      <w:r w:rsidRPr="001856D6">
        <w:t>, ktorý má byť dosiahnutý rovnako ako po minulé roky výlučne z vlastných zdrojov bez dotácií zo štátneho rozpočtu, rastie oproti roku 2015 o 47,6 %</w:t>
      </w:r>
      <w:r w:rsidR="00733FD2">
        <w:t>,</w:t>
      </w:r>
      <w:r w:rsidRPr="001856D6">
        <w:t xml:space="preserve"> čo predstavuje 140 mil. eur. Dôvodom celkového nárastu príjmov je vyššia úroveň zostatku prostriedkov z predchádzajúcich rokov. </w:t>
      </w:r>
    </w:p>
    <w:p w:rsidR="008A20F7" w:rsidRPr="001856D6" w:rsidRDefault="008A20F7" w:rsidP="008A20F7">
      <w:pPr>
        <w:tabs>
          <w:tab w:val="left" w:pos="4007"/>
        </w:tabs>
        <w:jc w:val="both"/>
      </w:pPr>
      <w:r w:rsidRPr="001856D6">
        <w:tab/>
        <w:t xml:space="preserve"> </w:t>
      </w:r>
    </w:p>
    <w:p w:rsidR="008A20F7" w:rsidRPr="001856D6" w:rsidRDefault="008A20F7" w:rsidP="008A20F7">
      <w:pPr>
        <w:ind w:firstLine="708"/>
        <w:jc w:val="both"/>
      </w:pPr>
      <w:r w:rsidRPr="001856D6">
        <w:t>Výdavky EF navrhnuté na rok 2016 v celkovej výške 27 mil. eur rastú v porovnaní so schváleným rozpočtom roku 2015 o 168 tis. eur. Na rok 2016 sú rozpočtované bežné transfery vo výške 1,5 mil. eur a kapitálové transfery sú plánované na úrovni 18,5 mil. eur</w:t>
      </w:r>
      <w:r w:rsidR="00C15FAE">
        <w:t>.</w:t>
      </w:r>
      <w:r w:rsidRPr="001856D6">
        <w:t xml:space="preserve"> </w:t>
      </w:r>
      <w:r w:rsidR="00C15FAE">
        <w:t>I</w:t>
      </w:r>
      <w:r w:rsidRPr="001856D6">
        <w:t>de o výdavky, ktoré sú určené na dotácie v oblasti životného prostredia, smerované väčšinou obciam a svojou výškou zachovávajú úroveň schváleného rozpočtu 2015.</w:t>
      </w:r>
    </w:p>
    <w:p w:rsidR="008A20F7" w:rsidRPr="001856D6" w:rsidRDefault="008A20F7" w:rsidP="008A20F7">
      <w:pPr>
        <w:jc w:val="both"/>
      </w:pPr>
    </w:p>
    <w:p w:rsidR="008A20F7" w:rsidRPr="001856D6" w:rsidRDefault="008A20F7" w:rsidP="008A20F7">
      <w:pPr>
        <w:ind w:firstLine="708"/>
        <w:jc w:val="both"/>
      </w:pPr>
      <w:r w:rsidRPr="001856D6">
        <w:t>Celkový prebytok prostriedkov EF na rok 2016 predstavuje 404 mil. eur a prebytok v metodike ESA 2010 predstavuje 132 mil. eur.</w:t>
      </w:r>
    </w:p>
    <w:p w:rsidR="006754F0" w:rsidRPr="001856D6" w:rsidRDefault="006754F0" w:rsidP="008A20F7">
      <w:pPr>
        <w:jc w:val="both"/>
        <w:rPr>
          <w:highlight w:val="yellow"/>
        </w:rPr>
      </w:pPr>
    </w:p>
    <w:p w:rsidR="008A20F7" w:rsidRPr="001856D6" w:rsidRDefault="008A20F7" w:rsidP="008A20F7">
      <w:pPr>
        <w:jc w:val="both"/>
        <w:rPr>
          <w:b/>
        </w:rPr>
      </w:pPr>
      <w:r w:rsidRPr="001856D6">
        <w:rPr>
          <w:b/>
        </w:rPr>
        <w:t xml:space="preserve">Štátny fond rozvoja bývania </w:t>
      </w:r>
    </w:p>
    <w:p w:rsidR="008A20F7" w:rsidRPr="001856D6" w:rsidRDefault="008A20F7" w:rsidP="008A20F7">
      <w:pPr>
        <w:ind w:firstLine="708"/>
        <w:jc w:val="both"/>
      </w:pPr>
    </w:p>
    <w:p w:rsidR="008A20F7" w:rsidRPr="001856D6" w:rsidRDefault="008A20F7" w:rsidP="008A20F7">
      <w:pPr>
        <w:ind w:firstLine="708"/>
        <w:jc w:val="both"/>
      </w:pPr>
      <w:r w:rsidRPr="001856D6">
        <w:t xml:space="preserve">Príjmy Štátneho fondu rozvoja bývania (ďalej len „ŠFRB“) sa navrhujú na rok 2016 v sume 171 mil. eur a v porovnaní so schváleným rozpočtom roku 2015 sú nižšie </w:t>
      </w:r>
      <w:r w:rsidRPr="001856D6">
        <w:br/>
        <w:t>o 17,5 mil. eur, t. j. o 9,26 %. Na uvedenom znížení príjmov sa podieľajú najmä príjmy</w:t>
      </w:r>
      <w:r w:rsidRPr="001856D6">
        <w:br/>
        <w:t>z transferov</w:t>
      </w:r>
      <w:r w:rsidR="008C34E5">
        <w:t xml:space="preserve"> zo štátneho rozpočtu</w:t>
      </w:r>
      <w:r w:rsidRPr="001856D6">
        <w:t>, ktoré v porovnaní so schváleným</w:t>
      </w:r>
      <w:r w:rsidR="008C34E5">
        <w:t xml:space="preserve"> rozpočtom roku 2015 sú nižšie </w:t>
      </w:r>
      <w:r w:rsidRPr="001856D6">
        <w:t>o 29,9 mil. eur.</w:t>
      </w:r>
    </w:p>
    <w:p w:rsidR="008A20F7" w:rsidRPr="001856D6" w:rsidRDefault="008A20F7" w:rsidP="008A20F7">
      <w:pPr>
        <w:jc w:val="both"/>
      </w:pPr>
    </w:p>
    <w:p w:rsidR="008A20F7" w:rsidRPr="001856D6" w:rsidRDefault="008A20F7" w:rsidP="008A20F7">
      <w:pPr>
        <w:ind w:firstLine="708"/>
        <w:jc w:val="both"/>
      </w:pPr>
      <w:r w:rsidRPr="001856D6">
        <w:t>Výdavky ŠFRB sa navrhujú na rok 2016 v sume 157 mil. eur a v porovnaní so schváleným rozpočtom roku 2015 sú nižšie o 21,9 mil. eur, t. j. o 12,3 % najmä z dôvodu zníženia výdavkov na poskytované úvery o 22,4 mil. eur.</w:t>
      </w:r>
    </w:p>
    <w:p w:rsidR="008A20F7" w:rsidRPr="001856D6" w:rsidRDefault="008A20F7" w:rsidP="008A20F7">
      <w:pPr>
        <w:jc w:val="both"/>
      </w:pPr>
    </w:p>
    <w:p w:rsidR="008A20F7" w:rsidRPr="001856D6" w:rsidRDefault="008A20F7" w:rsidP="008A20F7">
      <w:pPr>
        <w:ind w:firstLine="708"/>
        <w:jc w:val="both"/>
      </w:pPr>
      <w:r w:rsidRPr="001856D6">
        <w:lastRenderedPageBreak/>
        <w:t>Celkový prebytok prostriedkov ŠFRB na rok 2016 predstavuje 14,1 mil. eur a prebytok v ESA 2010 na rok 2016 predstavuje 49,6 mil. eur.</w:t>
      </w:r>
    </w:p>
    <w:p w:rsidR="008A20F7" w:rsidRPr="001856D6" w:rsidRDefault="008A20F7" w:rsidP="008A20F7">
      <w:pPr>
        <w:jc w:val="both"/>
        <w:rPr>
          <w:b/>
          <w:highlight w:val="yellow"/>
        </w:rPr>
      </w:pPr>
    </w:p>
    <w:p w:rsidR="008A20F7" w:rsidRPr="001856D6" w:rsidRDefault="008A20F7" w:rsidP="008A20F7">
      <w:pPr>
        <w:rPr>
          <w:b/>
          <w:bCs/>
        </w:rPr>
      </w:pPr>
      <w:r w:rsidRPr="001856D6">
        <w:rPr>
          <w:b/>
          <w:bCs/>
        </w:rPr>
        <w:t>Úrad pre dohľad nad zdravotnou starostlivosťou</w:t>
      </w:r>
    </w:p>
    <w:p w:rsidR="008A20F7" w:rsidRPr="001856D6" w:rsidRDefault="008A20F7" w:rsidP="008A20F7">
      <w:pPr>
        <w:jc w:val="both"/>
        <w:rPr>
          <w:highlight w:val="yellow"/>
        </w:rPr>
      </w:pPr>
    </w:p>
    <w:p w:rsidR="008A20F7" w:rsidRPr="001856D6" w:rsidRDefault="008A20F7" w:rsidP="008A20F7">
      <w:pPr>
        <w:ind w:firstLine="708"/>
        <w:jc w:val="both"/>
      </w:pPr>
      <w:r w:rsidRPr="001856D6">
        <w:t xml:space="preserve">Návrh príjmov Úradu pre dohľad nad zdravotnou starostlivosťou (ďalej len „ÚDZS“) na rok 2016 v sume 39,9 mil. eur v porovnaní so schváleným rozpočtom  na rok 2015 v sume 39,7 mil. eur predstavuje nárast o 0,2 mil. eur. Nedaňové príjmy sa rozpočtujú na úrovni schváleného rozpočtu na rok 2015 vo výške 805 tis. eur. Zvýšenie celkových príjmov je v dôsledku rastu povinného príspevku zo zdravotných poisťovní, ktorého výška je taxatívne určená zákonom. Zostatok prostriedkov z predchádzajúcich rokov sa rozpočtuje v sume </w:t>
      </w:r>
      <w:r w:rsidR="004511A1">
        <w:br/>
      </w:r>
      <w:r w:rsidRPr="001856D6">
        <w:t>22,1 mil. eur.</w:t>
      </w:r>
    </w:p>
    <w:p w:rsidR="008A20F7" w:rsidRPr="001856D6" w:rsidRDefault="008A20F7" w:rsidP="008A20F7">
      <w:pPr>
        <w:jc w:val="both"/>
      </w:pPr>
    </w:p>
    <w:p w:rsidR="008A20F7" w:rsidRPr="001856D6" w:rsidRDefault="008A20F7" w:rsidP="008A20F7">
      <w:pPr>
        <w:ind w:firstLine="708"/>
        <w:jc w:val="both"/>
        <w:rPr>
          <w:highlight w:val="yellow"/>
        </w:rPr>
      </w:pPr>
      <w:r w:rsidRPr="001856D6">
        <w:t>Výdavky ÚDZS na rok 2016 sa navrhujú v sume 17,6 mil. eur, čo v porovnaní so schváleným rozpočtom na rok 2015 predstavuje pokles o 38 tis. eur. V nadväznosti na uvedené klesajú najmä výdavky na tovary a služby o 66 tis. eur, zároveň rastú kapitálové výdavky o 28 tis. eur.</w:t>
      </w:r>
    </w:p>
    <w:p w:rsidR="008A20F7" w:rsidRPr="001856D6" w:rsidRDefault="008A20F7" w:rsidP="008A20F7">
      <w:pPr>
        <w:jc w:val="both"/>
      </w:pPr>
    </w:p>
    <w:p w:rsidR="008A20F7" w:rsidRPr="001856D6" w:rsidRDefault="008A20F7" w:rsidP="008A20F7">
      <w:pPr>
        <w:ind w:firstLine="708"/>
        <w:jc w:val="both"/>
      </w:pPr>
      <w:r w:rsidRPr="001856D6">
        <w:t xml:space="preserve">Celkový prebytok prostriedkov ÚDZS na rok 2016 predstavuje 22,3 mil. eur </w:t>
      </w:r>
      <w:r w:rsidR="00C15FAE">
        <w:br/>
      </w:r>
      <w:r w:rsidRPr="001856D6">
        <w:t>a prebytok v metodike ESA 2010 na rok 2016 predstavuje 246  tis. eur.</w:t>
      </w:r>
    </w:p>
    <w:p w:rsidR="00E84B8D" w:rsidRDefault="00E84B8D" w:rsidP="004511A1">
      <w:pPr>
        <w:jc w:val="both"/>
        <w:rPr>
          <w:b/>
          <w:bCs/>
        </w:rPr>
      </w:pPr>
    </w:p>
    <w:p w:rsidR="004511A1" w:rsidRPr="001856D6" w:rsidRDefault="004511A1" w:rsidP="004511A1">
      <w:pPr>
        <w:jc w:val="both"/>
        <w:rPr>
          <w:b/>
          <w:bCs/>
        </w:rPr>
      </w:pPr>
      <w:r w:rsidRPr="001856D6">
        <w:rPr>
          <w:b/>
          <w:bCs/>
        </w:rPr>
        <w:t>Slovenský pozemkový fond</w:t>
      </w:r>
    </w:p>
    <w:p w:rsidR="004511A1" w:rsidRPr="001856D6" w:rsidRDefault="004511A1" w:rsidP="004511A1">
      <w:pPr>
        <w:jc w:val="both"/>
      </w:pPr>
    </w:p>
    <w:p w:rsidR="004511A1" w:rsidRPr="001856D6" w:rsidRDefault="004511A1" w:rsidP="004511A1">
      <w:pPr>
        <w:ind w:firstLine="708"/>
        <w:jc w:val="both"/>
      </w:pPr>
      <w:r w:rsidRPr="001856D6">
        <w:t xml:space="preserve">Celkové príjmy Slovenského pozemkového fondu (ďalej len „SPF“) na rok 2016 sú rozpočtované v sume 24,1 mil. eur. V porovnaní so schváleným rozpočtom na rok 2015 sú vyššie o 1,4 mil. eur, čo predstavuje nárast o 6,2 %, predovšetkým z dôvodu nárastu príjmov z predaja pozemkov. </w:t>
      </w:r>
    </w:p>
    <w:p w:rsidR="004511A1" w:rsidRPr="001856D6" w:rsidRDefault="004511A1" w:rsidP="004511A1">
      <w:pPr>
        <w:jc w:val="both"/>
      </w:pPr>
    </w:p>
    <w:p w:rsidR="004511A1" w:rsidRPr="001856D6" w:rsidRDefault="004511A1" w:rsidP="004511A1">
      <w:pPr>
        <w:ind w:firstLine="708"/>
        <w:jc w:val="both"/>
      </w:pPr>
      <w:r w:rsidRPr="001856D6">
        <w:t xml:space="preserve">Celkové výdavky SPF rozpočtované na rok 2016 v sume 15,9 mil. eur sú v porovnaní so schváleným rozpočtom na rok 2015 nižšie o 0,3 mil. eur, t. j. o 1,8 %. Bežné výdavky sú nižšie o 0,3 mil. eur, kapitálové výdavky sú zhruba na úrovni rozpočtu. V bežných výdavkoch sa premieta nárast najmä tovarov a služieb o 0,5 mil. eur v súvislosti </w:t>
      </w:r>
      <w:r w:rsidR="00C30784">
        <w:t xml:space="preserve">s </w:t>
      </w:r>
      <w:r w:rsidRPr="001856D6">
        <w:t xml:space="preserve">nárastom výdavkov na právne služby advokátskych kancelárií. Bežné transfery sú nižšie o 1,0 mil. eur, z dôvodu poklesu transferu pre Ministerstvo pôdohospodárstva a rozvoja vidieka SR o 0,5 mil. eur a poklesu výdavkov na náhrady v zriadených záhradkových osadách o 0,5 mil. eur. </w:t>
      </w:r>
    </w:p>
    <w:p w:rsidR="004511A1" w:rsidRPr="001856D6" w:rsidRDefault="004511A1" w:rsidP="004511A1">
      <w:pPr>
        <w:jc w:val="both"/>
      </w:pPr>
    </w:p>
    <w:p w:rsidR="004511A1" w:rsidRPr="001856D6" w:rsidRDefault="004511A1" w:rsidP="004511A1">
      <w:pPr>
        <w:ind w:firstLine="708"/>
        <w:jc w:val="both"/>
      </w:pPr>
      <w:r w:rsidRPr="001856D6">
        <w:t xml:space="preserve">Prebytok v metodike ESA 2010 ako aj celkový prebytok SPF v roku 2016 na hotovostnej báze sa predpokladá na úrovni 8,1 mil. eur, pričom v porovnaní so schváleným rozpočtom na rok 2015 je vyšší o 1,7 mil. eur, t. j. o 26,6 %. </w:t>
      </w:r>
    </w:p>
    <w:p w:rsidR="001C0A7F" w:rsidRDefault="001C0A7F" w:rsidP="006867E8">
      <w:pPr>
        <w:jc w:val="both"/>
        <w:rPr>
          <w:b/>
        </w:rPr>
      </w:pPr>
    </w:p>
    <w:p w:rsidR="006867E8" w:rsidRPr="001856D6" w:rsidRDefault="006867E8" w:rsidP="006867E8">
      <w:pPr>
        <w:jc w:val="both"/>
        <w:rPr>
          <w:b/>
        </w:rPr>
      </w:pPr>
      <w:r w:rsidRPr="001856D6">
        <w:rPr>
          <w:b/>
        </w:rPr>
        <w:t>Slovenská konsolidačná, a. s.</w:t>
      </w:r>
    </w:p>
    <w:p w:rsidR="006867E8" w:rsidRPr="001856D6" w:rsidRDefault="006867E8" w:rsidP="006867E8">
      <w:pPr>
        <w:jc w:val="both"/>
      </w:pPr>
    </w:p>
    <w:p w:rsidR="006867E8" w:rsidRPr="001856D6" w:rsidRDefault="006867E8" w:rsidP="006867E8">
      <w:pPr>
        <w:ind w:firstLine="708"/>
        <w:jc w:val="both"/>
      </w:pPr>
      <w:r w:rsidRPr="001856D6">
        <w:t xml:space="preserve">Príjmy Slovenskej konsolidačnej, a. s. (ďalej len „SK, a. s.“) sa navrhujú na rok 2016 vo výške 63,3 mil. eur a v porovnaní so schváleným rozpočtom na rok 2015 sú vyššie </w:t>
      </w:r>
      <w:r>
        <w:br/>
      </w:r>
      <w:r w:rsidRPr="001856D6">
        <w:t>o 7,6 mil. eur. Na zvýšení príjmov sa podieľa navýšenie príjmov z realizácie pohľadávok o 3,6 mil. eur a zostatok prostriedkov z predchádzajúceho roka, ktorý sa zvýši o 4,5 mil. eur.</w:t>
      </w:r>
    </w:p>
    <w:p w:rsidR="006867E8" w:rsidRPr="001856D6" w:rsidRDefault="006867E8" w:rsidP="006867E8">
      <w:pPr>
        <w:jc w:val="both"/>
      </w:pPr>
    </w:p>
    <w:p w:rsidR="006867E8" w:rsidRPr="001856D6" w:rsidRDefault="006867E8" w:rsidP="006867E8">
      <w:pPr>
        <w:ind w:firstLine="708"/>
        <w:jc w:val="both"/>
      </w:pPr>
      <w:r w:rsidRPr="001856D6">
        <w:t xml:space="preserve">Výdavky SK, a. s. sa navrhujú na rok 2016 vo výške 10,6 mil. eur a v porovnaní so schváleným rozpočtom na rok 2015 sú vyššie o 0,9 mil. eur. Nárast výdavkov zohľadňuje zvýšené nároky na SK, a. s. v súvislosti s aplikáciou novely zákona o pohľadávkach štátu. Osobné výdavky v porovnaní so schváleným rozpočtom na rok 2015 rastú o 0,6 mil. eur, </w:t>
      </w:r>
      <w:r w:rsidRPr="001856D6">
        <w:lastRenderedPageBreak/>
        <w:t xml:space="preserve">tovary a služby bez dividend o 0,5 mil. eur a kapitálové výdavky o 0,2 mil. eur. Výplata dividend akcionárovi Ministerstvu financií SR </w:t>
      </w:r>
      <w:r w:rsidR="008C34E5">
        <w:t>sa v súčasnosti predpokladá</w:t>
      </w:r>
      <w:r w:rsidRPr="001856D6">
        <w:t xml:space="preserve"> oproti schválenému rozpočtu na rok 2015 nižšia o 0,4 mil. eur.</w:t>
      </w:r>
    </w:p>
    <w:p w:rsidR="006867E8" w:rsidRPr="001856D6" w:rsidRDefault="006867E8" w:rsidP="006867E8">
      <w:pPr>
        <w:jc w:val="both"/>
      </w:pPr>
    </w:p>
    <w:p w:rsidR="006867E8" w:rsidRPr="001856D6" w:rsidRDefault="006867E8" w:rsidP="006867E8">
      <w:pPr>
        <w:ind w:firstLine="708"/>
        <w:jc w:val="both"/>
      </w:pPr>
      <w:r w:rsidRPr="001856D6">
        <w:t xml:space="preserve">Celkový hotovostný prebytok SK, a. s. v roku 2016 je navrhovaný vo výške </w:t>
      </w:r>
      <w:r>
        <w:br/>
      </w:r>
      <w:r w:rsidRPr="001856D6">
        <w:t>52,7 mil. eur a prebytok v metodike ESA 2010 v roku 2016 predstavuje 4,5 mil. eur.</w:t>
      </w:r>
    </w:p>
    <w:p w:rsidR="008A20F7" w:rsidRPr="001856D6" w:rsidRDefault="008A20F7" w:rsidP="008A20F7">
      <w:pPr>
        <w:jc w:val="both"/>
        <w:rPr>
          <w:b/>
          <w:bCs/>
          <w:highlight w:val="yellow"/>
        </w:rPr>
      </w:pPr>
    </w:p>
    <w:p w:rsidR="008A20F7" w:rsidRPr="001856D6" w:rsidRDefault="008A20F7" w:rsidP="008A20F7">
      <w:pPr>
        <w:jc w:val="both"/>
        <w:rPr>
          <w:b/>
        </w:rPr>
      </w:pPr>
      <w:r w:rsidRPr="001856D6">
        <w:rPr>
          <w:b/>
        </w:rPr>
        <w:t>Verejné vysoké školy</w:t>
      </w:r>
    </w:p>
    <w:p w:rsidR="008A20F7" w:rsidRPr="001856D6" w:rsidRDefault="008A20F7" w:rsidP="008A20F7">
      <w:pPr>
        <w:ind w:firstLine="708"/>
        <w:jc w:val="both"/>
      </w:pPr>
    </w:p>
    <w:p w:rsidR="008A20F7" w:rsidRPr="001856D6" w:rsidRDefault="008A20F7" w:rsidP="008A20F7">
      <w:pPr>
        <w:ind w:firstLine="708"/>
        <w:jc w:val="both"/>
      </w:pPr>
      <w:r w:rsidRPr="001856D6">
        <w:t xml:space="preserve">Návrh príjmov </w:t>
      </w:r>
      <w:r w:rsidR="008C34E5">
        <w:t>v</w:t>
      </w:r>
      <w:r w:rsidRPr="001856D6">
        <w:t xml:space="preserve">erejných vysokých škôl (ďalej len „VVŠ“) z hlavnej činnosti na rok 2016 predstavuje </w:t>
      </w:r>
      <w:r w:rsidR="00F75C66">
        <w:t>973</w:t>
      </w:r>
      <w:r w:rsidRPr="001856D6">
        <w:t>,</w:t>
      </w:r>
      <w:r w:rsidR="00F75C66">
        <w:t>4</w:t>
      </w:r>
      <w:r w:rsidRPr="001856D6">
        <w:t xml:space="preserve"> mil. eur, čo oproti schválenému rozpočtu na rok 2015 v sume </w:t>
      </w:r>
      <w:r w:rsidR="004511A1">
        <w:br/>
      </w:r>
      <w:r w:rsidRPr="001856D6">
        <w:t>943,1 mil. eur predstavuje nárast o</w:t>
      </w:r>
      <w:r w:rsidR="00F75C66">
        <w:t> 30,2</w:t>
      </w:r>
      <w:r w:rsidRPr="001856D6">
        <w:t xml:space="preserve"> mil. eur. Na uvedenom náraste sa podieľajú nedaňové príjmy, ktoré medziročne rastú o 15,1 mil. eur. Medziročný nárast sa prejavuje aj v celkových transfero</w:t>
      </w:r>
      <w:r w:rsidR="00C74298">
        <w:t>ch</w:t>
      </w:r>
      <w:r w:rsidRPr="001856D6">
        <w:t xml:space="preserve"> z rozpočtu verejnej správy v sume 15,1 mil. eur, z toho transfery štátneho rozpočtu z Ministerstva školstva, vedy, výskumu a športu SR rastú v sume 8,32 mil. eur </w:t>
      </w:r>
      <w:r w:rsidR="002A2126">
        <w:br/>
      </w:r>
      <w:r w:rsidRPr="001856D6">
        <w:t xml:space="preserve">a transfery zo štrukturálnych fondov vrátane spolufinancovania zo štátneho rozpočtu </w:t>
      </w:r>
      <w:r w:rsidR="004079F1">
        <w:t>rastú</w:t>
      </w:r>
      <w:r w:rsidRPr="001856D6">
        <w:t xml:space="preserve"> </w:t>
      </w:r>
      <w:r w:rsidR="004079F1">
        <w:br/>
      </w:r>
      <w:r w:rsidRPr="001856D6">
        <w:t xml:space="preserve">o 6,80 mil. eur. </w:t>
      </w:r>
      <w:r w:rsidR="00F75C66">
        <w:t>Nárast</w:t>
      </w:r>
      <w:r w:rsidRPr="001856D6">
        <w:t xml:space="preserve"> príjmov je zaznamenaný </w:t>
      </w:r>
      <w:r w:rsidR="00733FD2">
        <w:t>pri</w:t>
      </w:r>
      <w:r w:rsidRPr="001856D6">
        <w:t xml:space="preserve"> príjmoch z</w:t>
      </w:r>
      <w:r w:rsidR="00733FD2">
        <w:t>o</w:t>
      </w:r>
      <w:r w:rsidRPr="001856D6">
        <w:t xml:space="preserve"> </w:t>
      </w:r>
      <w:r w:rsidR="00733FD2" w:rsidRPr="001856D6">
        <w:t>zostatku prostriedkov z predchádzajúcich rokov</w:t>
      </w:r>
      <w:r w:rsidR="00733FD2">
        <w:t xml:space="preserve"> </w:t>
      </w:r>
      <w:r w:rsidRPr="001856D6">
        <w:t>o</w:t>
      </w:r>
      <w:r w:rsidR="00733FD2">
        <w:t xml:space="preserve"> sumu </w:t>
      </w:r>
      <w:r w:rsidR="00F75C66">
        <w:t>73</w:t>
      </w:r>
      <w:r w:rsidRPr="001856D6">
        <w:t>,</w:t>
      </w:r>
      <w:r w:rsidR="00F75C66">
        <w:t>2</w:t>
      </w:r>
      <w:r w:rsidR="00733FD2">
        <w:t xml:space="preserve"> </w:t>
      </w:r>
      <w:r w:rsidR="00F75C66">
        <w:t>tis</w:t>
      </w:r>
      <w:r w:rsidR="00733FD2">
        <w:t>. eur.</w:t>
      </w:r>
    </w:p>
    <w:p w:rsidR="008A20F7" w:rsidRPr="001856D6" w:rsidRDefault="008A20F7" w:rsidP="008A20F7">
      <w:pPr>
        <w:ind w:firstLine="708"/>
        <w:jc w:val="both"/>
      </w:pPr>
    </w:p>
    <w:p w:rsidR="008A20F7" w:rsidRPr="001856D6" w:rsidRDefault="008A20F7" w:rsidP="008A20F7">
      <w:pPr>
        <w:ind w:firstLine="708"/>
        <w:jc w:val="both"/>
      </w:pPr>
      <w:r w:rsidRPr="001856D6">
        <w:t>Výdavky VVŠ na rok 2016 predstavujú sumu 710,6 mil. eur, čo je nárast oproti roku 2015 o 30,</w:t>
      </w:r>
      <w:r w:rsidR="00E84B8D">
        <w:t>2</w:t>
      </w:r>
      <w:r w:rsidRPr="001856D6">
        <w:t xml:space="preserve"> mil. eur. Bežné výdavky medziročne rastú o 22,6 mil. eur najmä z dôvodu zapracovania valorizácie osobných výdavkov pre zamestnancov VVŠ a zvýšenia výdavkov zo štrukturálnych fondov vrátane spolufinancovania zo štátneho rozpočtu. Kapitálové výdavky medziročne rastú o 7,51 mil. eur</w:t>
      </w:r>
      <w:r w:rsidR="008C34E5">
        <w:t>,</w:t>
      </w:r>
      <w:r w:rsidRPr="001856D6">
        <w:t xml:space="preserve"> najmä z dôvodu financovania projektov zo štrukturálnych fondov vrátane spolufinancovania. </w:t>
      </w:r>
    </w:p>
    <w:p w:rsidR="008A20F7" w:rsidRPr="001856D6" w:rsidRDefault="008A20F7" w:rsidP="008A20F7">
      <w:pPr>
        <w:ind w:firstLine="708"/>
        <w:jc w:val="both"/>
      </w:pPr>
    </w:p>
    <w:p w:rsidR="008A20F7" w:rsidRPr="001856D6" w:rsidRDefault="008A20F7" w:rsidP="008A20F7">
      <w:pPr>
        <w:ind w:firstLine="708"/>
        <w:jc w:val="both"/>
      </w:pPr>
      <w:r w:rsidRPr="001856D6">
        <w:t xml:space="preserve">Celkový prebytok prostriedkov VVŠ na rok 2016 predstavuje </w:t>
      </w:r>
      <w:r w:rsidR="00F75C66">
        <w:t>262,7</w:t>
      </w:r>
      <w:r w:rsidRPr="001856D6">
        <w:t xml:space="preserve"> mil. eur </w:t>
      </w:r>
      <w:r w:rsidR="004511A1">
        <w:br/>
      </w:r>
      <w:r w:rsidRPr="001856D6">
        <w:t>a prebytok v metodike ESA 2010 na rok 2016 predstavuje 100,6 tis. eur.</w:t>
      </w:r>
    </w:p>
    <w:p w:rsidR="008A20F7" w:rsidRPr="001856D6" w:rsidRDefault="008A20F7" w:rsidP="008A20F7">
      <w:pPr>
        <w:ind w:firstLine="708"/>
        <w:jc w:val="both"/>
        <w:rPr>
          <w:highlight w:val="yellow"/>
        </w:rPr>
      </w:pPr>
    </w:p>
    <w:p w:rsidR="008A20F7" w:rsidRPr="001856D6" w:rsidRDefault="008A20F7" w:rsidP="008A20F7">
      <w:pPr>
        <w:pStyle w:val="Normlnywebov"/>
        <w:spacing w:before="0" w:beforeAutospacing="0" w:after="0" w:afterAutospacing="0"/>
        <w:jc w:val="both"/>
      </w:pPr>
      <w:r w:rsidRPr="001856D6">
        <w:rPr>
          <w:b/>
          <w:bCs/>
        </w:rPr>
        <w:t>Rozhlas a televízia Slovenska</w:t>
      </w:r>
    </w:p>
    <w:p w:rsidR="008A20F7" w:rsidRPr="001856D6" w:rsidRDefault="008A20F7" w:rsidP="008A20F7">
      <w:pPr>
        <w:pStyle w:val="Normlnywebov"/>
        <w:spacing w:before="0" w:beforeAutospacing="0" w:after="0" w:afterAutospacing="0"/>
        <w:ind w:firstLine="708"/>
        <w:jc w:val="both"/>
      </w:pPr>
    </w:p>
    <w:p w:rsidR="008A20F7" w:rsidRPr="001856D6" w:rsidRDefault="008A20F7" w:rsidP="008A20F7">
      <w:pPr>
        <w:pStyle w:val="Normlnywebov"/>
        <w:spacing w:before="0" w:beforeAutospacing="0" w:after="0" w:afterAutospacing="0"/>
        <w:ind w:firstLine="708"/>
        <w:jc w:val="both"/>
      </w:pPr>
      <w:r w:rsidRPr="001856D6">
        <w:t xml:space="preserve">Návrh príjmov Rozhlasu a televízie Slovenska (ďalej len „RTVS“) na rok 2016 predstavuje 102 mil. eur, čo v porovnaní so schváleným rozpočtom na rok 2015 vo výške </w:t>
      </w:r>
      <w:r w:rsidR="006867E8">
        <w:br/>
      </w:r>
      <w:r w:rsidRPr="001856D6">
        <w:t>105 mil. eur predstavuje pokles o 3,</w:t>
      </w:r>
      <w:r w:rsidR="001243B0">
        <w:t>0</w:t>
      </w:r>
      <w:r w:rsidRPr="001856D6">
        <w:t xml:space="preserve"> mil. eur. Daňové príjmy (úhrady za služby verejnosti poskytované RTVS) majú klesajúcu tendenciu (zaznamenávajú pokles o 738 tis. eur). Na poklese príjmov sa podieľa aj nižší transfer zo štátneho rozpočtu, ktorý je na rok 2016 rozpočtovaný v sume 26 mil. eur (pokles o 4,0 mil. eur), z toho bežný transfer sa navrhuje vo výške 23 mil. eur a kapitálový transfer vo výške 3,0 mil. eur.</w:t>
      </w:r>
    </w:p>
    <w:p w:rsidR="008A20F7" w:rsidRPr="001856D6" w:rsidRDefault="008A20F7" w:rsidP="008A20F7">
      <w:pPr>
        <w:pStyle w:val="Normlnywebov"/>
        <w:spacing w:before="0" w:beforeAutospacing="0" w:after="0" w:afterAutospacing="0"/>
        <w:ind w:firstLine="708"/>
        <w:jc w:val="both"/>
        <w:rPr>
          <w:highlight w:val="yellow"/>
        </w:rPr>
      </w:pPr>
    </w:p>
    <w:p w:rsidR="008A20F7" w:rsidRPr="001856D6" w:rsidRDefault="008A20F7" w:rsidP="008A20F7">
      <w:pPr>
        <w:pStyle w:val="Normlnywebov"/>
        <w:spacing w:before="0" w:beforeAutospacing="0" w:after="0" w:afterAutospacing="0"/>
        <w:ind w:firstLine="708"/>
        <w:jc w:val="both"/>
      </w:pPr>
      <w:r w:rsidRPr="001856D6">
        <w:t>Výdavky RTVS sa na rok 2016 rozpočtujú vo výške 99,2 mil. eur a v porovnaní so schváleným rozpočtom roku 2015 klesajú o 3,99 mil. eur. Na medziročnom poklese sa podieľajú nižšie bežné aj kapitálové výdavky v nadväznosti na nižší transfer zo štátneho rozpočtu.</w:t>
      </w:r>
    </w:p>
    <w:p w:rsidR="008A20F7" w:rsidRPr="001856D6" w:rsidRDefault="008A20F7" w:rsidP="008A20F7">
      <w:pPr>
        <w:pStyle w:val="Normlnywebov"/>
        <w:spacing w:before="0" w:beforeAutospacing="0" w:after="0" w:afterAutospacing="0"/>
        <w:ind w:firstLine="708"/>
        <w:jc w:val="both"/>
        <w:rPr>
          <w:highlight w:val="yellow"/>
        </w:rPr>
      </w:pPr>
    </w:p>
    <w:p w:rsidR="008A20F7" w:rsidRPr="001856D6" w:rsidRDefault="008A20F7" w:rsidP="008A20F7">
      <w:pPr>
        <w:pStyle w:val="Normlnywebov"/>
        <w:spacing w:before="0" w:beforeAutospacing="0" w:after="0" w:afterAutospacing="0"/>
        <w:ind w:firstLine="708"/>
        <w:jc w:val="both"/>
      </w:pPr>
      <w:r w:rsidRPr="001856D6">
        <w:t>Celková bilancia RTVS je zostavená s prebytkom 2,64 mil. eur a bilancia v metodike ESA 2010 je navrhovaná v sume 744 tis. eur.</w:t>
      </w:r>
    </w:p>
    <w:p w:rsidR="008A20F7" w:rsidRPr="001856D6" w:rsidRDefault="008A20F7" w:rsidP="008A20F7">
      <w:pPr>
        <w:jc w:val="both"/>
        <w:rPr>
          <w:b/>
        </w:rPr>
      </w:pPr>
    </w:p>
    <w:p w:rsidR="001243B0" w:rsidRDefault="001243B0" w:rsidP="008A20F7">
      <w:pPr>
        <w:jc w:val="both"/>
        <w:rPr>
          <w:b/>
        </w:rPr>
      </w:pPr>
    </w:p>
    <w:p w:rsidR="001243B0" w:rsidRDefault="001243B0" w:rsidP="008A20F7">
      <w:pPr>
        <w:jc w:val="both"/>
        <w:rPr>
          <w:b/>
        </w:rPr>
      </w:pPr>
    </w:p>
    <w:p w:rsidR="001243B0" w:rsidRDefault="001243B0" w:rsidP="008A20F7">
      <w:pPr>
        <w:jc w:val="both"/>
        <w:rPr>
          <w:b/>
        </w:rPr>
      </w:pPr>
    </w:p>
    <w:p w:rsidR="001243B0" w:rsidRDefault="001243B0" w:rsidP="008A20F7">
      <w:pPr>
        <w:jc w:val="both"/>
        <w:rPr>
          <w:b/>
        </w:rPr>
      </w:pPr>
    </w:p>
    <w:p w:rsidR="008A20F7" w:rsidRPr="001856D6" w:rsidRDefault="008A20F7" w:rsidP="008A20F7">
      <w:pPr>
        <w:jc w:val="both"/>
        <w:rPr>
          <w:b/>
        </w:rPr>
      </w:pPr>
      <w:r w:rsidRPr="001856D6">
        <w:rPr>
          <w:b/>
        </w:rPr>
        <w:lastRenderedPageBreak/>
        <w:t>Tlačová agentúra SR</w:t>
      </w:r>
    </w:p>
    <w:p w:rsidR="008A20F7" w:rsidRPr="001856D6" w:rsidRDefault="008A20F7" w:rsidP="008A20F7">
      <w:pPr>
        <w:jc w:val="both"/>
      </w:pPr>
    </w:p>
    <w:p w:rsidR="008A20F7" w:rsidRPr="001856D6" w:rsidRDefault="008A20F7" w:rsidP="008A20F7">
      <w:pPr>
        <w:ind w:firstLine="708"/>
        <w:jc w:val="both"/>
      </w:pPr>
      <w:r w:rsidRPr="001856D6">
        <w:t xml:space="preserve">Príjmy Tlačovej agentúry SR (ďalej len „TASR“) na rok 2016 sa navrhujú vo výške 4,66 mil. eur a v porovnaní so schváleným rozpočtom roku 2015 rastú o 260 tis. eur, </w:t>
      </w:r>
      <w:r w:rsidR="006867E8">
        <w:br/>
      </w:r>
      <w:r w:rsidRPr="001856D6">
        <w:t>t.</w:t>
      </w:r>
      <w:r w:rsidR="006867E8">
        <w:t xml:space="preserve"> </w:t>
      </w:r>
      <w:r w:rsidRPr="001856D6">
        <w:t xml:space="preserve">j. </w:t>
      </w:r>
      <w:r w:rsidR="003C1A42">
        <w:t xml:space="preserve">o </w:t>
      </w:r>
      <w:r w:rsidRPr="001856D6">
        <w:t xml:space="preserve">5,90 % z dôvodu očakávaných vyšších príjmov z predaja spravodajstva. </w:t>
      </w:r>
    </w:p>
    <w:p w:rsidR="008A20F7" w:rsidRPr="001856D6" w:rsidRDefault="008A20F7" w:rsidP="008A20F7">
      <w:pPr>
        <w:ind w:firstLine="708"/>
        <w:jc w:val="both"/>
      </w:pPr>
    </w:p>
    <w:p w:rsidR="008A20F7" w:rsidRPr="001856D6" w:rsidRDefault="008A20F7" w:rsidP="008A20F7">
      <w:pPr>
        <w:ind w:firstLine="708"/>
        <w:jc w:val="both"/>
      </w:pPr>
      <w:r w:rsidRPr="001856D6">
        <w:t>Návrh výdavkov subjektu na rok 2016 v zásade zachováva úroveň schváleného rozpočtu roku 2015 (nárast o 112 tis. eur, t.</w:t>
      </w:r>
      <w:r w:rsidR="006867E8">
        <w:t xml:space="preserve"> </w:t>
      </w:r>
      <w:r w:rsidRPr="001856D6">
        <w:t xml:space="preserve">j. o 2,76 %). </w:t>
      </w:r>
    </w:p>
    <w:p w:rsidR="008A20F7" w:rsidRPr="001856D6" w:rsidRDefault="008A20F7" w:rsidP="008A20F7">
      <w:pPr>
        <w:ind w:firstLine="708"/>
        <w:jc w:val="both"/>
      </w:pPr>
    </w:p>
    <w:p w:rsidR="008A20F7" w:rsidRPr="001856D6" w:rsidRDefault="008A20F7" w:rsidP="008A20F7">
      <w:pPr>
        <w:ind w:firstLine="708"/>
        <w:jc w:val="both"/>
      </w:pPr>
      <w:r w:rsidRPr="001856D6">
        <w:t xml:space="preserve">Celková bilancia TASR vo výške 474 tis. eur predstavuje mierne zlepšenie oproti rozpočtu 2015 (o 147 tis. eur) a prebytok v metodike ESA 2010 je rozpočtovaný v sume </w:t>
      </w:r>
      <w:r w:rsidR="006867E8">
        <w:br/>
      </w:r>
      <w:r w:rsidR="00286A6F">
        <w:t>147</w:t>
      </w:r>
      <w:r w:rsidRPr="001856D6">
        <w:t xml:space="preserve"> tis. eur.</w:t>
      </w:r>
    </w:p>
    <w:p w:rsidR="008A20F7" w:rsidRPr="001856D6" w:rsidRDefault="008A20F7" w:rsidP="008A20F7">
      <w:pPr>
        <w:jc w:val="both"/>
        <w:rPr>
          <w:b/>
          <w:highlight w:val="yellow"/>
        </w:rPr>
      </w:pPr>
    </w:p>
    <w:p w:rsidR="008A20F7" w:rsidRPr="001856D6" w:rsidRDefault="008A20F7" w:rsidP="008A20F7">
      <w:pPr>
        <w:rPr>
          <w:b/>
        </w:rPr>
      </w:pPr>
      <w:r w:rsidRPr="001856D6">
        <w:rPr>
          <w:b/>
        </w:rPr>
        <w:t>Úrad pre dohľad nad výkonom auditu</w:t>
      </w:r>
    </w:p>
    <w:p w:rsidR="008A20F7" w:rsidRPr="001856D6" w:rsidRDefault="008A20F7" w:rsidP="008A20F7">
      <w:pPr>
        <w:jc w:val="both"/>
        <w:rPr>
          <w:highlight w:val="yellow"/>
        </w:rPr>
      </w:pPr>
    </w:p>
    <w:p w:rsidR="008A20F7" w:rsidRPr="001856D6" w:rsidRDefault="008A20F7" w:rsidP="008A20F7">
      <w:pPr>
        <w:ind w:firstLine="708"/>
        <w:jc w:val="both"/>
      </w:pPr>
      <w:r w:rsidRPr="001856D6">
        <w:t>Príjmy Úradu pre dohľad nad výkonom auditu (ďalej len „ÚDVA“) na rok 2016 sú navrhnuté vo výške 1,</w:t>
      </w:r>
      <w:r w:rsidR="001243B0">
        <w:t>31</w:t>
      </w:r>
      <w:r w:rsidRPr="001856D6">
        <w:t xml:space="preserve"> mil. eur. V porovnaní so schváleným rozpočtom na rok 2015 s</w:t>
      </w:r>
      <w:r w:rsidR="001E6D36">
        <w:t>a príjmy rozpočtujú na približne rovnakej medziročnej úrovni.</w:t>
      </w:r>
      <w:r w:rsidRPr="001856D6">
        <w:t xml:space="preserve"> </w:t>
      </w:r>
    </w:p>
    <w:p w:rsidR="008A20F7" w:rsidRPr="001856D6" w:rsidRDefault="008A20F7" w:rsidP="008A20F7">
      <w:pPr>
        <w:jc w:val="both"/>
      </w:pPr>
    </w:p>
    <w:p w:rsidR="008A20F7" w:rsidRPr="001856D6" w:rsidRDefault="008A20F7" w:rsidP="008A20F7">
      <w:pPr>
        <w:ind w:firstLine="708"/>
        <w:jc w:val="both"/>
      </w:pPr>
      <w:r w:rsidRPr="001856D6">
        <w:t xml:space="preserve">Návrh výdavkov ÚDVA na rok 2016 sa rozpočtuje vo výške 785 tis. eur. V porovnaní so schváleným rozpočtom na rok 2015 sa výdavky rozpočtujú na rovnakej medziročnej úrovni. </w:t>
      </w:r>
    </w:p>
    <w:p w:rsidR="008A20F7" w:rsidRPr="001856D6" w:rsidRDefault="008A20F7" w:rsidP="008A20F7">
      <w:pPr>
        <w:jc w:val="both"/>
      </w:pPr>
    </w:p>
    <w:p w:rsidR="008A20F7" w:rsidRPr="001856D6" w:rsidRDefault="008A20F7" w:rsidP="00CF7A5F">
      <w:pPr>
        <w:ind w:firstLine="708"/>
        <w:jc w:val="both"/>
      </w:pPr>
      <w:r w:rsidRPr="001856D6">
        <w:t xml:space="preserve">Celkový prebytok v roku 2016 je rozpočtovaný vo výške </w:t>
      </w:r>
      <w:r w:rsidR="00D641D0">
        <w:t>529</w:t>
      </w:r>
      <w:r w:rsidRPr="001856D6">
        <w:t xml:space="preserve"> tis. eur a v metodike ESA 2010 je navrhnutý </w:t>
      </w:r>
      <w:r w:rsidR="00D641D0">
        <w:t>prebytok</w:t>
      </w:r>
      <w:r w:rsidRPr="001856D6">
        <w:t xml:space="preserve"> vo výške 3,5 tis. eur.</w:t>
      </w:r>
    </w:p>
    <w:p w:rsidR="00CF7A5F" w:rsidRDefault="00CF7A5F" w:rsidP="008A20F7">
      <w:pPr>
        <w:jc w:val="both"/>
        <w:rPr>
          <w:b/>
        </w:rPr>
      </w:pPr>
    </w:p>
    <w:p w:rsidR="008A20F7" w:rsidRPr="001856D6" w:rsidRDefault="008A20F7" w:rsidP="008A20F7">
      <w:pPr>
        <w:jc w:val="both"/>
        <w:rPr>
          <w:b/>
        </w:rPr>
      </w:pPr>
      <w:r w:rsidRPr="001856D6">
        <w:rPr>
          <w:b/>
        </w:rPr>
        <w:t>Audiovizuálny fond</w:t>
      </w:r>
    </w:p>
    <w:p w:rsidR="008A20F7" w:rsidRPr="001856D6" w:rsidRDefault="008A20F7" w:rsidP="008A20F7">
      <w:pPr>
        <w:jc w:val="both"/>
        <w:rPr>
          <w:highlight w:val="yellow"/>
        </w:rPr>
      </w:pPr>
    </w:p>
    <w:p w:rsidR="008A20F7" w:rsidRPr="001856D6" w:rsidRDefault="008A20F7" w:rsidP="008A20F7">
      <w:pPr>
        <w:ind w:firstLine="708"/>
        <w:jc w:val="both"/>
      </w:pPr>
      <w:r w:rsidRPr="001856D6">
        <w:t>Príjmy Audiovizuálneho fondu (ďalej len „AVF“) na rok 2016 sú navrhované vo výške 10,2 mil. eur, z toho predstavuje transfer zo štátneho rozpočtu sumu 4,0 mil. eur. Návrh príjmov AVF v porovnaní so schváleným rozpočtom roku 2015 (10,4 mil. eur) klesá o 279 tis. eur, t.</w:t>
      </w:r>
      <w:r w:rsidR="0094502B">
        <w:t xml:space="preserve"> </w:t>
      </w:r>
      <w:r w:rsidRPr="001856D6">
        <w:t xml:space="preserve">j. o 2,67 %. </w:t>
      </w:r>
    </w:p>
    <w:p w:rsidR="008A20F7" w:rsidRPr="001856D6" w:rsidRDefault="008A20F7" w:rsidP="008A20F7">
      <w:pPr>
        <w:ind w:firstLine="708"/>
        <w:jc w:val="both"/>
        <w:rPr>
          <w:highlight w:val="yellow"/>
        </w:rPr>
      </w:pPr>
    </w:p>
    <w:p w:rsidR="008A20F7" w:rsidRPr="001856D6" w:rsidRDefault="008A20F7" w:rsidP="008A20F7">
      <w:pPr>
        <w:ind w:firstLine="708"/>
        <w:jc w:val="both"/>
        <w:rPr>
          <w:highlight w:val="yellow"/>
        </w:rPr>
      </w:pPr>
      <w:r w:rsidRPr="001856D6">
        <w:t>Výdavky AVF rastú o 122 tis. eur na úroveň 7,50 mil. eur, z toho sa bežné výdavky navrhujú v sume 6,65 mil. eur, kapitálové výdavky v sume 355 tis. eur a pôžičky z prostriedkov fondu v sume 500 tis. eur.</w:t>
      </w:r>
      <w:r w:rsidRPr="001856D6">
        <w:rPr>
          <w:highlight w:val="yellow"/>
        </w:rPr>
        <w:t xml:space="preserve"> </w:t>
      </w:r>
    </w:p>
    <w:p w:rsidR="008A20F7" w:rsidRPr="001856D6" w:rsidRDefault="008A20F7" w:rsidP="008A20F7">
      <w:pPr>
        <w:ind w:firstLine="708"/>
        <w:jc w:val="both"/>
        <w:rPr>
          <w:highlight w:val="yellow"/>
        </w:rPr>
      </w:pPr>
    </w:p>
    <w:p w:rsidR="008A20F7" w:rsidRPr="001856D6" w:rsidRDefault="008A20F7" w:rsidP="008A20F7">
      <w:pPr>
        <w:ind w:firstLine="708"/>
        <w:jc w:val="both"/>
      </w:pPr>
      <w:r w:rsidRPr="001856D6">
        <w:t>Celková bilancia AVF je rozpočtovaná vo výške 2,65 mil. eur a v metodike ESA 2010 sa v roku 2016 predpokladá vyrovnané hospodárenie.</w:t>
      </w:r>
    </w:p>
    <w:p w:rsidR="006754F0" w:rsidRDefault="006754F0" w:rsidP="007C3D51">
      <w:pPr>
        <w:rPr>
          <w:b/>
        </w:rPr>
      </w:pPr>
    </w:p>
    <w:p w:rsidR="007C3D51" w:rsidRPr="001856D6" w:rsidRDefault="007C3D51" w:rsidP="007C3D51">
      <w:pPr>
        <w:rPr>
          <w:b/>
        </w:rPr>
      </w:pPr>
      <w:r w:rsidRPr="001856D6">
        <w:rPr>
          <w:b/>
        </w:rPr>
        <w:t>Kancelária Rady pre rozpočtovú zodpovednosť</w:t>
      </w:r>
    </w:p>
    <w:p w:rsidR="007C3D51" w:rsidRPr="001856D6" w:rsidRDefault="007C3D51" w:rsidP="007C3D51">
      <w:pPr>
        <w:jc w:val="both"/>
      </w:pPr>
    </w:p>
    <w:p w:rsidR="007C3D51" w:rsidRPr="001856D6" w:rsidRDefault="007C3D51" w:rsidP="007C3D51">
      <w:pPr>
        <w:ind w:firstLine="708"/>
        <w:jc w:val="both"/>
      </w:pPr>
      <w:r w:rsidRPr="001856D6">
        <w:t xml:space="preserve">Príjmy Kancelárie rady pre rozpočtovú zodpovednosť (ďalej len </w:t>
      </w:r>
      <w:r w:rsidR="00C30784">
        <w:t>„</w:t>
      </w:r>
      <w:r w:rsidRPr="001856D6">
        <w:t>KRRZ</w:t>
      </w:r>
      <w:r w:rsidR="00C30784">
        <w:t>“</w:t>
      </w:r>
      <w:r w:rsidRPr="001856D6">
        <w:t>) na rok 2016 sa navrhujú vo výške 1,428 mil. eur. V porovnaní so schváleným rozpočtom príjmov na rok 2015 príjmy klesajú o 88 tis. eur, čo predstavuje pokles o 5,8 % najmä z dôvodu poklesu prostriedkov z minulých rokov.</w:t>
      </w:r>
    </w:p>
    <w:p w:rsidR="007C3D51" w:rsidRPr="001856D6" w:rsidRDefault="007C3D51" w:rsidP="007C3D51">
      <w:pPr>
        <w:ind w:firstLine="708"/>
        <w:jc w:val="both"/>
      </w:pPr>
    </w:p>
    <w:p w:rsidR="007C3D51" w:rsidRPr="001856D6" w:rsidRDefault="007C3D51" w:rsidP="007C3D51">
      <w:pPr>
        <w:ind w:firstLine="708"/>
        <w:jc w:val="both"/>
      </w:pPr>
      <w:r w:rsidRPr="001856D6">
        <w:t xml:space="preserve">Návrh výdavkov KRRZ na rok 2016 sa rozpočtuje vo výške 1,214 </w:t>
      </w:r>
      <w:r w:rsidR="004B1BC6">
        <w:t>mil</w:t>
      </w:r>
      <w:r w:rsidRPr="001856D6">
        <w:t>. eur. V porovnaní so schváleným rozpočtom na rok 2015 klesajú výdavky o 9 tis. eur</w:t>
      </w:r>
      <w:r w:rsidR="00CF7A5F">
        <w:t>,</w:t>
      </w:r>
      <w:r w:rsidRPr="001856D6">
        <w:t xml:space="preserve"> čo predstavuje pokles o 1 % najmä z dôvodu poklesu bežných výdavkov na tovary a služby a kapitálových výdavkov. </w:t>
      </w:r>
    </w:p>
    <w:p w:rsidR="007C3D51" w:rsidRPr="001856D6" w:rsidRDefault="007C3D51" w:rsidP="007C3D51">
      <w:pPr>
        <w:ind w:firstLine="708"/>
        <w:jc w:val="both"/>
      </w:pPr>
    </w:p>
    <w:p w:rsidR="007C3D51" w:rsidRPr="001856D6" w:rsidRDefault="007C3D51" w:rsidP="007C3D51">
      <w:pPr>
        <w:ind w:firstLine="708"/>
        <w:jc w:val="both"/>
      </w:pPr>
      <w:r w:rsidRPr="001856D6">
        <w:t>Celkový prebytok KRRZ v roku 2016 je rozpočtovaný vo výške 214 tis. eur, v metodike ESA 2010 je navrhnutý prebytok vo výške 86 tis. eur.</w:t>
      </w:r>
    </w:p>
    <w:p w:rsidR="008A20F7" w:rsidRPr="001856D6" w:rsidRDefault="008A20F7" w:rsidP="008A20F7">
      <w:pPr>
        <w:jc w:val="both"/>
        <w:rPr>
          <w:b/>
          <w:highlight w:val="yellow"/>
        </w:rPr>
      </w:pPr>
    </w:p>
    <w:p w:rsidR="008A20F7" w:rsidRPr="001856D6" w:rsidRDefault="008A20F7" w:rsidP="008A20F7">
      <w:pPr>
        <w:jc w:val="both"/>
        <w:rPr>
          <w:b/>
        </w:rPr>
      </w:pPr>
      <w:r w:rsidRPr="001856D6">
        <w:rPr>
          <w:b/>
        </w:rPr>
        <w:t xml:space="preserve">Železnice SR </w:t>
      </w:r>
    </w:p>
    <w:p w:rsidR="008A20F7" w:rsidRPr="001856D6" w:rsidRDefault="008A20F7" w:rsidP="008A20F7">
      <w:pPr>
        <w:ind w:firstLine="708"/>
        <w:jc w:val="both"/>
      </w:pPr>
    </w:p>
    <w:p w:rsidR="008A20F7" w:rsidRPr="001856D6" w:rsidRDefault="008A20F7" w:rsidP="008A20F7">
      <w:pPr>
        <w:ind w:firstLine="708"/>
        <w:jc w:val="both"/>
      </w:pPr>
      <w:r w:rsidRPr="001856D6">
        <w:t>Príjmy Železníc SR (ďalej len „ŽSR“) sa navrhujú na rok 2016 v sume 780 mil. eur</w:t>
      </w:r>
      <w:r w:rsidRPr="001856D6">
        <w:br/>
        <w:t>a v porovnaní so schváleným rozpočtom roku 2015 sú nižšie o 244 mil. eur, t. j. o </w:t>
      </w:r>
      <w:r w:rsidR="007527CE">
        <w:t>23</w:t>
      </w:r>
      <w:r w:rsidRPr="001856D6">
        <w:t>,</w:t>
      </w:r>
      <w:r w:rsidR="007527CE">
        <w:t>8</w:t>
      </w:r>
      <w:r w:rsidRPr="001856D6">
        <w:t xml:space="preserve"> %. </w:t>
      </w:r>
      <w:r w:rsidRPr="001856D6">
        <w:br/>
        <w:t>Na uvedenom znížení príjmov sa podieľajú nedaňové príjmy, ktoré v porovnaní</w:t>
      </w:r>
      <w:r w:rsidRPr="001856D6">
        <w:br/>
        <w:t>so schváleným rozpočtom roku 2015 sú nižšie o 22,3 mil. eur, príjmy z transferov sú nižšie o 188 mil. eur (z toho zo zdrojov EÚ o 142 mil. eur, zo spolufinancovania</w:t>
      </w:r>
      <w:r w:rsidR="003C1A42">
        <w:t xml:space="preserve"> </w:t>
      </w:r>
      <w:r w:rsidRPr="001856D6">
        <w:t>o 24,9 m</w:t>
      </w:r>
      <w:r w:rsidR="007C3D51">
        <w:t>i</w:t>
      </w:r>
      <w:r w:rsidRPr="001856D6">
        <w:t>l. eur</w:t>
      </w:r>
      <w:r w:rsidR="003C1A42">
        <w:t xml:space="preserve"> </w:t>
      </w:r>
      <w:r w:rsidRPr="001856D6">
        <w:t>a z prostriedkov štátneho rozpočtu o 21,7 mil. eur) a zostatok prostriedkov</w:t>
      </w:r>
      <w:r w:rsidR="003C1A42">
        <w:t xml:space="preserve"> </w:t>
      </w:r>
      <w:r w:rsidRPr="001856D6">
        <w:t>z predchádzajúceho roka je nižší o 33,0 mil. eur.</w:t>
      </w:r>
    </w:p>
    <w:p w:rsidR="008A20F7" w:rsidRPr="001856D6" w:rsidRDefault="008A20F7" w:rsidP="008A20F7">
      <w:pPr>
        <w:jc w:val="both"/>
      </w:pPr>
    </w:p>
    <w:p w:rsidR="008A20F7" w:rsidRPr="001856D6" w:rsidRDefault="008A20F7" w:rsidP="008A20F7">
      <w:pPr>
        <w:ind w:firstLine="708"/>
        <w:jc w:val="both"/>
      </w:pPr>
      <w:r w:rsidRPr="001856D6">
        <w:t>Výdavky ŽSR sa navrhujú na rok 2016 v sume 719 mil. eur a v porovnaní</w:t>
      </w:r>
      <w:r w:rsidRPr="001856D6">
        <w:br/>
        <w:t xml:space="preserve">so schváleným rozpočtom roku 2015 sú nižšie o 211 mil. eur, t. j. o </w:t>
      </w:r>
      <w:r w:rsidR="007527CE">
        <w:t>22</w:t>
      </w:r>
      <w:r w:rsidRPr="001856D6">
        <w:t>,</w:t>
      </w:r>
      <w:r w:rsidR="007527CE">
        <w:t>7</w:t>
      </w:r>
      <w:r w:rsidRPr="001856D6">
        <w:t xml:space="preserve"> % z dôvodu poklesu bežných výdavkov o 8,93 mil. eur a kapitálových výdavkov o 202 mil. eur.</w:t>
      </w:r>
    </w:p>
    <w:p w:rsidR="008A20F7" w:rsidRPr="001856D6" w:rsidRDefault="008A20F7" w:rsidP="008A20F7">
      <w:pPr>
        <w:jc w:val="both"/>
      </w:pPr>
    </w:p>
    <w:p w:rsidR="008A20F7" w:rsidRPr="001856D6" w:rsidRDefault="008A20F7" w:rsidP="008A20F7">
      <w:pPr>
        <w:ind w:firstLine="708"/>
        <w:jc w:val="both"/>
      </w:pPr>
      <w:r w:rsidRPr="001856D6">
        <w:t>Celkový prebytok prostriedkov ŽSR na rok 2016 predstavuje 61,2 mil. eur a</w:t>
      </w:r>
      <w:r w:rsidR="00C351D8">
        <w:t> </w:t>
      </w:r>
      <w:r w:rsidR="00C351D8">
        <w:br/>
      </w:r>
      <w:r w:rsidRPr="001856D6">
        <w:t>v</w:t>
      </w:r>
      <w:r w:rsidR="00C351D8">
        <w:t xml:space="preserve"> metodike</w:t>
      </w:r>
      <w:r w:rsidRPr="001856D6">
        <w:t xml:space="preserve"> ESA 2010 na rok 2016 </w:t>
      </w:r>
      <w:r w:rsidR="00C351D8">
        <w:t xml:space="preserve">sa </w:t>
      </w:r>
      <w:r w:rsidRPr="001856D6">
        <w:t>predpokladá vyrovnané hospodárenie.</w:t>
      </w:r>
    </w:p>
    <w:p w:rsidR="00CF7A5F" w:rsidRDefault="00CF7A5F" w:rsidP="008A20F7">
      <w:pPr>
        <w:jc w:val="both"/>
        <w:rPr>
          <w:b/>
        </w:rPr>
      </w:pPr>
    </w:p>
    <w:p w:rsidR="008A20F7" w:rsidRPr="001856D6" w:rsidRDefault="008A20F7" w:rsidP="008A20F7">
      <w:pPr>
        <w:jc w:val="both"/>
        <w:rPr>
          <w:b/>
        </w:rPr>
      </w:pPr>
      <w:r w:rsidRPr="001856D6">
        <w:rPr>
          <w:b/>
        </w:rPr>
        <w:t>Národná diaľničná spoločnosť, a.</w:t>
      </w:r>
      <w:r w:rsidR="00C30784">
        <w:rPr>
          <w:b/>
        </w:rPr>
        <w:t xml:space="preserve"> </w:t>
      </w:r>
      <w:r w:rsidRPr="001856D6">
        <w:rPr>
          <w:b/>
        </w:rPr>
        <w:t xml:space="preserve">s. </w:t>
      </w:r>
    </w:p>
    <w:p w:rsidR="008A20F7" w:rsidRPr="001856D6" w:rsidRDefault="008A20F7" w:rsidP="008A20F7">
      <w:pPr>
        <w:ind w:firstLine="708"/>
        <w:jc w:val="both"/>
      </w:pPr>
    </w:p>
    <w:p w:rsidR="008A20F7" w:rsidRPr="001856D6" w:rsidRDefault="008A20F7" w:rsidP="008A20F7">
      <w:pPr>
        <w:ind w:firstLine="708"/>
        <w:jc w:val="both"/>
      </w:pPr>
      <w:r w:rsidRPr="001856D6">
        <w:t>Príjmy Národnej diaľničnej spoločnosti, a.</w:t>
      </w:r>
      <w:r w:rsidR="00C30784">
        <w:t xml:space="preserve"> </w:t>
      </w:r>
      <w:r w:rsidRPr="001856D6">
        <w:t>s. (ďalej len „NDS“) sa navrhujú na rok 2016 v sume 1,01 mld. eur a v porovnaní so schváleným rozpočtom roku 2015 sú vyššie o 133 mil. eur, t. j. o </w:t>
      </w:r>
      <w:r w:rsidR="004C6032">
        <w:t>15</w:t>
      </w:r>
      <w:r w:rsidRPr="001856D6">
        <w:t>,</w:t>
      </w:r>
      <w:r w:rsidR="004C6032">
        <w:t>0</w:t>
      </w:r>
      <w:r w:rsidRPr="001856D6">
        <w:t xml:space="preserve"> %. Na uvedenom zvýšení príjmov sa podieľajú najmä príjmy</w:t>
      </w:r>
      <w:r w:rsidRPr="001856D6">
        <w:br/>
        <w:t>z transferov, ktoré v porovnaní so schváleným rozpočtom roku 2015 sú vyššie o 174 mil. eur (z toho zo zdrojov EÚ o 121 mil. eur, zo zdrojov spolufinancovania o 24,2 mil. eur a z prostriedkov štátneho rozpočtu o 28,6 mil. eur).</w:t>
      </w:r>
    </w:p>
    <w:p w:rsidR="008A20F7" w:rsidRPr="001856D6" w:rsidRDefault="004C6032" w:rsidP="008A20F7">
      <w:pPr>
        <w:jc w:val="both"/>
      </w:pPr>
      <w:r>
        <w:t xml:space="preserve"> </w:t>
      </w:r>
    </w:p>
    <w:p w:rsidR="008A20F7" w:rsidRDefault="004F610D" w:rsidP="004C6032">
      <w:pPr>
        <w:ind w:firstLine="708"/>
        <w:jc w:val="both"/>
        <w:rPr>
          <w:szCs w:val="22"/>
        </w:rPr>
      </w:pPr>
      <w:r w:rsidRPr="004F610D">
        <w:rPr>
          <w:szCs w:val="22"/>
        </w:rPr>
        <w:t>Výdavky NDS sa navrhujú na rok 2016 v sume 1,0 mld. eur a v porovnaní</w:t>
      </w:r>
      <w:r w:rsidRPr="004F610D">
        <w:rPr>
          <w:szCs w:val="22"/>
        </w:rPr>
        <w:br/>
        <w:t xml:space="preserve">so schváleným rozpočtom roku 2015 sú vyššie o 172 mil. eur, t. j. o </w:t>
      </w:r>
      <w:r w:rsidR="004C6032">
        <w:rPr>
          <w:szCs w:val="22"/>
        </w:rPr>
        <w:t>20</w:t>
      </w:r>
      <w:r w:rsidRPr="004F610D">
        <w:rPr>
          <w:szCs w:val="22"/>
        </w:rPr>
        <w:t>,</w:t>
      </w:r>
      <w:r w:rsidR="004C6032">
        <w:rPr>
          <w:szCs w:val="22"/>
        </w:rPr>
        <w:t>8</w:t>
      </w:r>
      <w:r w:rsidRPr="004F610D">
        <w:rPr>
          <w:szCs w:val="22"/>
        </w:rPr>
        <w:t xml:space="preserve"> %. Bežné výdavky klesajú o 35,5 mil. eur, najmä v oblasti tovarov a služieb. Kapitálové výdavky rastú o </w:t>
      </w:r>
      <w:r w:rsidR="00C30784">
        <w:rPr>
          <w:szCs w:val="22"/>
        </w:rPr>
        <w:br/>
      </w:r>
      <w:r w:rsidRPr="004F610D">
        <w:rPr>
          <w:szCs w:val="22"/>
        </w:rPr>
        <w:t>208 mil. eur, z dôvodu nárastu kapitálových transferov z prostriedkov EÚ, spolufinancovania  a štátneho rozpočtu celkov</w:t>
      </w:r>
      <w:r w:rsidR="00C30784">
        <w:rPr>
          <w:szCs w:val="22"/>
        </w:rPr>
        <w:t>o</w:t>
      </w:r>
      <w:r w:rsidRPr="004F610D">
        <w:rPr>
          <w:szCs w:val="22"/>
        </w:rPr>
        <w:t xml:space="preserve"> o 174 mil. eur a z vlastných zdrojov o 33,6 mil. eur.</w:t>
      </w:r>
    </w:p>
    <w:p w:rsidR="004F610D" w:rsidRPr="001856D6" w:rsidRDefault="004F610D" w:rsidP="008A20F7">
      <w:pPr>
        <w:jc w:val="both"/>
      </w:pPr>
    </w:p>
    <w:p w:rsidR="008A20F7" w:rsidRPr="001856D6" w:rsidRDefault="008A20F7" w:rsidP="008A20F7">
      <w:pPr>
        <w:ind w:firstLine="708"/>
        <w:jc w:val="both"/>
      </w:pPr>
      <w:r w:rsidRPr="001856D6">
        <w:t>Celkový prebytok prostriedkov NDS na rok 2016 predstavuje 13,9 mil. eur a prebytok v ESA 2010 na rok 2016 predstavuje 35,9 mil. eur.</w:t>
      </w:r>
    </w:p>
    <w:p w:rsidR="006754F0" w:rsidRDefault="006754F0" w:rsidP="00B646FB">
      <w:pPr>
        <w:jc w:val="both"/>
        <w:rPr>
          <w:b/>
        </w:rPr>
      </w:pPr>
    </w:p>
    <w:p w:rsidR="00B646FB" w:rsidRPr="001856D6" w:rsidRDefault="00B646FB" w:rsidP="00B646FB">
      <w:pPr>
        <w:jc w:val="both"/>
        <w:rPr>
          <w:b/>
        </w:rPr>
      </w:pPr>
      <w:r w:rsidRPr="001856D6">
        <w:rPr>
          <w:b/>
        </w:rPr>
        <w:t>Agentúra pre núdzové zásoby ropy a ropných výrobkov</w:t>
      </w:r>
    </w:p>
    <w:p w:rsidR="00B646FB" w:rsidRPr="001856D6" w:rsidRDefault="00B646FB" w:rsidP="00B646FB">
      <w:pPr>
        <w:ind w:firstLine="708"/>
        <w:jc w:val="both"/>
      </w:pPr>
    </w:p>
    <w:p w:rsidR="00B646FB" w:rsidRPr="001856D6" w:rsidRDefault="00B646FB" w:rsidP="00B646FB">
      <w:pPr>
        <w:ind w:firstLine="708"/>
        <w:jc w:val="both"/>
      </w:pPr>
      <w:r w:rsidRPr="001856D6">
        <w:t>Príjmy Agentúry pre núdzové zásoby ropy a ropných výrobkov (ďalej len „Agentúra“) na rok 2016 sa navrhujú v sume 106 mil. eur a v porovnaní so schváleným rozpočtom na rok 2015 sú vyššie o 4,45 mil. eur, t. j. o 4,36 % z dôvodu zvýšenia príjmov z povinného poplatku za udržiavanie núdzových zásob ropy a ropných výrobkov o 7,69 mil. eur.</w:t>
      </w:r>
    </w:p>
    <w:p w:rsidR="00B646FB" w:rsidRPr="001856D6" w:rsidRDefault="00B646FB" w:rsidP="00B646FB">
      <w:pPr>
        <w:jc w:val="both"/>
        <w:rPr>
          <w:highlight w:val="yellow"/>
        </w:rPr>
      </w:pPr>
    </w:p>
    <w:p w:rsidR="00B646FB" w:rsidRPr="001856D6" w:rsidRDefault="00B646FB" w:rsidP="00B646FB">
      <w:pPr>
        <w:ind w:firstLine="708"/>
        <w:jc w:val="both"/>
      </w:pPr>
      <w:r w:rsidRPr="001856D6">
        <w:t>Výdavky Agentúry na rok 2016 sa navrhujú v sume 43,6 mil. eur a v porovnaní so schváleným rozpočtom na rok 2015 sú nižšie o 6,02 mil. eur, t. j. o 12,1 % z dôvodu zníženia výdavkov na splácanie úrokov a ostatné platby súvisiace s návratnou finančnou výpomocou o 6,12 mil. eur.</w:t>
      </w:r>
    </w:p>
    <w:p w:rsidR="00B646FB" w:rsidRPr="001856D6" w:rsidRDefault="00B646FB" w:rsidP="00B646FB">
      <w:pPr>
        <w:jc w:val="both"/>
        <w:rPr>
          <w:highlight w:val="yellow"/>
        </w:rPr>
      </w:pPr>
    </w:p>
    <w:p w:rsidR="00B646FB" w:rsidRPr="001856D6" w:rsidRDefault="00B646FB" w:rsidP="00B646FB">
      <w:pPr>
        <w:ind w:firstLine="708"/>
        <w:jc w:val="both"/>
      </w:pPr>
      <w:r w:rsidRPr="001856D6">
        <w:lastRenderedPageBreak/>
        <w:t>Celkový prebytok prostriedkov Agentúry na rok 2016 predstavuje 62,8 mil. eur a prebytok v metodike ESA 2010 na rok 2016 predstavuje 10,5 mil. eur.</w:t>
      </w:r>
    </w:p>
    <w:p w:rsidR="008A20F7" w:rsidRPr="001856D6" w:rsidRDefault="008A20F7" w:rsidP="008A20F7">
      <w:pPr>
        <w:jc w:val="both"/>
        <w:rPr>
          <w:b/>
          <w:highlight w:val="yellow"/>
        </w:rPr>
      </w:pPr>
    </w:p>
    <w:p w:rsidR="008A20F7" w:rsidRPr="001856D6" w:rsidRDefault="008A20F7" w:rsidP="008A20F7">
      <w:pPr>
        <w:jc w:val="both"/>
        <w:rPr>
          <w:b/>
        </w:rPr>
      </w:pPr>
      <w:r w:rsidRPr="001856D6">
        <w:rPr>
          <w:b/>
        </w:rPr>
        <w:t>Fond na podporu vzdelávania</w:t>
      </w:r>
    </w:p>
    <w:p w:rsidR="008A20F7" w:rsidRPr="001856D6" w:rsidRDefault="008A20F7" w:rsidP="008A20F7">
      <w:pPr>
        <w:jc w:val="both"/>
      </w:pPr>
    </w:p>
    <w:p w:rsidR="008A20F7" w:rsidRPr="001856D6" w:rsidRDefault="008A20F7" w:rsidP="008A20F7">
      <w:pPr>
        <w:ind w:firstLine="708"/>
        <w:jc w:val="both"/>
      </w:pPr>
      <w:r w:rsidRPr="001856D6">
        <w:t xml:space="preserve">Príjmy Fondu na podporu vzdelávania (ďalej len „FnPV“) na rok 2016 sa navrhujú v sume </w:t>
      </w:r>
      <w:r w:rsidR="00BF79A1">
        <w:t>8</w:t>
      </w:r>
      <w:r w:rsidRPr="001856D6">
        <w:t>,</w:t>
      </w:r>
      <w:r w:rsidR="00BF79A1">
        <w:t>89</w:t>
      </w:r>
      <w:r w:rsidRPr="001856D6">
        <w:t xml:space="preserve"> mil. eur, z toho nedaňové príjmy v sume 1,02 mil. eur, príjmy zo splátok tuzemských úverov a pôžičiek v sume 5,0 mil. eur a </w:t>
      </w:r>
      <w:r w:rsidR="00BF79A1">
        <w:t>2</w:t>
      </w:r>
      <w:r w:rsidRPr="001856D6">
        <w:t>,</w:t>
      </w:r>
      <w:r w:rsidR="00BF79A1">
        <w:t>87</w:t>
      </w:r>
      <w:r w:rsidRPr="001856D6">
        <w:t xml:space="preserve"> mil. eur zostatok prostriedkov z predchádzajúceho roka. </w:t>
      </w:r>
    </w:p>
    <w:p w:rsidR="008A20F7" w:rsidRPr="001856D6" w:rsidRDefault="008A20F7" w:rsidP="008A20F7">
      <w:pPr>
        <w:jc w:val="both"/>
      </w:pPr>
    </w:p>
    <w:p w:rsidR="008A20F7" w:rsidRPr="001856D6" w:rsidRDefault="008A20F7" w:rsidP="008A20F7">
      <w:pPr>
        <w:ind w:firstLine="708"/>
        <w:jc w:val="both"/>
      </w:pPr>
      <w:r w:rsidRPr="001856D6">
        <w:t xml:space="preserve">Výdavky FnPV na rok 2016 sa navrhujú v sume 7,83 mil. eur, z toho bežné výdavky </w:t>
      </w:r>
      <w:r w:rsidR="00C30784">
        <w:t xml:space="preserve">vo výške </w:t>
      </w:r>
      <w:r w:rsidRPr="001856D6">
        <w:t>825 tis. eur</w:t>
      </w:r>
      <w:r w:rsidR="00C97542">
        <w:t xml:space="preserve"> a</w:t>
      </w:r>
      <w:r w:rsidRPr="001856D6">
        <w:t xml:space="preserve"> kapitálové </w:t>
      </w:r>
      <w:r w:rsidR="00C97542">
        <w:t xml:space="preserve">v sume </w:t>
      </w:r>
      <w:r w:rsidRPr="001856D6">
        <w:t>2,0 tis. eur</w:t>
      </w:r>
      <w:r w:rsidR="00C30784">
        <w:t>.</w:t>
      </w:r>
      <w:r w:rsidRPr="001856D6">
        <w:t xml:space="preserve"> </w:t>
      </w:r>
      <w:r w:rsidR="00C30784">
        <w:t>N</w:t>
      </w:r>
      <w:r w:rsidRPr="001856D6">
        <w:t xml:space="preserve">a poskytnutie pôžičiek pre študentov </w:t>
      </w:r>
      <w:r w:rsidR="00C97542">
        <w:t>vysokých škôl</w:t>
      </w:r>
      <w:r w:rsidRPr="001856D6">
        <w:t xml:space="preserve"> a</w:t>
      </w:r>
      <w:r w:rsidR="00CF7A5F">
        <w:t> </w:t>
      </w:r>
      <w:r w:rsidRPr="001856D6">
        <w:t>pedagógov</w:t>
      </w:r>
      <w:r w:rsidR="00CF7A5F">
        <w:t xml:space="preserve"> sa rozpočtuje</w:t>
      </w:r>
      <w:r w:rsidRPr="001856D6">
        <w:t xml:space="preserve"> </w:t>
      </w:r>
      <w:r w:rsidR="00CF7A5F">
        <w:t>suma</w:t>
      </w:r>
      <w:r w:rsidRPr="001856D6">
        <w:t xml:space="preserve"> 7,0 mil. eur.</w:t>
      </w:r>
    </w:p>
    <w:p w:rsidR="008A20F7" w:rsidRPr="001856D6" w:rsidRDefault="008A20F7" w:rsidP="008A20F7">
      <w:pPr>
        <w:jc w:val="both"/>
      </w:pPr>
    </w:p>
    <w:p w:rsidR="008A20F7" w:rsidRPr="001856D6" w:rsidRDefault="008A20F7" w:rsidP="008A20F7">
      <w:pPr>
        <w:ind w:firstLine="708"/>
        <w:jc w:val="both"/>
      </w:pPr>
      <w:r w:rsidRPr="001856D6">
        <w:t>Celkový prebytok prostriedkov FnPV na rok 2016 predstavuje 1,</w:t>
      </w:r>
      <w:r w:rsidR="00BF79A1">
        <w:t>06</w:t>
      </w:r>
      <w:r w:rsidRPr="001856D6">
        <w:t xml:space="preserve"> mil. eur a v metodike ESA 2010 sa v roku 2016 predpokladá prebytok 195 tis. eur.</w:t>
      </w:r>
    </w:p>
    <w:p w:rsidR="00143C27" w:rsidRDefault="00143C27" w:rsidP="008A20F7">
      <w:pPr>
        <w:jc w:val="both"/>
        <w:rPr>
          <w:b/>
        </w:rPr>
      </w:pPr>
    </w:p>
    <w:p w:rsidR="008A20F7" w:rsidRPr="001856D6" w:rsidRDefault="008A20F7" w:rsidP="008A20F7">
      <w:pPr>
        <w:rPr>
          <w:b/>
        </w:rPr>
      </w:pPr>
      <w:r w:rsidRPr="001856D6">
        <w:rPr>
          <w:b/>
        </w:rPr>
        <w:t>Exportno – importná banka SR</w:t>
      </w:r>
    </w:p>
    <w:p w:rsidR="008A20F7" w:rsidRPr="001856D6" w:rsidRDefault="008A20F7" w:rsidP="008A20F7">
      <w:pPr>
        <w:jc w:val="both"/>
      </w:pPr>
    </w:p>
    <w:p w:rsidR="004A2EFA" w:rsidRPr="00F367D4" w:rsidRDefault="004A2EFA" w:rsidP="004A2EFA">
      <w:pPr>
        <w:ind w:firstLine="708"/>
        <w:jc w:val="both"/>
        <w:rPr>
          <w:szCs w:val="22"/>
        </w:rPr>
      </w:pPr>
      <w:r w:rsidRPr="00F367D4">
        <w:rPr>
          <w:szCs w:val="22"/>
        </w:rPr>
        <w:t xml:space="preserve">Príjmy Exportno – importnej banky (ďalej len „Eximbanka“) na rok 2016 sú navrhnuté vo výške 1,21 mld. eur, z čoho najväčšiu časť tvoria príjmy zo splátok istiny úverov klientom banky a termínovaných úverov na medzibankovom trhu v sume </w:t>
      </w:r>
      <w:r>
        <w:rPr>
          <w:szCs w:val="22"/>
        </w:rPr>
        <w:br/>
      </w:r>
      <w:r w:rsidRPr="00F367D4">
        <w:rPr>
          <w:szCs w:val="22"/>
        </w:rPr>
        <w:t>1,12 mld. eur.</w:t>
      </w:r>
    </w:p>
    <w:p w:rsidR="004A2EFA" w:rsidRPr="00F367D4" w:rsidRDefault="004A2EFA" w:rsidP="004A2EFA">
      <w:pPr>
        <w:ind w:firstLine="708"/>
        <w:jc w:val="both"/>
        <w:rPr>
          <w:szCs w:val="22"/>
        </w:rPr>
      </w:pPr>
    </w:p>
    <w:p w:rsidR="004A2EFA" w:rsidRDefault="004A2EFA" w:rsidP="004A2EFA">
      <w:pPr>
        <w:ind w:firstLine="708"/>
        <w:jc w:val="both"/>
        <w:rPr>
          <w:szCs w:val="22"/>
        </w:rPr>
      </w:pPr>
      <w:r w:rsidRPr="004A2EFA">
        <w:rPr>
          <w:szCs w:val="22"/>
        </w:rPr>
        <w:t xml:space="preserve">Návrh výdavkov Eximbanky na rok 2016 sa rozpočtuje vo výške 1,17 mld. eur, z čoho najväčšiu časť tvoria výdavky na financovanie úverov klientom, termínovaných vkladov </w:t>
      </w:r>
      <w:r>
        <w:rPr>
          <w:szCs w:val="22"/>
        </w:rPr>
        <w:br/>
      </w:r>
      <w:r w:rsidRPr="004A2EFA">
        <w:rPr>
          <w:szCs w:val="22"/>
        </w:rPr>
        <w:t>a realizáciu bankových záruk v sume 1,15 mld. eur. Výdavky smerujú najmä na podporu slovenského exportu prostredníctvom bankových a poisťovacích aktivít a záruk.</w:t>
      </w:r>
      <w:r w:rsidRPr="00B26FFD">
        <w:rPr>
          <w:szCs w:val="22"/>
        </w:rPr>
        <w:t xml:space="preserve"> </w:t>
      </w:r>
    </w:p>
    <w:p w:rsidR="004A2EFA" w:rsidRPr="00F367D4" w:rsidRDefault="004A2EFA" w:rsidP="004A2EFA">
      <w:pPr>
        <w:ind w:firstLine="708"/>
        <w:jc w:val="both"/>
        <w:rPr>
          <w:szCs w:val="22"/>
        </w:rPr>
      </w:pPr>
    </w:p>
    <w:p w:rsidR="004A2EFA" w:rsidRDefault="004A2EFA" w:rsidP="004A2EFA">
      <w:pPr>
        <w:ind w:firstLine="708"/>
        <w:jc w:val="both"/>
        <w:rPr>
          <w:szCs w:val="22"/>
        </w:rPr>
      </w:pPr>
      <w:r w:rsidRPr="00F367D4">
        <w:rPr>
          <w:szCs w:val="22"/>
        </w:rPr>
        <w:t>Celkový prebytok v roku 2016 je rozpočtovaný vo výške 46,1 mil. eur a v metodike ESA 2010 je navrhnutý prebytok vo výške 63 tis. eur.</w:t>
      </w:r>
    </w:p>
    <w:p w:rsidR="008A20F7" w:rsidRPr="001856D6" w:rsidRDefault="008A20F7" w:rsidP="008A20F7">
      <w:pPr>
        <w:ind w:firstLine="708"/>
        <w:jc w:val="both"/>
      </w:pPr>
    </w:p>
    <w:p w:rsidR="008A20F7" w:rsidRPr="001856D6" w:rsidRDefault="008A20F7" w:rsidP="008A20F7">
      <w:pPr>
        <w:pStyle w:val="Normlnywebov"/>
        <w:spacing w:before="0" w:beforeAutospacing="0" w:after="0" w:afterAutospacing="0"/>
        <w:jc w:val="both"/>
      </w:pPr>
      <w:r w:rsidRPr="001856D6">
        <w:rPr>
          <w:b/>
          <w:bCs/>
        </w:rPr>
        <w:t>Recyklačný fond</w:t>
      </w:r>
      <w:r w:rsidRPr="001856D6">
        <w:t xml:space="preserve"> </w:t>
      </w:r>
    </w:p>
    <w:p w:rsidR="008A20F7" w:rsidRPr="001856D6" w:rsidRDefault="008A20F7" w:rsidP="008A20F7">
      <w:pPr>
        <w:pStyle w:val="Normlnywebov"/>
        <w:spacing w:before="0" w:beforeAutospacing="0" w:after="0" w:afterAutospacing="0"/>
        <w:ind w:firstLine="708"/>
        <w:jc w:val="both"/>
      </w:pPr>
      <w:r w:rsidRPr="001856D6">
        <w:t> </w:t>
      </w:r>
    </w:p>
    <w:p w:rsidR="008A20F7" w:rsidRPr="001856D6" w:rsidRDefault="008A20F7" w:rsidP="008A20F7">
      <w:pPr>
        <w:pStyle w:val="Normlnywebov"/>
        <w:spacing w:before="0" w:beforeAutospacing="0" w:after="0" w:afterAutospacing="0"/>
        <w:ind w:firstLine="708"/>
        <w:jc w:val="both"/>
      </w:pPr>
      <w:r w:rsidRPr="001856D6">
        <w:t xml:space="preserve">Príjmy Recyklačného fondu (ďalej len „RF“) na rok 2016 sa navrhujú v sume          57,4 mil. eur, z toho nedaňové príjmy sú rozpočtované vo výške 8,89 mil. eur a 48,5 mil. eur predstavuje zostatok prostriedkov z predchádzajúceho roka. </w:t>
      </w:r>
    </w:p>
    <w:p w:rsidR="00ED6C0E" w:rsidRDefault="008A20F7" w:rsidP="007C3D51">
      <w:pPr>
        <w:pStyle w:val="Normlnywebov"/>
        <w:spacing w:before="0" w:beforeAutospacing="0" w:after="0" w:afterAutospacing="0"/>
        <w:jc w:val="both"/>
      </w:pPr>
      <w:r w:rsidRPr="001856D6">
        <w:t> </w:t>
      </w:r>
      <w:r w:rsidR="007C3D51">
        <w:tab/>
      </w:r>
    </w:p>
    <w:p w:rsidR="00DE755F" w:rsidRDefault="008A20F7" w:rsidP="00DE755F">
      <w:pPr>
        <w:pStyle w:val="Normlnywebov"/>
        <w:spacing w:before="0" w:beforeAutospacing="0" w:after="0" w:afterAutospacing="0"/>
        <w:ind w:firstLine="708"/>
        <w:jc w:val="both"/>
      </w:pPr>
      <w:r w:rsidRPr="00DE755F">
        <w:t>Výdavky RF na rok 2016 sa navrhujú v sume 15,9 mil. eur, z toho bežné výdavky v sume 10,4 mil. eur a kapitálové vo výške 5,5 mil. eur.</w:t>
      </w:r>
      <w:r w:rsidR="00DE755F" w:rsidRPr="00DE755F">
        <w:t xml:space="preserve"> Výdavky fondu sú určené predovšetkým na zabezpečenie zberu a zhodnotenia odpadov, spracovania starých vozidiel, ako aj na finančnú podporu obciam a ich združeniam za separovanie odpadu a jeho odovzdávania na ďalšie zhodnotenie.</w:t>
      </w:r>
    </w:p>
    <w:p w:rsidR="008A20F7" w:rsidRPr="001856D6" w:rsidRDefault="008A20F7" w:rsidP="008A20F7">
      <w:pPr>
        <w:pStyle w:val="Normlnywebov"/>
        <w:spacing w:before="0" w:beforeAutospacing="0" w:after="0" w:afterAutospacing="0"/>
        <w:jc w:val="both"/>
      </w:pPr>
      <w:r w:rsidRPr="001856D6">
        <w:t> </w:t>
      </w:r>
    </w:p>
    <w:p w:rsidR="008A20F7" w:rsidRPr="001856D6" w:rsidRDefault="008A20F7" w:rsidP="008A20F7">
      <w:pPr>
        <w:pStyle w:val="Normlnywebov"/>
        <w:spacing w:before="0" w:beforeAutospacing="0" w:after="0" w:afterAutospacing="0"/>
        <w:ind w:firstLine="708"/>
        <w:jc w:val="both"/>
      </w:pPr>
      <w:r w:rsidRPr="001856D6">
        <w:t>Celkový prebytok prostriedkov RF na rok 2016 predstavuje 41,5 mil. eur a v metodike ESA 2010 sa v roku 2016 predpokladá schodok vo výške 7 mil. eur.</w:t>
      </w:r>
      <w:r w:rsidR="002144EC">
        <w:t xml:space="preserve"> </w:t>
      </w:r>
      <w:r w:rsidR="00A92608">
        <w:t>Návrh rozpočtu príjmov a výdavkov RF je spracovaný v zmysle legislatívy platnej v čase prípravy východísk rozpočtu verejnej správy na roky 2016 až 2018.</w:t>
      </w:r>
    </w:p>
    <w:p w:rsidR="008A20F7" w:rsidRDefault="008A20F7" w:rsidP="008A20F7">
      <w:pPr>
        <w:jc w:val="both"/>
        <w:rPr>
          <w:b/>
        </w:rPr>
      </w:pPr>
    </w:p>
    <w:p w:rsidR="00706B3A" w:rsidRDefault="00706B3A" w:rsidP="008A20F7">
      <w:pPr>
        <w:jc w:val="both"/>
        <w:rPr>
          <w:b/>
        </w:rPr>
      </w:pPr>
    </w:p>
    <w:p w:rsidR="00706B3A" w:rsidRPr="001856D6" w:rsidRDefault="00706B3A" w:rsidP="008A20F7">
      <w:pPr>
        <w:jc w:val="both"/>
        <w:rPr>
          <w:b/>
        </w:rPr>
      </w:pPr>
    </w:p>
    <w:p w:rsidR="008A20F7" w:rsidRPr="001856D6" w:rsidRDefault="008A20F7" w:rsidP="008A20F7">
      <w:pPr>
        <w:jc w:val="both"/>
        <w:rPr>
          <w:b/>
        </w:rPr>
      </w:pPr>
      <w:r w:rsidRPr="001856D6">
        <w:rPr>
          <w:b/>
        </w:rPr>
        <w:lastRenderedPageBreak/>
        <w:t>Štátne finančné aktíva</w:t>
      </w:r>
    </w:p>
    <w:p w:rsidR="008A20F7" w:rsidRPr="001856D6" w:rsidRDefault="008A20F7" w:rsidP="008A20F7">
      <w:pPr>
        <w:jc w:val="both"/>
      </w:pPr>
      <w:r w:rsidRPr="001856D6">
        <w:t xml:space="preserve">  </w:t>
      </w:r>
    </w:p>
    <w:p w:rsidR="008A20F7" w:rsidRPr="001856D6" w:rsidRDefault="008A20F7" w:rsidP="008A20F7">
      <w:pPr>
        <w:ind w:firstLine="708"/>
        <w:jc w:val="both"/>
      </w:pPr>
      <w:r w:rsidRPr="001856D6">
        <w:t xml:space="preserve">Celkové príjmy štátnych finančných aktív (ďalej len „ŠFA“) na rok 2016 sú rozpočtované v sume 245,4 mil. eur. V porovnaní so schváleným rozpočtom na rok 2015 sú nižšie o 1 048,3 mil. eur, a to najmä z dôvodu, že v roku 2015 sa očakávajú jednorazové príjmy z predaja aktív štátu vo výške 1 mld. eur. V roku 2015 sa tiež rozpočtuje mimoriadna splátka návratnej finančnej výpomoci od ŽS Cargo Slovakia, a. s. vo výške 78,2 mil. eur. Daňové príjmy z osobitného odvodu vybraných finančných inštitúcií medziročne rastú </w:t>
      </w:r>
      <w:r w:rsidR="00DA5310">
        <w:br/>
      </w:r>
      <w:r w:rsidRPr="001856D6">
        <w:t>o 5,6 mil. eur a daňové príjmy z osobitného odvodu z podnikania v regulovaných odvetviach rastú medziročne o 24,7 mil. eur. V roku 2016 by mali byť realizované príjmy zo splácania návratných finančných výpomocí od mesta Žilina (11,7 mil. eur), mesta Košice (0,5 mil. eur) a od spoločnosti MH Invest (2,7 mil. eur).</w:t>
      </w:r>
    </w:p>
    <w:p w:rsidR="008A20F7" w:rsidRPr="001856D6" w:rsidRDefault="008A20F7" w:rsidP="008A20F7">
      <w:pPr>
        <w:jc w:val="both"/>
      </w:pPr>
    </w:p>
    <w:p w:rsidR="008A20F7" w:rsidRPr="001856D6" w:rsidRDefault="008A20F7" w:rsidP="008A20F7">
      <w:pPr>
        <w:ind w:firstLine="708"/>
        <w:jc w:val="both"/>
      </w:pPr>
      <w:r w:rsidRPr="001856D6">
        <w:t xml:space="preserve">Celkové výdavky ŠFA rozpočtované na rok 2016 v sume 10,1 mil. eur sú v porovnaní so schváleným rozpočtom na rok 2015 nižšie o 31,7 mil. eur. V roku 2015 sa rozpočtuje účasť na </w:t>
      </w:r>
      <w:r w:rsidR="008C34E5">
        <w:t>z</w:t>
      </w:r>
      <w:r w:rsidRPr="001856D6">
        <w:t xml:space="preserve">výšení základného imania Medzinárodnej banky pre obnovu a rozvoj (4,6 mil. eur), Európskej investičnej banky (6,5 mil. eur), Nemocnice Sv. Michala (4,5 mil. eur) a príspevok na doplnenie zdrojov pre Medzinárodné združenie pre rozvoj (2,5 mil. eur), ktoré sa v roku 2016 neopakujú. V roku 2016 sa </w:t>
      </w:r>
      <w:r w:rsidR="004E1CC1">
        <w:t>predpokladá</w:t>
      </w:r>
      <w:r w:rsidRPr="001856D6">
        <w:t xml:space="preserve"> poskytnúť mestu Košice ďalši</w:t>
      </w:r>
      <w:r w:rsidR="00A5652F">
        <w:t>a</w:t>
      </w:r>
      <w:r w:rsidRPr="001856D6">
        <w:t xml:space="preserve"> časť </w:t>
      </w:r>
      <w:r w:rsidR="008C34E5">
        <w:t xml:space="preserve">schválenej </w:t>
      </w:r>
      <w:r w:rsidRPr="001856D6">
        <w:t>návratnej finančnej výpomoci vo výške 8 mil. eur</w:t>
      </w:r>
      <w:r w:rsidR="008C34E5">
        <w:t>.</w:t>
      </w:r>
    </w:p>
    <w:p w:rsidR="008A20F7" w:rsidRPr="001856D6" w:rsidRDefault="008A20F7" w:rsidP="008A20F7">
      <w:pPr>
        <w:ind w:firstLine="708"/>
        <w:jc w:val="both"/>
      </w:pPr>
    </w:p>
    <w:p w:rsidR="008A20F7" w:rsidRPr="001856D6" w:rsidRDefault="008A20F7" w:rsidP="008A20F7">
      <w:pPr>
        <w:ind w:firstLine="708"/>
        <w:jc w:val="both"/>
      </w:pPr>
      <w:r w:rsidRPr="001856D6">
        <w:t>Transfer dividend realizovaných Fondom národného majetku SR do štátneho rozpočtu, ktorý v rovnakej výške ovplyvňuje príjmy a výdavky ŠFA medziročne klesá o 15,3 mil. eur.</w:t>
      </w:r>
    </w:p>
    <w:p w:rsidR="008A20F7" w:rsidRPr="001856D6" w:rsidRDefault="008A20F7" w:rsidP="008A20F7">
      <w:pPr>
        <w:jc w:val="both"/>
      </w:pPr>
    </w:p>
    <w:p w:rsidR="008A20F7" w:rsidRPr="001856D6" w:rsidRDefault="008A20F7" w:rsidP="008A20F7">
      <w:pPr>
        <w:ind w:firstLine="708"/>
        <w:jc w:val="both"/>
      </w:pPr>
      <w:r w:rsidRPr="001856D6">
        <w:t xml:space="preserve">Celkový prebytok ŠFA v roku 2016 na hotovostnej báze sa predpokladá na úrovni 235,3 mil. eur. Prebytok hospodárenia v metodike ESA 2010 predstavuje 229,0 mil. eur. </w:t>
      </w:r>
    </w:p>
    <w:p w:rsidR="008A20F7" w:rsidRPr="00493733" w:rsidRDefault="008A20F7" w:rsidP="00CD3601">
      <w:pPr>
        <w:ind w:firstLine="708"/>
        <w:jc w:val="both"/>
        <w:rPr>
          <w:sz w:val="10"/>
        </w:rPr>
      </w:pPr>
    </w:p>
    <w:p w:rsidR="00EF4BE7" w:rsidRPr="00882101" w:rsidRDefault="00EF4BE7" w:rsidP="00EF4BE7">
      <w:pPr>
        <w:pStyle w:val="Nadpis1"/>
        <w:numPr>
          <w:ilvl w:val="0"/>
          <w:numId w:val="24"/>
        </w:numPr>
        <w:rPr>
          <w:rFonts w:ascii="Times New Roman" w:hAnsi="Times New Roman"/>
          <w:sz w:val="24"/>
          <w:szCs w:val="24"/>
        </w:rPr>
      </w:pPr>
      <w:bookmarkStart w:id="3" w:name="_Toc273148229"/>
      <w:bookmarkStart w:id="4" w:name="_Toc206478402"/>
      <w:bookmarkStart w:id="5" w:name="_Toc211592393"/>
      <w:r w:rsidRPr="00882101">
        <w:rPr>
          <w:rFonts w:ascii="Times New Roman" w:hAnsi="Times New Roman"/>
          <w:sz w:val="24"/>
          <w:szCs w:val="24"/>
        </w:rPr>
        <w:t>Dlh verejnej správy</w:t>
      </w:r>
      <w:bookmarkEnd w:id="3"/>
      <w:r w:rsidR="003A37CB" w:rsidRPr="00882101">
        <w:rPr>
          <w:rFonts w:ascii="Times New Roman" w:hAnsi="Times New Roman"/>
          <w:sz w:val="24"/>
          <w:szCs w:val="24"/>
        </w:rPr>
        <w:t xml:space="preserve"> </w:t>
      </w:r>
    </w:p>
    <w:bookmarkEnd w:id="4"/>
    <w:bookmarkEnd w:id="5"/>
    <w:p w:rsidR="00E828D1" w:rsidRDefault="00E828D1" w:rsidP="00E828D1">
      <w:pPr>
        <w:jc w:val="both"/>
      </w:pPr>
    </w:p>
    <w:p w:rsidR="00263202" w:rsidRPr="00263202" w:rsidRDefault="00263202" w:rsidP="00263202">
      <w:pPr>
        <w:spacing w:after="120"/>
        <w:ind w:firstLine="708"/>
        <w:jc w:val="both"/>
      </w:pPr>
      <w:r w:rsidRPr="00263202">
        <w:t>Hrubý dlh verejnej správy</w:t>
      </w:r>
      <w:r w:rsidRPr="00263202">
        <w:rPr>
          <w:vertAlign w:val="superscript"/>
        </w:rPr>
        <w:footnoteReference w:id="1"/>
      </w:r>
      <w:r w:rsidRPr="00263202">
        <w:t xml:space="preserve"> dosiahol podľa  predbežných údajov ku koncu roka 2014 úroveň 53,6 % HDP</w:t>
      </w:r>
      <w:r w:rsidRPr="00263202">
        <w:rPr>
          <w:rStyle w:val="Odkaznapoznmkupodiarou"/>
        </w:rPr>
        <w:footnoteReference w:id="2"/>
      </w:r>
      <w:r w:rsidRPr="00263202">
        <w:t xml:space="preserve">. Prvýkrát od vypuknutia hospodárskej krízy v roku 2008 došlo k poklesu dlhu, ktorý sa medziročne znížil o 1 p.b. Za predpokladu naplnenia rozpočtových cieľov bude dlh ako podiel na HDP v celom prognózovanom </w:t>
      </w:r>
      <w:r w:rsidR="00A97A88">
        <w:t xml:space="preserve">období </w:t>
      </w:r>
      <w:r w:rsidRPr="00263202">
        <w:t xml:space="preserve">klesať až k hranici </w:t>
      </w:r>
      <w:r w:rsidR="00A97A88">
        <w:br/>
      </w:r>
      <w:r w:rsidRPr="00263202">
        <w:t>50-tich percent HDP v roku 2018.</w:t>
      </w:r>
    </w:p>
    <w:p w:rsidR="00263202" w:rsidRPr="00263202" w:rsidRDefault="00263202" w:rsidP="00263202">
      <w:pPr>
        <w:spacing w:after="120"/>
        <w:ind w:firstLine="708"/>
        <w:jc w:val="both"/>
      </w:pPr>
      <w:r w:rsidRPr="00263202">
        <w:t>Na pokles dlhu v roku 2014 vplýval</w:t>
      </w:r>
      <w:r w:rsidR="008A7E22">
        <w:t xml:space="preserve"> nižší ako rozpočtovaný hotovostný deficit štátneho rozpočtu, </w:t>
      </w:r>
      <w:r w:rsidRPr="00263202">
        <w:t>pozitívne využitie hotovostnej rezervy a splatenie úveru Agentúry pre núdzové zásoby ropy a ropných výrobkov (EOSA</w:t>
      </w:r>
      <w:r w:rsidR="008A7E22">
        <w:rPr>
          <w:rStyle w:val="Odkaznapoznmkupodiarou"/>
        </w:rPr>
        <w:footnoteReference w:id="3"/>
      </w:r>
      <w:r w:rsidRPr="00263202">
        <w:t>). V roku 2015 sa očakáva stabilizácia</w:t>
      </w:r>
      <w:r w:rsidR="00882101">
        <w:t>,</w:t>
      </w:r>
      <w:r w:rsidRPr="00263202">
        <w:t xml:space="preserve"> resp. mierny pokles dlhu, podmienená najmä využitím hotovostných prostriedkov z predaja Slovak Telekomu. Vzhľadom na pokračujúcu konsolidáciu sa od roku 2017 predpokladá primárny prebytok (saldo verejnej správy očistené o úrokové náklady), ktorý spolu s ekonomickým rastom prispeje k poklesu dlhu. </w:t>
      </w:r>
    </w:p>
    <w:p w:rsidR="00263202" w:rsidRPr="00263202" w:rsidRDefault="00263202" w:rsidP="00263202">
      <w:pPr>
        <w:ind w:firstLine="708"/>
        <w:jc w:val="both"/>
        <w:rPr>
          <w:bCs/>
        </w:rPr>
      </w:pPr>
      <w:r w:rsidRPr="00263202">
        <w:t xml:space="preserve">Pre posúdenie vývoja skutočnej zadlženosti je vhodné sledovať aj vývoj čistého dlhu, vyjadrený ako hrubý dlh očistený o likvidné aktíva. Predbežný </w:t>
      </w:r>
      <w:r w:rsidRPr="00263202">
        <w:rPr>
          <w:bCs/>
        </w:rPr>
        <w:t>čistý dlh dosiahol na konci roku 2014 výšku 50,2 % HDP a od roku 2015 kopíruje priebeh hrubého dlhu.</w:t>
      </w:r>
      <w:r w:rsidRPr="00263202">
        <w:rPr>
          <w:b/>
          <w:bCs/>
        </w:rPr>
        <w:t xml:space="preserve"> </w:t>
      </w:r>
    </w:p>
    <w:p w:rsidR="00263202" w:rsidRPr="00493733" w:rsidRDefault="00263202" w:rsidP="00263202">
      <w:pPr>
        <w:jc w:val="both"/>
        <w:rPr>
          <w:b/>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1"/>
        <w:gridCol w:w="961"/>
        <w:gridCol w:w="962"/>
        <w:gridCol w:w="962"/>
        <w:gridCol w:w="962"/>
        <w:gridCol w:w="962"/>
        <w:gridCol w:w="962"/>
      </w:tblGrid>
      <w:tr w:rsidR="00882101" w:rsidRPr="00882101" w:rsidTr="00882101">
        <w:trPr>
          <w:trHeight w:val="227"/>
          <w:jc w:val="center"/>
        </w:trPr>
        <w:tc>
          <w:tcPr>
            <w:tcW w:w="5000" w:type="pct"/>
            <w:gridSpan w:val="7"/>
            <w:shd w:val="clear" w:color="auto" w:fill="A6A6A6" w:themeFill="background1" w:themeFillShade="A6"/>
            <w:vAlign w:val="center"/>
            <w:hideMark/>
          </w:tcPr>
          <w:p w:rsidR="00263202" w:rsidRPr="00882101" w:rsidRDefault="00263202" w:rsidP="00C83B4F">
            <w:pPr>
              <w:rPr>
                <w:b/>
                <w:bCs/>
                <w:sz w:val="16"/>
                <w:szCs w:val="16"/>
              </w:rPr>
            </w:pPr>
            <w:r w:rsidRPr="00882101">
              <w:rPr>
                <w:b/>
                <w:bCs/>
                <w:sz w:val="16"/>
                <w:szCs w:val="16"/>
              </w:rPr>
              <w:t>Hrubý dlh verejnej správy (</w:t>
            </w:r>
            <w:r w:rsidR="00882101" w:rsidRPr="00882101">
              <w:rPr>
                <w:b/>
                <w:bCs/>
                <w:sz w:val="16"/>
                <w:szCs w:val="16"/>
              </w:rPr>
              <w:t xml:space="preserve">v </w:t>
            </w:r>
            <w:r w:rsidRPr="00882101">
              <w:rPr>
                <w:b/>
                <w:bCs/>
                <w:sz w:val="16"/>
                <w:szCs w:val="16"/>
              </w:rPr>
              <w:t>% HDP, stav k 31.12.) </w:t>
            </w:r>
          </w:p>
        </w:tc>
      </w:tr>
      <w:tr w:rsidR="00882101" w:rsidRPr="00882101" w:rsidTr="00882101">
        <w:trPr>
          <w:trHeight w:val="227"/>
          <w:jc w:val="center"/>
        </w:trPr>
        <w:tc>
          <w:tcPr>
            <w:tcW w:w="1868" w:type="pct"/>
            <w:noWrap/>
            <w:vAlign w:val="center"/>
            <w:hideMark/>
          </w:tcPr>
          <w:p w:rsidR="00263202" w:rsidRPr="00882101" w:rsidRDefault="00263202" w:rsidP="00C83B4F">
            <w:pPr>
              <w:jc w:val="center"/>
              <w:rPr>
                <w:b/>
                <w:bCs/>
                <w:sz w:val="16"/>
                <w:szCs w:val="16"/>
              </w:rPr>
            </w:pPr>
            <w:r w:rsidRPr="00882101">
              <w:rPr>
                <w:b/>
                <w:bCs/>
                <w:sz w:val="16"/>
                <w:szCs w:val="16"/>
              </w:rPr>
              <w:t> </w:t>
            </w:r>
          </w:p>
        </w:tc>
        <w:tc>
          <w:tcPr>
            <w:tcW w:w="522" w:type="pct"/>
            <w:noWrap/>
            <w:vAlign w:val="center"/>
            <w:hideMark/>
          </w:tcPr>
          <w:p w:rsidR="00263202" w:rsidRPr="00882101" w:rsidRDefault="00263202" w:rsidP="00882101">
            <w:pPr>
              <w:jc w:val="center"/>
              <w:rPr>
                <w:b/>
                <w:bCs/>
                <w:sz w:val="16"/>
                <w:szCs w:val="16"/>
              </w:rPr>
            </w:pPr>
            <w:r w:rsidRPr="00882101">
              <w:rPr>
                <w:b/>
                <w:bCs/>
                <w:sz w:val="16"/>
                <w:szCs w:val="16"/>
              </w:rPr>
              <w:t>2013 S</w:t>
            </w:r>
          </w:p>
        </w:tc>
        <w:tc>
          <w:tcPr>
            <w:tcW w:w="522" w:type="pct"/>
            <w:noWrap/>
            <w:vAlign w:val="center"/>
            <w:hideMark/>
          </w:tcPr>
          <w:p w:rsidR="00263202" w:rsidRPr="00882101" w:rsidRDefault="00263202" w:rsidP="00882101">
            <w:pPr>
              <w:jc w:val="center"/>
              <w:rPr>
                <w:b/>
                <w:bCs/>
                <w:sz w:val="16"/>
                <w:szCs w:val="16"/>
              </w:rPr>
            </w:pPr>
            <w:r w:rsidRPr="00882101">
              <w:rPr>
                <w:b/>
                <w:bCs/>
                <w:sz w:val="16"/>
                <w:szCs w:val="16"/>
              </w:rPr>
              <w:t>2014 S</w:t>
            </w:r>
          </w:p>
        </w:tc>
        <w:tc>
          <w:tcPr>
            <w:tcW w:w="522" w:type="pct"/>
            <w:noWrap/>
            <w:vAlign w:val="center"/>
            <w:hideMark/>
          </w:tcPr>
          <w:p w:rsidR="00263202" w:rsidRPr="00882101" w:rsidRDefault="00263202" w:rsidP="00882101">
            <w:pPr>
              <w:jc w:val="center"/>
              <w:rPr>
                <w:b/>
                <w:bCs/>
                <w:sz w:val="16"/>
                <w:szCs w:val="16"/>
              </w:rPr>
            </w:pPr>
            <w:r w:rsidRPr="00882101">
              <w:rPr>
                <w:b/>
                <w:bCs/>
                <w:sz w:val="16"/>
                <w:szCs w:val="16"/>
              </w:rPr>
              <w:t>2015 OS</w:t>
            </w:r>
          </w:p>
        </w:tc>
        <w:tc>
          <w:tcPr>
            <w:tcW w:w="522" w:type="pct"/>
            <w:noWrap/>
            <w:vAlign w:val="center"/>
            <w:hideMark/>
          </w:tcPr>
          <w:p w:rsidR="00263202" w:rsidRPr="00882101" w:rsidRDefault="00263202" w:rsidP="00882101">
            <w:pPr>
              <w:jc w:val="center"/>
              <w:rPr>
                <w:b/>
                <w:bCs/>
                <w:sz w:val="16"/>
                <w:szCs w:val="16"/>
              </w:rPr>
            </w:pPr>
            <w:r w:rsidRPr="00882101">
              <w:rPr>
                <w:b/>
                <w:bCs/>
                <w:sz w:val="16"/>
                <w:szCs w:val="16"/>
              </w:rPr>
              <w:t>2016 N</w:t>
            </w:r>
          </w:p>
        </w:tc>
        <w:tc>
          <w:tcPr>
            <w:tcW w:w="522" w:type="pct"/>
            <w:noWrap/>
            <w:vAlign w:val="center"/>
            <w:hideMark/>
          </w:tcPr>
          <w:p w:rsidR="00263202" w:rsidRPr="00882101" w:rsidRDefault="00263202" w:rsidP="00882101">
            <w:pPr>
              <w:jc w:val="center"/>
              <w:rPr>
                <w:b/>
                <w:bCs/>
                <w:sz w:val="16"/>
                <w:szCs w:val="16"/>
              </w:rPr>
            </w:pPr>
            <w:r w:rsidRPr="00882101">
              <w:rPr>
                <w:b/>
                <w:bCs/>
                <w:sz w:val="16"/>
                <w:szCs w:val="16"/>
              </w:rPr>
              <w:t>2017 N</w:t>
            </w:r>
          </w:p>
        </w:tc>
        <w:tc>
          <w:tcPr>
            <w:tcW w:w="522" w:type="pct"/>
            <w:noWrap/>
            <w:vAlign w:val="center"/>
            <w:hideMark/>
          </w:tcPr>
          <w:p w:rsidR="00263202" w:rsidRPr="00882101" w:rsidRDefault="00263202" w:rsidP="00882101">
            <w:pPr>
              <w:jc w:val="center"/>
              <w:rPr>
                <w:b/>
                <w:bCs/>
                <w:sz w:val="16"/>
                <w:szCs w:val="16"/>
              </w:rPr>
            </w:pPr>
            <w:r w:rsidRPr="00882101">
              <w:rPr>
                <w:b/>
                <w:bCs/>
                <w:sz w:val="16"/>
                <w:szCs w:val="16"/>
              </w:rPr>
              <w:t>2018 N</w:t>
            </w:r>
          </w:p>
        </w:tc>
      </w:tr>
      <w:tr w:rsidR="00882101" w:rsidRPr="00882101" w:rsidTr="00882101">
        <w:trPr>
          <w:trHeight w:val="227"/>
          <w:jc w:val="center"/>
        </w:trPr>
        <w:tc>
          <w:tcPr>
            <w:tcW w:w="1868" w:type="pct"/>
            <w:shd w:val="clear" w:color="auto" w:fill="BFBFBF" w:themeFill="background1" w:themeFillShade="BF"/>
            <w:noWrap/>
            <w:vAlign w:val="center"/>
            <w:hideMark/>
          </w:tcPr>
          <w:p w:rsidR="00263202" w:rsidRPr="00882101" w:rsidRDefault="00263202" w:rsidP="00C83B4F">
            <w:pPr>
              <w:rPr>
                <w:b/>
                <w:bCs/>
                <w:sz w:val="16"/>
                <w:szCs w:val="16"/>
              </w:rPr>
            </w:pPr>
            <w:r w:rsidRPr="00882101">
              <w:rPr>
                <w:b/>
                <w:bCs/>
                <w:sz w:val="16"/>
                <w:szCs w:val="16"/>
              </w:rPr>
              <w:t>Hrubý dlh verejnej správy</w:t>
            </w:r>
          </w:p>
        </w:tc>
        <w:tc>
          <w:tcPr>
            <w:tcW w:w="522" w:type="pct"/>
            <w:shd w:val="clear" w:color="auto" w:fill="BFBFBF" w:themeFill="background1" w:themeFillShade="BF"/>
            <w:vAlign w:val="center"/>
          </w:tcPr>
          <w:p w:rsidR="00263202" w:rsidRPr="00882101" w:rsidRDefault="00263202" w:rsidP="00882101">
            <w:pPr>
              <w:jc w:val="right"/>
              <w:rPr>
                <w:b/>
                <w:sz w:val="16"/>
                <w:szCs w:val="16"/>
              </w:rPr>
            </w:pPr>
            <w:r w:rsidRPr="00882101">
              <w:rPr>
                <w:b/>
                <w:sz w:val="16"/>
                <w:szCs w:val="16"/>
              </w:rPr>
              <w:t>54,6</w:t>
            </w:r>
          </w:p>
        </w:tc>
        <w:tc>
          <w:tcPr>
            <w:tcW w:w="522" w:type="pct"/>
            <w:shd w:val="clear" w:color="auto" w:fill="BFBFBF" w:themeFill="background1" w:themeFillShade="BF"/>
            <w:vAlign w:val="center"/>
          </w:tcPr>
          <w:p w:rsidR="00263202" w:rsidRPr="00882101" w:rsidRDefault="00263202" w:rsidP="00882101">
            <w:pPr>
              <w:jc w:val="right"/>
              <w:rPr>
                <w:b/>
                <w:sz w:val="16"/>
                <w:szCs w:val="16"/>
              </w:rPr>
            </w:pPr>
            <w:r w:rsidRPr="00882101">
              <w:rPr>
                <w:b/>
                <w:sz w:val="16"/>
                <w:szCs w:val="16"/>
              </w:rPr>
              <w:t>53,6</w:t>
            </w:r>
          </w:p>
        </w:tc>
        <w:tc>
          <w:tcPr>
            <w:tcW w:w="522" w:type="pct"/>
            <w:shd w:val="clear" w:color="auto" w:fill="BFBFBF" w:themeFill="background1" w:themeFillShade="BF"/>
            <w:vAlign w:val="center"/>
          </w:tcPr>
          <w:p w:rsidR="00263202" w:rsidRPr="00882101" w:rsidRDefault="00263202" w:rsidP="00882101">
            <w:pPr>
              <w:jc w:val="right"/>
              <w:rPr>
                <w:b/>
                <w:sz w:val="16"/>
                <w:szCs w:val="16"/>
              </w:rPr>
            </w:pPr>
            <w:r w:rsidRPr="00882101">
              <w:rPr>
                <w:b/>
                <w:sz w:val="16"/>
                <w:szCs w:val="16"/>
              </w:rPr>
              <w:t>53,4</w:t>
            </w:r>
          </w:p>
        </w:tc>
        <w:tc>
          <w:tcPr>
            <w:tcW w:w="522" w:type="pct"/>
            <w:shd w:val="clear" w:color="auto" w:fill="BFBFBF" w:themeFill="background1" w:themeFillShade="BF"/>
            <w:vAlign w:val="center"/>
          </w:tcPr>
          <w:p w:rsidR="00263202" w:rsidRPr="00882101" w:rsidRDefault="00263202" w:rsidP="00882101">
            <w:pPr>
              <w:jc w:val="right"/>
              <w:rPr>
                <w:b/>
                <w:sz w:val="16"/>
                <w:szCs w:val="16"/>
              </w:rPr>
            </w:pPr>
            <w:r w:rsidRPr="00882101">
              <w:rPr>
                <w:b/>
                <w:sz w:val="16"/>
                <w:szCs w:val="16"/>
              </w:rPr>
              <w:t>52,8</w:t>
            </w:r>
          </w:p>
        </w:tc>
        <w:tc>
          <w:tcPr>
            <w:tcW w:w="522" w:type="pct"/>
            <w:shd w:val="clear" w:color="auto" w:fill="BFBFBF" w:themeFill="background1" w:themeFillShade="BF"/>
            <w:vAlign w:val="center"/>
          </w:tcPr>
          <w:p w:rsidR="00263202" w:rsidRPr="00882101" w:rsidRDefault="00263202" w:rsidP="00882101">
            <w:pPr>
              <w:jc w:val="right"/>
              <w:rPr>
                <w:b/>
                <w:sz w:val="16"/>
                <w:szCs w:val="16"/>
              </w:rPr>
            </w:pPr>
            <w:r w:rsidRPr="00882101">
              <w:rPr>
                <w:b/>
                <w:sz w:val="16"/>
                <w:szCs w:val="16"/>
              </w:rPr>
              <w:t>51,9</w:t>
            </w:r>
          </w:p>
        </w:tc>
        <w:tc>
          <w:tcPr>
            <w:tcW w:w="522" w:type="pct"/>
            <w:shd w:val="clear" w:color="auto" w:fill="BFBFBF" w:themeFill="background1" w:themeFillShade="BF"/>
            <w:vAlign w:val="center"/>
          </w:tcPr>
          <w:p w:rsidR="00263202" w:rsidRPr="00882101" w:rsidRDefault="00263202" w:rsidP="00882101">
            <w:pPr>
              <w:jc w:val="right"/>
              <w:rPr>
                <w:b/>
                <w:sz w:val="16"/>
                <w:szCs w:val="16"/>
              </w:rPr>
            </w:pPr>
            <w:r w:rsidRPr="00882101">
              <w:rPr>
                <w:b/>
                <w:sz w:val="16"/>
                <w:szCs w:val="16"/>
              </w:rPr>
              <w:t>50,3</w:t>
            </w:r>
          </w:p>
        </w:tc>
      </w:tr>
      <w:tr w:rsidR="00882101" w:rsidRPr="00882101" w:rsidTr="00882101">
        <w:trPr>
          <w:trHeight w:val="227"/>
          <w:jc w:val="center"/>
        </w:trPr>
        <w:tc>
          <w:tcPr>
            <w:tcW w:w="1868" w:type="pct"/>
            <w:noWrap/>
            <w:vAlign w:val="center"/>
            <w:hideMark/>
          </w:tcPr>
          <w:p w:rsidR="00263202" w:rsidRPr="00882101" w:rsidRDefault="00263202" w:rsidP="00C83B4F">
            <w:pPr>
              <w:rPr>
                <w:sz w:val="16"/>
                <w:szCs w:val="16"/>
              </w:rPr>
            </w:pPr>
            <w:r w:rsidRPr="00882101">
              <w:rPr>
                <w:sz w:val="16"/>
                <w:szCs w:val="16"/>
              </w:rPr>
              <w:t xml:space="preserve">  - štátny dlh (bez vplyvu medzinár. </w:t>
            </w:r>
            <w:r w:rsidR="00882101" w:rsidRPr="00882101">
              <w:rPr>
                <w:sz w:val="16"/>
                <w:szCs w:val="16"/>
              </w:rPr>
              <w:br/>
              <w:t xml:space="preserve">    </w:t>
            </w:r>
            <w:r w:rsidRPr="00882101">
              <w:rPr>
                <w:sz w:val="16"/>
                <w:szCs w:val="16"/>
              </w:rPr>
              <w:t>záväzkov)</w:t>
            </w:r>
          </w:p>
        </w:tc>
        <w:tc>
          <w:tcPr>
            <w:tcW w:w="522" w:type="pct"/>
            <w:vAlign w:val="center"/>
          </w:tcPr>
          <w:p w:rsidR="00263202" w:rsidRPr="00882101" w:rsidRDefault="00263202" w:rsidP="00882101">
            <w:pPr>
              <w:jc w:val="right"/>
              <w:rPr>
                <w:sz w:val="16"/>
                <w:szCs w:val="16"/>
              </w:rPr>
            </w:pPr>
            <w:r w:rsidRPr="00882101">
              <w:rPr>
                <w:sz w:val="16"/>
                <w:szCs w:val="16"/>
              </w:rPr>
              <w:t>48,6</w:t>
            </w:r>
          </w:p>
        </w:tc>
        <w:tc>
          <w:tcPr>
            <w:tcW w:w="522" w:type="pct"/>
            <w:vAlign w:val="center"/>
          </w:tcPr>
          <w:p w:rsidR="00263202" w:rsidRPr="00882101" w:rsidRDefault="00263202" w:rsidP="00882101">
            <w:pPr>
              <w:jc w:val="right"/>
              <w:rPr>
                <w:sz w:val="16"/>
                <w:szCs w:val="16"/>
              </w:rPr>
            </w:pPr>
            <w:r w:rsidRPr="00882101">
              <w:rPr>
                <w:sz w:val="16"/>
                <w:szCs w:val="16"/>
              </w:rPr>
              <w:t>48,1</w:t>
            </w:r>
          </w:p>
        </w:tc>
        <w:tc>
          <w:tcPr>
            <w:tcW w:w="522" w:type="pct"/>
            <w:vAlign w:val="center"/>
          </w:tcPr>
          <w:p w:rsidR="00263202" w:rsidRPr="00882101" w:rsidRDefault="00263202" w:rsidP="00882101">
            <w:pPr>
              <w:jc w:val="right"/>
              <w:rPr>
                <w:sz w:val="16"/>
                <w:szCs w:val="16"/>
              </w:rPr>
            </w:pPr>
            <w:r w:rsidRPr="00882101">
              <w:rPr>
                <w:sz w:val="16"/>
                <w:szCs w:val="16"/>
              </w:rPr>
              <w:t>48,2</w:t>
            </w:r>
          </w:p>
        </w:tc>
        <w:tc>
          <w:tcPr>
            <w:tcW w:w="522" w:type="pct"/>
            <w:vAlign w:val="center"/>
          </w:tcPr>
          <w:p w:rsidR="00263202" w:rsidRPr="00882101" w:rsidRDefault="00263202" w:rsidP="00882101">
            <w:pPr>
              <w:jc w:val="right"/>
              <w:rPr>
                <w:sz w:val="16"/>
                <w:szCs w:val="16"/>
              </w:rPr>
            </w:pPr>
            <w:r w:rsidRPr="00882101">
              <w:rPr>
                <w:sz w:val="16"/>
                <w:szCs w:val="16"/>
              </w:rPr>
              <w:t>48,0</w:t>
            </w:r>
          </w:p>
        </w:tc>
        <w:tc>
          <w:tcPr>
            <w:tcW w:w="522" w:type="pct"/>
            <w:vAlign w:val="center"/>
          </w:tcPr>
          <w:p w:rsidR="00263202" w:rsidRPr="00882101" w:rsidRDefault="00263202" w:rsidP="00882101">
            <w:pPr>
              <w:jc w:val="right"/>
              <w:rPr>
                <w:sz w:val="16"/>
                <w:szCs w:val="16"/>
              </w:rPr>
            </w:pPr>
            <w:r w:rsidRPr="00882101">
              <w:rPr>
                <w:sz w:val="16"/>
                <w:szCs w:val="16"/>
              </w:rPr>
              <w:t>47,4</w:t>
            </w:r>
          </w:p>
        </w:tc>
        <w:tc>
          <w:tcPr>
            <w:tcW w:w="522" w:type="pct"/>
            <w:vAlign w:val="center"/>
          </w:tcPr>
          <w:p w:rsidR="00263202" w:rsidRPr="00882101" w:rsidRDefault="00263202" w:rsidP="00882101">
            <w:pPr>
              <w:jc w:val="right"/>
              <w:rPr>
                <w:sz w:val="16"/>
                <w:szCs w:val="16"/>
              </w:rPr>
            </w:pPr>
            <w:r w:rsidRPr="00882101">
              <w:rPr>
                <w:sz w:val="16"/>
                <w:szCs w:val="16"/>
              </w:rPr>
              <w:t>46,2</w:t>
            </w:r>
          </w:p>
        </w:tc>
      </w:tr>
      <w:tr w:rsidR="00882101" w:rsidRPr="00882101" w:rsidTr="00882101">
        <w:trPr>
          <w:trHeight w:val="227"/>
          <w:jc w:val="center"/>
        </w:trPr>
        <w:tc>
          <w:tcPr>
            <w:tcW w:w="1868" w:type="pct"/>
            <w:noWrap/>
            <w:vAlign w:val="center"/>
            <w:hideMark/>
          </w:tcPr>
          <w:p w:rsidR="00263202" w:rsidRPr="00882101" w:rsidRDefault="00263202" w:rsidP="00C83B4F">
            <w:pPr>
              <w:rPr>
                <w:sz w:val="16"/>
                <w:szCs w:val="16"/>
              </w:rPr>
            </w:pPr>
            <w:r w:rsidRPr="00882101">
              <w:rPr>
                <w:sz w:val="16"/>
                <w:szCs w:val="16"/>
              </w:rPr>
              <w:t xml:space="preserve">  - podiel SR na dlhu EFSF</w:t>
            </w:r>
          </w:p>
        </w:tc>
        <w:tc>
          <w:tcPr>
            <w:tcW w:w="522" w:type="pct"/>
            <w:vAlign w:val="center"/>
          </w:tcPr>
          <w:p w:rsidR="00263202" w:rsidRPr="00882101" w:rsidRDefault="00263202" w:rsidP="00882101">
            <w:pPr>
              <w:jc w:val="right"/>
              <w:rPr>
                <w:sz w:val="16"/>
                <w:szCs w:val="16"/>
              </w:rPr>
            </w:pPr>
            <w:r w:rsidRPr="00882101">
              <w:rPr>
                <w:sz w:val="16"/>
                <w:szCs w:val="16"/>
              </w:rPr>
              <w:t>2,6</w:t>
            </w:r>
          </w:p>
        </w:tc>
        <w:tc>
          <w:tcPr>
            <w:tcW w:w="522" w:type="pct"/>
            <w:vAlign w:val="center"/>
          </w:tcPr>
          <w:p w:rsidR="00263202" w:rsidRPr="00882101" w:rsidRDefault="00263202" w:rsidP="00882101">
            <w:pPr>
              <w:jc w:val="right"/>
              <w:rPr>
                <w:sz w:val="16"/>
                <w:szCs w:val="16"/>
              </w:rPr>
            </w:pPr>
            <w:r w:rsidRPr="00882101">
              <w:rPr>
                <w:sz w:val="16"/>
                <w:szCs w:val="16"/>
              </w:rPr>
              <w:t>2,7</w:t>
            </w:r>
          </w:p>
        </w:tc>
        <w:tc>
          <w:tcPr>
            <w:tcW w:w="522" w:type="pct"/>
            <w:vAlign w:val="center"/>
          </w:tcPr>
          <w:p w:rsidR="00263202" w:rsidRPr="00882101" w:rsidRDefault="00263202" w:rsidP="00882101">
            <w:pPr>
              <w:jc w:val="right"/>
              <w:rPr>
                <w:sz w:val="16"/>
                <w:szCs w:val="16"/>
              </w:rPr>
            </w:pPr>
            <w:r w:rsidRPr="00882101">
              <w:rPr>
                <w:sz w:val="16"/>
                <w:szCs w:val="16"/>
              </w:rPr>
              <w:t>2,6</w:t>
            </w:r>
          </w:p>
        </w:tc>
        <w:tc>
          <w:tcPr>
            <w:tcW w:w="522" w:type="pct"/>
            <w:vAlign w:val="center"/>
          </w:tcPr>
          <w:p w:rsidR="00263202" w:rsidRPr="00882101" w:rsidRDefault="00263202" w:rsidP="00882101">
            <w:pPr>
              <w:jc w:val="right"/>
              <w:rPr>
                <w:sz w:val="16"/>
                <w:szCs w:val="16"/>
              </w:rPr>
            </w:pPr>
            <w:r w:rsidRPr="00882101">
              <w:rPr>
                <w:sz w:val="16"/>
                <w:szCs w:val="16"/>
              </w:rPr>
              <w:t>2,5</w:t>
            </w:r>
          </w:p>
        </w:tc>
        <w:tc>
          <w:tcPr>
            <w:tcW w:w="522" w:type="pct"/>
            <w:vAlign w:val="center"/>
          </w:tcPr>
          <w:p w:rsidR="00263202" w:rsidRPr="00882101" w:rsidRDefault="00263202" w:rsidP="00882101">
            <w:pPr>
              <w:jc w:val="right"/>
              <w:rPr>
                <w:sz w:val="16"/>
                <w:szCs w:val="16"/>
              </w:rPr>
            </w:pPr>
            <w:r w:rsidRPr="00882101">
              <w:rPr>
                <w:sz w:val="16"/>
                <w:szCs w:val="16"/>
              </w:rPr>
              <w:t>2,4</w:t>
            </w:r>
          </w:p>
        </w:tc>
        <w:tc>
          <w:tcPr>
            <w:tcW w:w="522" w:type="pct"/>
            <w:vAlign w:val="center"/>
          </w:tcPr>
          <w:p w:rsidR="00263202" w:rsidRPr="00882101" w:rsidRDefault="00263202" w:rsidP="00882101">
            <w:pPr>
              <w:jc w:val="right"/>
              <w:rPr>
                <w:sz w:val="16"/>
                <w:szCs w:val="16"/>
              </w:rPr>
            </w:pPr>
            <w:r w:rsidRPr="00882101">
              <w:rPr>
                <w:sz w:val="16"/>
                <w:szCs w:val="16"/>
              </w:rPr>
              <w:t>2,2</w:t>
            </w:r>
          </w:p>
        </w:tc>
      </w:tr>
      <w:tr w:rsidR="00882101" w:rsidRPr="00882101" w:rsidTr="00882101">
        <w:trPr>
          <w:trHeight w:val="227"/>
          <w:jc w:val="center"/>
        </w:trPr>
        <w:tc>
          <w:tcPr>
            <w:tcW w:w="1868" w:type="pct"/>
            <w:noWrap/>
            <w:vAlign w:val="center"/>
            <w:hideMark/>
          </w:tcPr>
          <w:p w:rsidR="00263202" w:rsidRPr="00882101" w:rsidRDefault="00263202" w:rsidP="00C83B4F">
            <w:pPr>
              <w:rPr>
                <w:sz w:val="16"/>
                <w:szCs w:val="16"/>
              </w:rPr>
            </w:pPr>
            <w:r w:rsidRPr="00882101">
              <w:rPr>
                <w:sz w:val="16"/>
                <w:szCs w:val="16"/>
              </w:rPr>
              <w:t xml:space="preserve">  - vklad do ESM</w:t>
            </w:r>
          </w:p>
        </w:tc>
        <w:tc>
          <w:tcPr>
            <w:tcW w:w="522" w:type="pct"/>
            <w:vAlign w:val="center"/>
          </w:tcPr>
          <w:p w:rsidR="00263202" w:rsidRPr="00882101" w:rsidRDefault="00263202" w:rsidP="00882101">
            <w:pPr>
              <w:jc w:val="right"/>
              <w:rPr>
                <w:sz w:val="16"/>
                <w:szCs w:val="16"/>
              </w:rPr>
            </w:pPr>
            <w:r w:rsidRPr="00882101">
              <w:rPr>
                <w:sz w:val="16"/>
                <w:szCs w:val="16"/>
              </w:rPr>
              <w:t>0,7</w:t>
            </w:r>
          </w:p>
        </w:tc>
        <w:tc>
          <w:tcPr>
            <w:tcW w:w="522" w:type="pct"/>
            <w:vAlign w:val="center"/>
          </w:tcPr>
          <w:p w:rsidR="00263202" w:rsidRPr="00882101" w:rsidRDefault="00263202" w:rsidP="00882101">
            <w:pPr>
              <w:jc w:val="right"/>
              <w:rPr>
                <w:sz w:val="16"/>
                <w:szCs w:val="16"/>
              </w:rPr>
            </w:pPr>
            <w:r w:rsidRPr="00882101">
              <w:rPr>
                <w:sz w:val="16"/>
                <w:szCs w:val="16"/>
              </w:rPr>
              <w:t>0,9</w:t>
            </w:r>
          </w:p>
        </w:tc>
        <w:tc>
          <w:tcPr>
            <w:tcW w:w="522" w:type="pct"/>
            <w:vAlign w:val="center"/>
          </w:tcPr>
          <w:p w:rsidR="00263202" w:rsidRPr="00882101" w:rsidRDefault="00263202" w:rsidP="00882101">
            <w:pPr>
              <w:jc w:val="right"/>
              <w:rPr>
                <w:sz w:val="16"/>
                <w:szCs w:val="16"/>
              </w:rPr>
            </w:pPr>
            <w:r w:rsidRPr="00882101">
              <w:rPr>
                <w:sz w:val="16"/>
                <w:szCs w:val="16"/>
              </w:rPr>
              <w:t>0,9</w:t>
            </w:r>
          </w:p>
        </w:tc>
        <w:tc>
          <w:tcPr>
            <w:tcW w:w="522" w:type="pct"/>
            <w:vAlign w:val="center"/>
          </w:tcPr>
          <w:p w:rsidR="00263202" w:rsidRPr="00882101" w:rsidRDefault="00263202" w:rsidP="00882101">
            <w:pPr>
              <w:jc w:val="right"/>
              <w:rPr>
                <w:sz w:val="16"/>
                <w:szCs w:val="16"/>
              </w:rPr>
            </w:pPr>
            <w:r w:rsidRPr="00882101">
              <w:rPr>
                <w:sz w:val="16"/>
                <w:szCs w:val="16"/>
              </w:rPr>
              <w:t>0,8</w:t>
            </w:r>
          </w:p>
        </w:tc>
        <w:tc>
          <w:tcPr>
            <w:tcW w:w="522" w:type="pct"/>
            <w:vAlign w:val="center"/>
          </w:tcPr>
          <w:p w:rsidR="00263202" w:rsidRPr="00882101" w:rsidRDefault="00263202" w:rsidP="00882101">
            <w:pPr>
              <w:jc w:val="right"/>
              <w:rPr>
                <w:sz w:val="16"/>
                <w:szCs w:val="16"/>
              </w:rPr>
            </w:pPr>
            <w:r w:rsidRPr="00882101">
              <w:rPr>
                <w:sz w:val="16"/>
                <w:szCs w:val="16"/>
              </w:rPr>
              <w:t>0,8</w:t>
            </w:r>
          </w:p>
        </w:tc>
        <w:tc>
          <w:tcPr>
            <w:tcW w:w="522" w:type="pct"/>
            <w:vAlign w:val="center"/>
          </w:tcPr>
          <w:p w:rsidR="00263202" w:rsidRPr="00882101" w:rsidRDefault="00263202" w:rsidP="00882101">
            <w:pPr>
              <w:jc w:val="right"/>
              <w:rPr>
                <w:sz w:val="16"/>
                <w:szCs w:val="16"/>
              </w:rPr>
            </w:pPr>
            <w:r w:rsidRPr="00882101">
              <w:rPr>
                <w:sz w:val="16"/>
                <w:szCs w:val="16"/>
              </w:rPr>
              <w:t>0,7</w:t>
            </w:r>
          </w:p>
        </w:tc>
      </w:tr>
      <w:tr w:rsidR="00882101" w:rsidRPr="00882101" w:rsidTr="00882101">
        <w:trPr>
          <w:trHeight w:val="227"/>
          <w:jc w:val="center"/>
        </w:trPr>
        <w:tc>
          <w:tcPr>
            <w:tcW w:w="1868" w:type="pct"/>
            <w:noWrap/>
            <w:vAlign w:val="center"/>
            <w:hideMark/>
          </w:tcPr>
          <w:p w:rsidR="00263202" w:rsidRPr="00882101" w:rsidRDefault="00263202" w:rsidP="00C83B4F">
            <w:pPr>
              <w:rPr>
                <w:sz w:val="16"/>
                <w:szCs w:val="16"/>
              </w:rPr>
            </w:pPr>
            <w:r w:rsidRPr="00882101">
              <w:rPr>
                <w:sz w:val="16"/>
                <w:szCs w:val="16"/>
              </w:rPr>
              <w:t xml:space="preserve">  - dlh ostatných zložiek verejnej správy</w:t>
            </w:r>
          </w:p>
        </w:tc>
        <w:tc>
          <w:tcPr>
            <w:tcW w:w="522" w:type="pct"/>
            <w:vAlign w:val="center"/>
          </w:tcPr>
          <w:p w:rsidR="00263202" w:rsidRPr="00882101" w:rsidRDefault="00263202" w:rsidP="00882101">
            <w:pPr>
              <w:jc w:val="right"/>
              <w:rPr>
                <w:sz w:val="16"/>
                <w:szCs w:val="16"/>
              </w:rPr>
            </w:pPr>
            <w:r w:rsidRPr="00882101">
              <w:rPr>
                <w:sz w:val="16"/>
                <w:szCs w:val="16"/>
              </w:rPr>
              <w:t>2,7</w:t>
            </w:r>
          </w:p>
        </w:tc>
        <w:tc>
          <w:tcPr>
            <w:tcW w:w="522" w:type="pct"/>
            <w:vAlign w:val="center"/>
          </w:tcPr>
          <w:p w:rsidR="00263202" w:rsidRPr="00882101" w:rsidRDefault="00263202" w:rsidP="00882101">
            <w:pPr>
              <w:jc w:val="right"/>
              <w:rPr>
                <w:sz w:val="16"/>
                <w:szCs w:val="16"/>
              </w:rPr>
            </w:pPr>
            <w:r w:rsidRPr="00882101">
              <w:rPr>
                <w:sz w:val="16"/>
                <w:szCs w:val="16"/>
              </w:rPr>
              <w:t>1,9</w:t>
            </w:r>
          </w:p>
        </w:tc>
        <w:tc>
          <w:tcPr>
            <w:tcW w:w="522" w:type="pct"/>
            <w:vAlign w:val="center"/>
          </w:tcPr>
          <w:p w:rsidR="00263202" w:rsidRPr="00882101" w:rsidRDefault="00263202" w:rsidP="00882101">
            <w:pPr>
              <w:jc w:val="right"/>
              <w:rPr>
                <w:sz w:val="16"/>
                <w:szCs w:val="16"/>
              </w:rPr>
            </w:pPr>
            <w:r w:rsidRPr="00882101">
              <w:rPr>
                <w:sz w:val="16"/>
                <w:szCs w:val="16"/>
              </w:rPr>
              <w:t>1,8</w:t>
            </w:r>
          </w:p>
        </w:tc>
        <w:tc>
          <w:tcPr>
            <w:tcW w:w="522" w:type="pct"/>
            <w:vAlign w:val="center"/>
          </w:tcPr>
          <w:p w:rsidR="00263202" w:rsidRPr="00882101" w:rsidRDefault="00263202" w:rsidP="00882101">
            <w:pPr>
              <w:jc w:val="right"/>
              <w:rPr>
                <w:sz w:val="16"/>
                <w:szCs w:val="16"/>
              </w:rPr>
            </w:pPr>
            <w:r w:rsidRPr="00882101">
              <w:rPr>
                <w:sz w:val="16"/>
                <w:szCs w:val="16"/>
              </w:rPr>
              <w:t>1,5</w:t>
            </w:r>
          </w:p>
        </w:tc>
        <w:tc>
          <w:tcPr>
            <w:tcW w:w="522" w:type="pct"/>
            <w:vAlign w:val="center"/>
          </w:tcPr>
          <w:p w:rsidR="00263202" w:rsidRPr="00882101" w:rsidRDefault="00263202" w:rsidP="00882101">
            <w:pPr>
              <w:jc w:val="right"/>
              <w:rPr>
                <w:sz w:val="16"/>
                <w:szCs w:val="16"/>
              </w:rPr>
            </w:pPr>
            <w:r w:rsidRPr="00882101">
              <w:rPr>
                <w:sz w:val="16"/>
                <w:szCs w:val="16"/>
              </w:rPr>
              <w:t>1,3</w:t>
            </w:r>
          </w:p>
        </w:tc>
        <w:tc>
          <w:tcPr>
            <w:tcW w:w="522" w:type="pct"/>
            <w:vAlign w:val="center"/>
          </w:tcPr>
          <w:p w:rsidR="00263202" w:rsidRPr="00882101" w:rsidRDefault="00263202" w:rsidP="00882101">
            <w:pPr>
              <w:jc w:val="right"/>
              <w:rPr>
                <w:sz w:val="16"/>
                <w:szCs w:val="16"/>
              </w:rPr>
            </w:pPr>
            <w:r w:rsidRPr="00882101">
              <w:rPr>
                <w:sz w:val="16"/>
                <w:szCs w:val="16"/>
              </w:rPr>
              <w:t>1,1</w:t>
            </w:r>
          </w:p>
        </w:tc>
      </w:tr>
      <w:tr w:rsidR="00882101" w:rsidRPr="00882101" w:rsidTr="00882101">
        <w:trPr>
          <w:trHeight w:val="227"/>
          <w:jc w:val="center"/>
        </w:trPr>
        <w:tc>
          <w:tcPr>
            <w:tcW w:w="1868" w:type="pct"/>
            <w:noWrap/>
            <w:vAlign w:val="center"/>
            <w:hideMark/>
          </w:tcPr>
          <w:p w:rsidR="00263202" w:rsidRPr="00882101" w:rsidRDefault="00263202" w:rsidP="00C83B4F">
            <w:pPr>
              <w:rPr>
                <w:sz w:val="16"/>
                <w:szCs w:val="16"/>
              </w:rPr>
            </w:pPr>
            <w:r w:rsidRPr="00882101">
              <w:rPr>
                <w:sz w:val="16"/>
                <w:szCs w:val="16"/>
              </w:rPr>
              <w:t>p.m. zmena hrubého dlhu</w:t>
            </w:r>
          </w:p>
        </w:tc>
        <w:tc>
          <w:tcPr>
            <w:tcW w:w="522" w:type="pct"/>
            <w:vAlign w:val="center"/>
          </w:tcPr>
          <w:p w:rsidR="00263202" w:rsidRPr="00882101" w:rsidRDefault="00263202" w:rsidP="00882101">
            <w:pPr>
              <w:jc w:val="right"/>
              <w:rPr>
                <w:sz w:val="16"/>
                <w:szCs w:val="16"/>
              </w:rPr>
            </w:pPr>
            <w:r w:rsidRPr="00882101">
              <w:rPr>
                <w:sz w:val="16"/>
                <w:szCs w:val="16"/>
              </w:rPr>
              <w:t>2,5</w:t>
            </w:r>
          </w:p>
        </w:tc>
        <w:tc>
          <w:tcPr>
            <w:tcW w:w="522" w:type="pct"/>
            <w:vAlign w:val="center"/>
          </w:tcPr>
          <w:p w:rsidR="00263202" w:rsidRPr="00882101" w:rsidRDefault="00263202" w:rsidP="00882101">
            <w:pPr>
              <w:jc w:val="right"/>
              <w:rPr>
                <w:sz w:val="16"/>
                <w:szCs w:val="16"/>
              </w:rPr>
            </w:pPr>
            <w:r w:rsidRPr="00882101">
              <w:rPr>
                <w:sz w:val="16"/>
                <w:szCs w:val="16"/>
              </w:rPr>
              <w:t>-1,0</w:t>
            </w:r>
          </w:p>
        </w:tc>
        <w:tc>
          <w:tcPr>
            <w:tcW w:w="522" w:type="pct"/>
            <w:vAlign w:val="center"/>
          </w:tcPr>
          <w:p w:rsidR="00263202" w:rsidRPr="00882101" w:rsidRDefault="00263202" w:rsidP="00882101">
            <w:pPr>
              <w:jc w:val="right"/>
              <w:rPr>
                <w:sz w:val="16"/>
                <w:szCs w:val="16"/>
              </w:rPr>
            </w:pPr>
            <w:r w:rsidRPr="00882101">
              <w:rPr>
                <w:sz w:val="16"/>
                <w:szCs w:val="16"/>
              </w:rPr>
              <w:t>-0,2</w:t>
            </w:r>
          </w:p>
        </w:tc>
        <w:tc>
          <w:tcPr>
            <w:tcW w:w="522" w:type="pct"/>
            <w:vAlign w:val="center"/>
          </w:tcPr>
          <w:p w:rsidR="00263202" w:rsidRPr="00882101" w:rsidRDefault="00263202" w:rsidP="00882101">
            <w:pPr>
              <w:jc w:val="right"/>
              <w:rPr>
                <w:sz w:val="16"/>
                <w:szCs w:val="16"/>
              </w:rPr>
            </w:pPr>
            <w:r w:rsidRPr="00882101">
              <w:rPr>
                <w:sz w:val="16"/>
                <w:szCs w:val="16"/>
              </w:rPr>
              <w:t>-0,6</w:t>
            </w:r>
          </w:p>
        </w:tc>
        <w:tc>
          <w:tcPr>
            <w:tcW w:w="522" w:type="pct"/>
            <w:vAlign w:val="center"/>
          </w:tcPr>
          <w:p w:rsidR="00263202" w:rsidRPr="00882101" w:rsidRDefault="00263202" w:rsidP="00882101">
            <w:pPr>
              <w:jc w:val="right"/>
              <w:rPr>
                <w:sz w:val="16"/>
                <w:szCs w:val="16"/>
              </w:rPr>
            </w:pPr>
            <w:r w:rsidRPr="00882101">
              <w:rPr>
                <w:sz w:val="16"/>
                <w:szCs w:val="16"/>
              </w:rPr>
              <w:t>-0,9</w:t>
            </w:r>
          </w:p>
        </w:tc>
        <w:tc>
          <w:tcPr>
            <w:tcW w:w="522" w:type="pct"/>
            <w:vAlign w:val="center"/>
          </w:tcPr>
          <w:p w:rsidR="00263202" w:rsidRPr="00882101" w:rsidRDefault="00263202" w:rsidP="00882101">
            <w:pPr>
              <w:jc w:val="right"/>
              <w:rPr>
                <w:sz w:val="16"/>
                <w:szCs w:val="16"/>
              </w:rPr>
            </w:pPr>
            <w:r w:rsidRPr="00882101">
              <w:rPr>
                <w:sz w:val="16"/>
                <w:szCs w:val="16"/>
              </w:rPr>
              <w:t>-1,6</w:t>
            </w:r>
          </w:p>
        </w:tc>
      </w:tr>
      <w:tr w:rsidR="00882101" w:rsidRPr="00882101" w:rsidTr="00882101">
        <w:trPr>
          <w:trHeight w:val="227"/>
          <w:jc w:val="center"/>
        </w:trPr>
        <w:tc>
          <w:tcPr>
            <w:tcW w:w="1868" w:type="pct"/>
            <w:noWrap/>
            <w:vAlign w:val="center"/>
          </w:tcPr>
          <w:p w:rsidR="00263202" w:rsidRPr="00882101" w:rsidRDefault="00263202" w:rsidP="00C83B4F">
            <w:pPr>
              <w:rPr>
                <w:sz w:val="16"/>
                <w:szCs w:val="16"/>
              </w:rPr>
            </w:pPr>
            <w:r w:rsidRPr="00882101">
              <w:rPr>
                <w:sz w:val="16"/>
                <w:szCs w:val="16"/>
              </w:rPr>
              <w:t>p.m. čistý dlh</w:t>
            </w:r>
          </w:p>
        </w:tc>
        <w:tc>
          <w:tcPr>
            <w:tcW w:w="522" w:type="pct"/>
            <w:vAlign w:val="center"/>
          </w:tcPr>
          <w:p w:rsidR="00263202" w:rsidRPr="00882101" w:rsidRDefault="00263202" w:rsidP="00882101">
            <w:pPr>
              <w:jc w:val="right"/>
              <w:rPr>
                <w:sz w:val="16"/>
                <w:szCs w:val="16"/>
              </w:rPr>
            </w:pPr>
            <w:r w:rsidRPr="00882101">
              <w:rPr>
                <w:sz w:val="16"/>
                <w:szCs w:val="16"/>
              </w:rPr>
              <w:t>48,2</w:t>
            </w:r>
          </w:p>
        </w:tc>
        <w:tc>
          <w:tcPr>
            <w:tcW w:w="522" w:type="pct"/>
            <w:vAlign w:val="center"/>
          </w:tcPr>
          <w:p w:rsidR="00263202" w:rsidRPr="00882101" w:rsidRDefault="00263202" w:rsidP="00882101">
            <w:pPr>
              <w:jc w:val="right"/>
              <w:rPr>
                <w:sz w:val="16"/>
                <w:szCs w:val="16"/>
              </w:rPr>
            </w:pPr>
            <w:r w:rsidRPr="00882101">
              <w:rPr>
                <w:sz w:val="16"/>
                <w:szCs w:val="16"/>
              </w:rPr>
              <w:t>50,2</w:t>
            </w:r>
          </w:p>
        </w:tc>
        <w:tc>
          <w:tcPr>
            <w:tcW w:w="522" w:type="pct"/>
            <w:vAlign w:val="center"/>
          </w:tcPr>
          <w:p w:rsidR="00263202" w:rsidRPr="00882101" w:rsidRDefault="00263202" w:rsidP="00882101">
            <w:pPr>
              <w:jc w:val="right"/>
              <w:rPr>
                <w:sz w:val="16"/>
                <w:szCs w:val="16"/>
              </w:rPr>
            </w:pPr>
            <w:r w:rsidRPr="00882101">
              <w:rPr>
                <w:sz w:val="16"/>
                <w:szCs w:val="16"/>
              </w:rPr>
              <w:t>49,8</w:t>
            </w:r>
          </w:p>
        </w:tc>
        <w:tc>
          <w:tcPr>
            <w:tcW w:w="522" w:type="pct"/>
            <w:vAlign w:val="center"/>
          </w:tcPr>
          <w:p w:rsidR="00263202" w:rsidRPr="00882101" w:rsidRDefault="00263202" w:rsidP="00882101">
            <w:pPr>
              <w:jc w:val="right"/>
              <w:rPr>
                <w:sz w:val="16"/>
                <w:szCs w:val="16"/>
              </w:rPr>
            </w:pPr>
            <w:r w:rsidRPr="00882101">
              <w:rPr>
                <w:sz w:val="16"/>
                <w:szCs w:val="16"/>
              </w:rPr>
              <w:t>49,3</w:t>
            </w:r>
          </w:p>
        </w:tc>
        <w:tc>
          <w:tcPr>
            <w:tcW w:w="522" w:type="pct"/>
            <w:vAlign w:val="center"/>
          </w:tcPr>
          <w:p w:rsidR="00263202" w:rsidRPr="00882101" w:rsidRDefault="00263202" w:rsidP="00882101">
            <w:pPr>
              <w:jc w:val="right"/>
              <w:rPr>
                <w:sz w:val="16"/>
                <w:szCs w:val="16"/>
              </w:rPr>
            </w:pPr>
            <w:r w:rsidRPr="00882101">
              <w:rPr>
                <w:sz w:val="16"/>
                <w:szCs w:val="16"/>
              </w:rPr>
              <w:t>48,1</w:t>
            </w:r>
          </w:p>
        </w:tc>
        <w:tc>
          <w:tcPr>
            <w:tcW w:w="522" w:type="pct"/>
            <w:vAlign w:val="center"/>
          </w:tcPr>
          <w:p w:rsidR="00263202" w:rsidRPr="00882101" w:rsidRDefault="00263202" w:rsidP="00882101">
            <w:pPr>
              <w:jc w:val="right"/>
              <w:rPr>
                <w:sz w:val="16"/>
                <w:szCs w:val="16"/>
              </w:rPr>
            </w:pPr>
            <w:r w:rsidRPr="00882101">
              <w:rPr>
                <w:sz w:val="16"/>
                <w:szCs w:val="16"/>
              </w:rPr>
              <w:t>46,4</w:t>
            </w:r>
          </w:p>
        </w:tc>
      </w:tr>
      <w:tr w:rsidR="00882101" w:rsidRPr="00882101" w:rsidTr="00882101">
        <w:trPr>
          <w:trHeight w:val="227"/>
          <w:jc w:val="center"/>
        </w:trPr>
        <w:tc>
          <w:tcPr>
            <w:tcW w:w="1868" w:type="pct"/>
            <w:tcBorders>
              <w:left w:val="nil"/>
              <w:bottom w:val="nil"/>
              <w:right w:val="nil"/>
            </w:tcBorders>
            <w:noWrap/>
            <w:vAlign w:val="center"/>
          </w:tcPr>
          <w:p w:rsidR="00263202" w:rsidRPr="00882101" w:rsidRDefault="00263202" w:rsidP="00C83B4F">
            <w:pPr>
              <w:rPr>
                <w:sz w:val="16"/>
                <w:szCs w:val="16"/>
              </w:rPr>
            </w:pPr>
          </w:p>
        </w:tc>
        <w:tc>
          <w:tcPr>
            <w:tcW w:w="522" w:type="pct"/>
            <w:tcBorders>
              <w:left w:val="nil"/>
              <w:bottom w:val="nil"/>
              <w:right w:val="nil"/>
            </w:tcBorders>
            <w:vAlign w:val="center"/>
          </w:tcPr>
          <w:p w:rsidR="00263202" w:rsidRPr="00882101" w:rsidRDefault="00263202" w:rsidP="00C83B4F">
            <w:pPr>
              <w:jc w:val="right"/>
              <w:rPr>
                <w:sz w:val="16"/>
                <w:szCs w:val="16"/>
              </w:rPr>
            </w:pPr>
          </w:p>
        </w:tc>
        <w:tc>
          <w:tcPr>
            <w:tcW w:w="522" w:type="pct"/>
            <w:tcBorders>
              <w:left w:val="nil"/>
              <w:bottom w:val="nil"/>
              <w:right w:val="nil"/>
            </w:tcBorders>
            <w:vAlign w:val="center"/>
          </w:tcPr>
          <w:p w:rsidR="00263202" w:rsidRPr="00882101" w:rsidRDefault="00263202" w:rsidP="00C83B4F">
            <w:pPr>
              <w:jc w:val="right"/>
              <w:rPr>
                <w:sz w:val="16"/>
                <w:szCs w:val="16"/>
              </w:rPr>
            </w:pPr>
          </w:p>
        </w:tc>
        <w:tc>
          <w:tcPr>
            <w:tcW w:w="522" w:type="pct"/>
            <w:tcBorders>
              <w:left w:val="nil"/>
              <w:bottom w:val="nil"/>
              <w:right w:val="nil"/>
            </w:tcBorders>
            <w:vAlign w:val="center"/>
          </w:tcPr>
          <w:p w:rsidR="00263202" w:rsidRPr="00882101" w:rsidRDefault="00263202" w:rsidP="00C83B4F">
            <w:pPr>
              <w:jc w:val="right"/>
              <w:rPr>
                <w:sz w:val="16"/>
                <w:szCs w:val="16"/>
              </w:rPr>
            </w:pPr>
          </w:p>
        </w:tc>
        <w:tc>
          <w:tcPr>
            <w:tcW w:w="522" w:type="pct"/>
            <w:tcBorders>
              <w:left w:val="nil"/>
              <w:bottom w:val="nil"/>
              <w:right w:val="nil"/>
            </w:tcBorders>
            <w:vAlign w:val="center"/>
          </w:tcPr>
          <w:p w:rsidR="00263202" w:rsidRPr="00882101" w:rsidRDefault="00263202" w:rsidP="00C83B4F">
            <w:pPr>
              <w:jc w:val="right"/>
              <w:rPr>
                <w:sz w:val="16"/>
                <w:szCs w:val="16"/>
              </w:rPr>
            </w:pPr>
          </w:p>
        </w:tc>
        <w:tc>
          <w:tcPr>
            <w:tcW w:w="1044" w:type="pct"/>
            <w:gridSpan w:val="2"/>
            <w:tcBorders>
              <w:left w:val="nil"/>
              <w:bottom w:val="nil"/>
              <w:right w:val="nil"/>
            </w:tcBorders>
            <w:vAlign w:val="center"/>
          </w:tcPr>
          <w:p w:rsidR="00263202" w:rsidRPr="00882101" w:rsidRDefault="00263202" w:rsidP="00C83B4F">
            <w:pPr>
              <w:jc w:val="right"/>
              <w:rPr>
                <w:sz w:val="16"/>
                <w:szCs w:val="16"/>
              </w:rPr>
            </w:pPr>
            <w:r w:rsidRPr="00882101">
              <w:rPr>
                <w:sz w:val="16"/>
                <w:szCs w:val="16"/>
              </w:rPr>
              <w:t>Zdroj: MF SR</w:t>
            </w:r>
          </w:p>
        </w:tc>
      </w:tr>
    </w:tbl>
    <w:p w:rsidR="00263202" w:rsidRPr="00493733" w:rsidRDefault="00263202" w:rsidP="00263202">
      <w:pPr>
        <w:jc w:val="both"/>
        <w:rPr>
          <w:b/>
          <w:sz w:val="10"/>
          <w:lang w:eastAsia="cs-CZ"/>
        </w:rPr>
      </w:pPr>
    </w:p>
    <w:p w:rsidR="00263202" w:rsidRPr="00263202" w:rsidRDefault="00263202" w:rsidP="00263202">
      <w:pPr>
        <w:spacing w:after="120"/>
        <w:ind w:firstLine="708"/>
        <w:jc w:val="both"/>
      </w:pPr>
      <w:r w:rsidRPr="00882101">
        <w:rPr>
          <w:lang w:eastAsia="cs-CZ"/>
        </w:rPr>
        <w:t>K zmene dlhu verejnej správy prispieva najmä výška hotovostného deficitu štátneho rozpočtu, ktorý je nutné refinancovať. V roku 2014 dosiahol hotovostný schodok štátneho rozpočtu 2,9 mld</w:t>
      </w:r>
      <w:r w:rsidR="002C7D76">
        <w:rPr>
          <w:lang w:eastAsia="cs-CZ"/>
        </w:rPr>
        <w:t xml:space="preserve">. eur. </w:t>
      </w:r>
      <w:r w:rsidRPr="00263202">
        <w:rPr>
          <w:lang w:eastAsia="cs-CZ"/>
        </w:rPr>
        <w:t xml:space="preserve">Výraznejší pokles sa očakáva od roku 2016 na úroveň </w:t>
      </w:r>
      <w:r w:rsidR="00882101">
        <w:rPr>
          <w:lang w:eastAsia="cs-CZ"/>
        </w:rPr>
        <w:br/>
      </w:r>
      <w:r w:rsidRPr="00263202">
        <w:rPr>
          <w:lang w:eastAsia="cs-CZ"/>
        </w:rPr>
        <w:t>2,</w:t>
      </w:r>
      <w:r w:rsidR="00515539">
        <w:rPr>
          <w:lang w:eastAsia="cs-CZ"/>
        </w:rPr>
        <w:t>2</w:t>
      </w:r>
      <w:r w:rsidRPr="00263202">
        <w:rPr>
          <w:lang w:eastAsia="cs-CZ"/>
        </w:rPr>
        <w:t xml:space="preserve"> mld. eur v dôsledku pokračujúcej konsolidácie. </w:t>
      </w:r>
      <w:r w:rsidR="00882101">
        <w:t>V rokoch</w:t>
      </w:r>
      <w:r w:rsidRPr="00263202">
        <w:t xml:space="preserve"> 2017 a 2018 uvažuje dlhová prognóza s dodatočnými opatreniami na dosiahnutie cieľových schodkov rozpočtu </w:t>
      </w:r>
      <w:r w:rsidR="00882101">
        <w:t>verejnej správy</w:t>
      </w:r>
      <w:r w:rsidRPr="00263202">
        <w:rPr>
          <w:rStyle w:val="Odkaznapoznmkupodiarou"/>
        </w:rPr>
        <w:footnoteReference w:id="4"/>
      </w:r>
      <w:r w:rsidRPr="00263202">
        <w:t>.</w:t>
      </w:r>
    </w:p>
    <w:p w:rsidR="00263202" w:rsidRDefault="00263202" w:rsidP="00493733">
      <w:pPr>
        <w:ind w:firstLine="708"/>
        <w:jc w:val="both"/>
      </w:pPr>
      <w:r w:rsidRPr="00882101">
        <w:t>Väčšina ostatných vplyvov pôsobí v smere znižovania dlhu. Významným faktorom je financovanie zo Štátnej pokladnice. V roku 2015 sa predpokladá príjem z plánovaného predaja menšinového podielu</w:t>
      </w:r>
      <w:r w:rsidRPr="00263202">
        <w:t xml:space="preserve"> v Slovak Telekome s hotovostným vplyvom vo výške </w:t>
      </w:r>
      <w:r w:rsidR="00882101">
        <w:br/>
      </w:r>
      <w:r w:rsidRPr="00263202">
        <w:t>1 mld. eur (1,3 % HDP). Štátny podiel sa bude pravdepodobne predávať na kapitálovom trhu, pričom predaj by mal byť ukončený do leta 2015.</w:t>
      </w:r>
    </w:p>
    <w:p w:rsidR="00493733" w:rsidRPr="004A2EFA" w:rsidRDefault="00493733" w:rsidP="00493733">
      <w:pPr>
        <w:ind w:firstLine="708"/>
        <w:jc w:val="both"/>
        <w:rPr>
          <w:sz w:val="14"/>
        </w:rPr>
      </w:pPr>
    </w:p>
    <w:p w:rsidR="00263202" w:rsidRDefault="00263202" w:rsidP="00263202">
      <w:pPr>
        <w:ind w:firstLine="708"/>
        <w:jc w:val="both"/>
      </w:pPr>
      <w:r w:rsidRPr="00137C55">
        <w:t xml:space="preserve">Z medzinárodných záväzkov Slovenska voči Európskemu nástroju finančnej stability (EFSF) a  Európskemu mechanizmu pre stabilitu (ESM) sa </w:t>
      </w:r>
      <w:r w:rsidR="00137C55">
        <w:t>na</w:t>
      </w:r>
      <w:r w:rsidRPr="00137C55">
        <w:t xml:space="preserve"> roky 2016 až 2018 nepredpokladajú ďalšie vplyvy na verejný dlh. Dlh Slovenska bol </w:t>
      </w:r>
      <w:r w:rsidR="002C7D76">
        <w:t xml:space="preserve">v rokoch 2012 a 2013 výrazne </w:t>
      </w:r>
      <w:r w:rsidRPr="00137C55">
        <w:t>ovplyvnený záväzkami</w:t>
      </w:r>
      <w:r w:rsidRPr="00263202">
        <w:t xml:space="preserve"> EFSF, ktoré vznikli v súvislosti s poskytnutím finančnej pomoci programovým členským krajinám. EFSF nebude vstupovať do nových finančných programov, ale bude pokračovať v spravovaní splácania záväzkov dlžníckych krajín. Až do tejto doby budú záväzky EFSF priamo ovplyvňovať výšku hrubého dlhu podľa podielu Slovenska na EFSF. V prípade ESM znižujú vklady disponibilné prostriedky Štátnej pokladnice využiteľné pre financovanie potrieb štátu, čím prispievajú nepriamo k nárastu dlhu. </w:t>
      </w:r>
    </w:p>
    <w:p w:rsidR="00493733" w:rsidRPr="00263202" w:rsidRDefault="00493733" w:rsidP="00263202">
      <w:pPr>
        <w:ind w:firstLine="708"/>
        <w:jc w:val="both"/>
      </w:pPr>
    </w:p>
    <w:p w:rsidR="00263202" w:rsidRPr="00263202" w:rsidRDefault="00263202" w:rsidP="00263202">
      <w:pPr>
        <w:ind w:firstLine="708"/>
        <w:jc w:val="both"/>
      </w:pPr>
      <w:r w:rsidRPr="00137C55">
        <w:t>Do výpočtu dlhu vstupujú aj metodické úpravy</w:t>
      </w:r>
      <w:r w:rsidRPr="00137C55">
        <w:rPr>
          <w:rStyle w:val="Odkaznapoznmkupodiarou"/>
        </w:rPr>
        <w:footnoteReference w:id="5"/>
      </w:r>
      <w:r w:rsidRPr="00137C55">
        <w:t xml:space="preserve"> ako diskont pri emisii a pri splatení dlhopisov. Celkový</w:t>
      </w:r>
      <w:r w:rsidRPr="00263202">
        <w:t xml:space="preserve"> vplyv oboch faktorov znižuje dlh v rokoch 2014 a 2015. Od roku 2016 prevláda vplyv vyššieho emisného diskontu z dôvodu odrazenia sa úrokových sadzieb od dna.</w:t>
      </w:r>
    </w:p>
    <w:p w:rsidR="00263202" w:rsidRPr="00263202" w:rsidRDefault="00263202" w:rsidP="00263202">
      <w:pPr>
        <w:jc w:val="both"/>
      </w:pPr>
      <w:r w:rsidRPr="00263202">
        <w:t xml:space="preserve"> </w:t>
      </w:r>
    </w:p>
    <w:p w:rsidR="00263202" w:rsidRPr="00263202" w:rsidRDefault="00263202" w:rsidP="00263202">
      <w:pPr>
        <w:ind w:firstLine="708"/>
        <w:jc w:val="both"/>
      </w:pPr>
      <w:r w:rsidRPr="00263202">
        <w:t>V novej metodike ESA 2010 došlo k zaradeniu agentúry EOSA do verejného sektora, pričom celkové úvery EOSA zvýšili verejný dlh v roku 2013 o 520 mil. eur (0,7 % HDP). Koncom roku 2014 bol splatený úver voči konzorciu bánk zo štátnych finančných aktív, čím sa znížilo verejné zadlženie.</w:t>
      </w:r>
    </w:p>
    <w:p w:rsidR="00263202" w:rsidRPr="004A2EFA" w:rsidRDefault="00263202" w:rsidP="00263202">
      <w:pPr>
        <w:jc w:val="both"/>
        <w:rPr>
          <w:sz w:val="18"/>
        </w:rPr>
      </w:pPr>
    </w:p>
    <w:p w:rsidR="00263202" w:rsidRDefault="00263202" w:rsidP="00493733">
      <w:pPr>
        <w:ind w:firstLine="708"/>
        <w:jc w:val="both"/>
      </w:pPr>
      <w:r w:rsidRPr="00263202">
        <w:t xml:space="preserve">Ostatné zmeny v prognóze dlhu súvisia </w:t>
      </w:r>
      <w:r w:rsidR="00137C55">
        <w:t xml:space="preserve">s </w:t>
      </w:r>
      <w:r w:rsidRPr="00263202">
        <w:t>kurzovými rozdielmi a zmenou vkladov klientov v Štátnej pokladnic</w:t>
      </w:r>
      <w:r w:rsidR="002C7D76">
        <w:t>i</w:t>
      </w:r>
      <w:r w:rsidRPr="00263202">
        <w:t xml:space="preserve"> mimo okruhu verejnej správy.</w:t>
      </w:r>
    </w:p>
    <w:p w:rsidR="00493733" w:rsidRDefault="00493733" w:rsidP="00493733">
      <w:pPr>
        <w:ind w:firstLine="708"/>
        <w:jc w:val="both"/>
      </w:pPr>
    </w:p>
    <w:p w:rsidR="00493733" w:rsidRPr="004A2EFA" w:rsidRDefault="00493733" w:rsidP="00493733">
      <w:pPr>
        <w:ind w:firstLine="708"/>
        <w:jc w:val="both"/>
        <w:rPr>
          <w:sz w:val="1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56"/>
        <w:gridCol w:w="836"/>
        <w:gridCol w:w="836"/>
        <w:gridCol w:w="836"/>
        <w:gridCol w:w="836"/>
        <w:gridCol w:w="113"/>
        <w:gridCol w:w="723"/>
        <w:gridCol w:w="836"/>
      </w:tblGrid>
      <w:tr w:rsidR="00137C55" w:rsidRPr="00137C55" w:rsidTr="00137C55">
        <w:trPr>
          <w:trHeight w:val="210"/>
          <w:jc w:val="center"/>
        </w:trPr>
        <w:tc>
          <w:tcPr>
            <w:tcW w:w="9072" w:type="dxa"/>
            <w:gridSpan w:val="8"/>
            <w:shd w:val="clear" w:color="auto" w:fill="A6A6A6" w:themeFill="background1" w:themeFillShade="A6"/>
            <w:vAlign w:val="center"/>
            <w:hideMark/>
          </w:tcPr>
          <w:p w:rsidR="00263202" w:rsidRPr="00137C55" w:rsidRDefault="00263202" w:rsidP="00C83B4F">
            <w:pPr>
              <w:rPr>
                <w:b/>
                <w:bCs/>
                <w:sz w:val="16"/>
                <w:szCs w:val="16"/>
              </w:rPr>
            </w:pPr>
            <w:r w:rsidRPr="00137C55">
              <w:rPr>
                <w:b/>
                <w:bCs/>
                <w:sz w:val="16"/>
                <w:szCs w:val="16"/>
              </w:rPr>
              <w:t>Vplyv na zmenu hrubého dlhu verejnej správy (v mil. eur) </w:t>
            </w:r>
          </w:p>
        </w:tc>
      </w:tr>
      <w:tr w:rsidR="00137C55" w:rsidRPr="00137C55" w:rsidTr="00137C55">
        <w:trPr>
          <w:trHeight w:val="210"/>
          <w:jc w:val="center"/>
        </w:trPr>
        <w:tc>
          <w:tcPr>
            <w:tcW w:w="4056" w:type="dxa"/>
            <w:noWrap/>
            <w:vAlign w:val="center"/>
            <w:hideMark/>
          </w:tcPr>
          <w:p w:rsidR="00263202" w:rsidRPr="00137C55" w:rsidRDefault="00263202" w:rsidP="00C83B4F">
            <w:pPr>
              <w:jc w:val="center"/>
              <w:rPr>
                <w:b/>
                <w:bCs/>
                <w:sz w:val="16"/>
                <w:szCs w:val="16"/>
              </w:rPr>
            </w:pPr>
            <w:r w:rsidRPr="00137C55">
              <w:rPr>
                <w:b/>
                <w:bCs/>
                <w:sz w:val="16"/>
                <w:szCs w:val="16"/>
              </w:rPr>
              <w:t> </w:t>
            </w:r>
          </w:p>
        </w:tc>
        <w:tc>
          <w:tcPr>
            <w:tcW w:w="836" w:type="dxa"/>
            <w:noWrap/>
            <w:vAlign w:val="center"/>
            <w:hideMark/>
          </w:tcPr>
          <w:p w:rsidR="00263202" w:rsidRPr="00137C55" w:rsidRDefault="00263202" w:rsidP="00C83B4F">
            <w:pPr>
              <w:jc w:val="center"/>
              <w:rPr>
                <w:b/>
                <w:bCs/>
                <w:sz w:val="16"/>
                <w:szCs w:val="16"/>
              </w:rPr>
            </w:pPr>
            <w:r w:rsidRPr="00137C55">
              <w:rPr>
                <w:b/>
                <w:bCs/>
                <w:sz w:val="16"/>
                <w:szCs w:val="16"/>
              </w:rPr>
              <w:t>2013 S</w:t>
            </w:r>
          </w:p>
        </w:tc>
        <w:tc>
          <w:tcPr>
            <w:tcW w:w="836" w:type="dxa"/>
            <w:noWrap/>
            <w:vAlign w:val="center"/>
            <w:hideMark/>
          </w:tcPr>
          <w:p w:rsidR="00263202" w:rsidRPr="00137C55" w:rsidRDefault="00263202" w:rsidP="00C83B4F">
            <w:pPr>
              <w:jc w:val="center"/>
              <w:rPr>
                <w:b/>
                <w:bCs/>
                <w:sz w:val="16"/>
                <w:szCs w:val="16"/>
              </w:rPr>
            </w:pPr>
            <w:r w:rsidRPr="00137C55">
              <w:rPr>
                <w:b/>
                <w:bCs/>
                <w:sz w:val="16"/>
                <w:szCs w:val="16"/>
              </w:rPr>
              <w:t>2014 S</w:t>
            </w:r>
          </w:p>
        </w:tc>
        <w:tc>
          <w:tcPr>
            <w:tcW w:w="836" w:type="dxa"/>
            <w:noWrap/>
            <w:vAlign w:val="center"/>
            <w:hideMark/>
          </w:tcPr>
          <w:p w:rsidR="00263202" w:rsidRPr="00137C55" w:rsidRDefault="00263202" w:rsidP="00C83B4F">
            <w:pPr>
              <w:jc w:val="center"/>
              <w:rPr>
                <w:b/>
                <w:bCs/>
                <w:sz w:val="16"/>
                <w:szCs w:val="16"/>
              </w:rPr>
            </w:pPr>
            <w:r w:rsidRPr="00137C55">
              <w:rPr>
                <w:b/>
                <w:bCs/>
                <w:sz w:val="16"/>
                <w:szCs w:val="16"/>
              </w:rPr>
              <w:t>2015 OS</w:t>
            </w:r>
          </w:p>
        </w:tc>
        <w:tc>
          <w:tcPr>
            <w:tcW w:w="836" w:type="dxa"/>
            <w:noWrap/>
            <w:vAlign w:val="center"/>
            <w:hideMark/>
          </w:tcPr>
          <w:p w:rsidR="00263202" w:rsidRPr="00137C55" w:rsidRDefault="00263202" w:rsidP="00C83B4F">
            <w:pPr>
              <w:jc w:val="center"/>
              <w:rPr>
                <w:b/>
                <w:bCs/>
                <w:sz w:val="16"/>
                <w:szCs w:val="16"/>
              </w:rPr>
            </w:pPr>
            <w:r w:rsidRPr="00137C55">
              <w:rPr>
                <w:b/>
                <w:bCs/>
                <w:sz w:val="16"/>
                <w:szCs w:val="16"/>
              </w:rPr>
              <w:t>2016 N</w:t>
            </w:r>
          </w:p>
        </w:tc>
        <w:tc>
          <w:tcPr>
            <w:tcW w:w="836" w:type="dxa"/>
            <w:gridSpan w:val="2"/>
            <w:noWrap/>
            <w:vAlign w:val="center"/>
            <w:hideMark/>
          </w:tcPr>
          <w:p w:rsidR="00263202" w:rsidRPr="00137C55" w:rsidRDefault="00263202" w:rsidP="00C83B4F">
            <w:pPr>
              <w:jc w:val="center"/>
              <w:rPr>
                <w:b/>
                <w:bCs/>
                <w:sz w:val="16"/>
                <w:szCs w:val="16"/>
              </w:rPr>
            </w:pPr>
            <w:r w:rsidRPr="00137C55">
              <w:rPr>
                <w:b/>
                <w:bCs/>
                <w:sz w:val="16"/>
                <w:szCs w:val="16"/>
              </w:rPr>
              <w:t>2017 N</w:t>
            </w:r>
          </w:p>
        </w:tc>
        <w:tc>
          <w:tcPr>
            <w:tcW w:w="836" w:type="dxa"/>
            <w:noWrap/>
            <w:vAlign w:val="center"/>
            <w:hideMark/>
          </w:tcPr>
          <w:p w:rsidR="00263202" w:rsidRPr="00137C55" w:rsidRDefault="00263202" w:rsidP="00C83B4F">
            <w:pPr>
              <w:jc w:val="center"/>
              <w:rPr>
                <w:b/>
                <w:bCs/>
                <w:sz w:val="16"/>
                <w:szCs w:val="16"/>
              </w:rPr>
            </w:pPr>
            <w:r w:rsidRPr="00137C55">
              <w:rPr>
                <w:b/>
                <w:bCs/>
                <w:sz w:val="16"/>
                <w:szCs w:val="16"/>
              </w:rPr>
              <w:t>2018 N</w:t>
            </w:r>
          </w:p>
        </w:tc>
      </w:tr>
      <w:tr w:rsidR="00137C55" w:rsidRPr="00137C55" w:rsidTr="00137C55">
        <w:trPr>
          <w:trHeight w:val="210"/>
          <w:jc w:val="center"/>
        </w:trPr>
        <w:tc>
          <w:tcPr>
            <w:tcW w:w="4056" w:type="dxa"/>
            <w:shd w:val="clear" w:color="auto" w:fill="BFBFBF" w:themeFill="background1" w:themeFillShade="BF"/>
            <w:noWrap/>
            <w:vAlign w:val="center"/>
            <w:hideMark/>
          </w:tcPr>
          <w:p w:rsidR="00263202" w:rsidRPr="00137C55" w:rsidRDefault="00263202" w:rsidP="00C83B4F">
            <w:pPr>
              <w:rPr>
                <w:b/>
                <w:bCs/>
                <w:sz w:val="16"/>
                <w:szCs w:val="16"/>
              </w:rPr>
            </w:pPr>
            <w:r w:rsidRPr="00137C55">
              <w:rPr>
                <w:b/>
                <w:bCs/>
                <w:sz w:val="16"/>
                <w:szCs w:val="16"/>
              </w:rPr>
              <w:t>A. Hrubý dlh verejnej správy (k 1.1.)</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rPr>
            </w:pPr>
            <w:r w:rsidRPr="00137C55">
              <w:rPr>
                <w:b/>
                <w:bCs/>
                <w:sz w:val="16"/>
                <w:szCs w:val="16"/>
              </w:rPr>
              <w:t>37 618</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rPr>
            </w:pPr>
            <w:r w:rsidRPr="00137C55">
              <w:rPr>
                <w:b/>
                <w:bCs/>
                <w:sz w:val="16"/>
                <w:szCs w:val="16"/>
              </w:rPr>
              <w:t>40 179</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rPr>
            </w:pPr>
            <w:r w:rsidRPr="00137C55">
              <w:rPr>
                <w:b/>
                <w:bCs/>
                <w:sz w:val="16"/>
                <w:szCs w:val="16"/>
              </w:rPr>
              <w:t>40 297</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highlight w:val="yellow"/>
              </w:rPr>
            </w:pPr>
            <w:r w:rsidRPr="00137C55">
              <w:rPr>
                <w:b/>
                <w:bCs/>
                <w:sz w:val="16"/>
                <w:szCs w:val="16"/>
              </w:rPr>
              <w:t>41 289</w:t>
            </w:r>
          </w:p>
        </w:tc>
        <w:tc>
          <w:tcPr>
            <w:tcW w:w="836" w:type="dxa"/>
            <w:gridSpan w:val="2"/>
            <w:shd w:val="clear" w:color="auto" w:fill="BFBFBF" w:themeFill="background1" w:themeFillShade="BF"/>
            <w:noWrap/>
            <w:vAlign w:val="center"/>
            <w:hideMark/>
          </w:tcPr>
          <w:p w:rsidR="00263202" w:rsidRPr="00137C55" w:rsidRDefault="00263202" w:rsidP="00C83B4F">
            <w:pPr>
              <w:jc w:val="right"/>
              <w:rPr>
                <w:b/>
                <w:bCs/>
                <w:sz w:val="16"/>
                <w:szCs w:val="16"/>
                <w:highlight w:val="yellow"/>
              </w:rPr>
            </w:pPr>
            <w:r w:rsidRPr="00137C55">
              <w:rPr>
                <w:b/>
                <w:bCs/>
                <w:sz w:val="16"/>
                <w:szCs w:val="16"/>
              </w:rPr>
              <w:t>42 928</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highlight w:val="yellow"/>
              </w:rPr>
            </w:pPr>
            <w:r w:rsidRPr="00137C55">
              <w:rPr>
                <w:b/>
                <w:bCs/>
                <w:sz w:val="16"/>
                <w:szCs w:val="16"/>
              </w:rPr>
              <w:t>44 484</w:t>
            </w:r>
          </w:p>
        </w:tc>
      </w:tr>
      <w:tr w:rsidR="00137C55" w:rsidRPr="002D37B3" w:rsidTr="00137C55">
        <w:trPr>
          <w:trHeight w:val="210"/>
          <w:jc w:val="center"/>
        </w:trPr>
        <w:tc>
          <w:tcPr>
            <w:tcW w:w="4056" w:type="dxa"/>
            <w:shd w:val="clear" w:color="000000" w:fill="BFBFBF" w:themeFill="background1" w:themeFillShade="BF"/>
            <w:noWrap/>
            <w:vAlign w:val="center"/>
            <w:hideMark/>
          </w:tcPr>
          <w:p w:rsidR="00263202" w:rsidRPr="002D37B3" w:rsidRDefault="00263202" w:rsidP="00C83B4F">
            <w:pPr>
              <w:rPr>
                <w:b/>
                <w:bCs/>
                <w:sz w:val="16"/>
                <w:szCs w:val="16"/>
              </w:rPr>
            </w:pPr>
            <w:r w:rsidRPr="002D37B3">
              <w:rPr>
                <w:b/>
                <w:bCs/>
                <w:sz w:val="16"/>
                <w:szCs w:val="16"/>
              </w:rPr>
              <w:t>B. Celková medziročná zmena hrubého dlhu VS</w:t>
            </w:r>
          </w:p>
        </w:tc>
        <w:tc>
          <w:tcPr>
            <w:tcW w:w="836" w:type="dxa"/>
            <w:shd w:val="clear" w:color="000000" w:fill="BFBFBF" w:themeFill="background1" w:themeFillShade="BF"/>
            <w:noWrap/>
            <w:vAlign w:val="center"/>
            <w:hideMark/>
          </w:tcPr>
          <w:p w:rsidR="00263202" w:rsidRPr="002D37B3" w:rsidRDefault="00263202" w:rsidP="00C83B4F">
            <w:pPr>
              <w:jc w:val="right"/>
              <w:rPr>
                <w:b/>
                <w:bCs/>
                <w:sz w:val="16"/>
                <w:szCs w:val="16"/>
              </w:rPr>
            </w:pPr>
            <w:r w:rsidRPr="002D37B3">
              <w:rPr>
                <w:b/>
                <w:bCs/>
                <w:sz w:val="16"/>
                <w:szCs w:val="16"/>
              </w:rPr>
              <w:t>2 561</w:t>
            </w:r>
          </w:p>
        </w:tc>
        <w:tc>
          <w:tcPr>
            <w:tcW w:w="836" w:type="dxa"/>
            <w:shd w:val="clear" w:color="000000" w:fill="BFBFBF" w:themeFill="background1" w:themeFillShade="BF"/>
            <w:noWrap/>
            <w:vAlign w:val="center"/>
            <w:hideMark/>
          </w:tcPr>
          <w:p w:rsidR="00263202" w:rsidRPr="002D37B3" w:rsidRDefault="00263202" w:rsidP="00C83B4F">
            <w:pPr>
              <w:jc w:val="right"/>
              <w:rPr>
                <w:b/>
                <w:bCs/>
                <w:sz w:val="16"/>
                <w:szCs w:val="16"/>
              </w:rPr>
            </w:pPr>
            <w:r w:rsidRPr="002D37B3">
              <w:rPr>
                <w:b/>
                <w:bCs/>
                <w:sz w:val="16"/>
                <w:szCs w:val="16"/>
              </w:rPr>
              <w:t>118</w:t>
            </w:r>
          </w:p>
        </w:tc>
        <w:tc>
          <w:tcPr>
            <w:tcW w:w="836" w:type="dxa"/>
            <w:shd w:val="clear" w:color="000000" w:fill="BFBFBF" w:themeFill="background1" w:themeFillShade="BF"/>
            <w:noWrap/>
            <w:vAlign w:val="center"/>
            <w:hideMark/>
          </w:tcPr>
          <w:p w:rsidR="00263202" w:rsidRPr="002D37B3" w:rsidRDefault="00263202" w:rsidP="00C83B4F">
            <w:pPr>
              <w:jc w:val="right"/>
              <w:rPr>
                <w:b/>
                <w:bCs/>
                <w:sz w:val="16"/>
                <w:szCs w:val="16"/>
              </w:rPr>
            </w:pPr>
            <w:r w:rsidRPr="002D37B3">
              <w:rPr>
                <w:b/>
                <w:bCs/>
                <w:sz w:val="16"/>
                <w:szCs w:val="16"/>
              </w:rPr>
              <w:t>992</w:t>
            </w:r>
          </w:p>
        </w:tc>
        <w:tc>
          <w:tcPr>
            <w:tcW w:w="836" w:type="dxa"/>
            <w:shd w:val="clear" w:color="000000" w:fill="BFBFBF" w:themeFill="background1" w:themeFillShade="BF"/>
            <w:noWrap/>
            <w:vAlign w:val="center"/>
            <w:hideMark/>
          </w:tcPr>
          <w:p w:rsidR="00263202" w:rsidRPr="002D37B3" w:rsidRDefault="00263202" w:rsidP="00C83B4F">
            <w:pPr>
              <w:jc w:val="right"/>
              <w:rPr>
                <w:b/>
                <w:bCs/>
                <w:sz w:val="16"/>
                <w:szCs w:val="16"/>
                <w:highlight w:val="yellow"/>
              </w:rPr>
            </w:pPr>
            <w:r w:rsidRPr="002D37B3">
              <w:rPr>
                <w:b/>
                <w:sz w:val="16"/>
                <w:szCs w:val="16"/>
              </w:rPr>
              <w:t>1 639</w:t>
            </w:r>
          </w:p>
        </w:tc>
        <w:tc>
          <w:tcPr>
            <w:tcW w:w="836" w:type="dxa"/>
            <w:gridSpan w:val="2"/>
            <w:shd w:val="clear" w:color="000000" w:fill="BFBFBF" w:themeFill="background1" w:themeFillShade="BF"/>
            <w:noWrap/>
            <w:vAlign w:val="center"/>
            <w:hideMark/>
          </w:tcPr>
          <w:p w:rsidR="00263202" w:rsidRPr="002D37B3" w:rsidRDefault="00263202" w:rsidP="00C83B4F">
            <w:pPr>
              <w:jc w:val="right"/>
              <w:rPr>
                <w:b/>
                <w:bCs/>
                <w:sz w:val="16"/>
                <w:szCs w:val="16"/>
                <w:highlight w:val="yellow"/>
              </w:rPr>
            </w:pPr>
            <w:r w:rsidRPr="002D37B3">
              <w:rPr>
                <w:b/>
                <w:sz w:val="16"/>
                <w:szCs w:val="16"/>
              </w:rPr>
              <w:t>1 556</w:t>
            </w:r>
          </w:p>
        </w:tc>
        <w:tc>
          <w:tcPr>
            <w:tcW w:w="836" w:type="dxa"/>
            <w:shd w:val="clear" w:color="000000" w:fill="BFBFBF" w:themeFill="background1" w:themeFillShade="BF"/>
            <w:noWrap/>
            <w:vAlign w:val="center"/>
            <w:hideMark/>
          </w:tcPr>
          <w:p w:rsidR="00263202" w:rsidRPr="002D37B3" w:rsidRDefault="00263202" w:rsidP="00C83B4F">
            <w:pPr>
              <w:jc w:val="right"/>
              <w:rPr>
                <w:b/>
                <w:bCs/>
                <w:sz w:val="16"/>
                <w:szCs w:val="16"/>
                <w:highlight w:val="yellow"/>
              </w:rPr>
            </w:pPr>
            <w:r w:rsidRPr="002D37B3">
              <w:rPr>
                <w:b/>
                <w:sz w:val="16"/>
                <w:szCs w:val="16"/>
              </w:rPr>
              <w:t>1 120</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100" w:firstLine="160"/>
              <w:rPr>
                <w:sz w:val="16"/>
                <w:szCs w:val="16"/>
              </w:rPr>
            </w:pPr>
            <w:r w:rsidRPr="00137C55">
              <w:rPr>
                <w:sz w:val="16"/>
                <w:szCs w:val="16"/>
              </w:rPr>
              <w:t xml:space="preserve"> - deficit ŠR na hotovostnom princípe</w:t>
            </w:r>
          </w:p>
        </w:tc>
        <w:tc>
          <w:tcPr>
            <w:tcW w:w="836" w:type="dxa"/>
            <w:noWrap/>
            <w:vAlign w:val="center"/>
            <w:hideMark/>
          </w:tcPr>
          <w:p w:rsidR="00263202" w:rsidRPr="00137C55" w:rsidRDefault="00263202" w:rsidP="00C83B4F">
            <w:pPr>
              <w:jc w:val="right"/>
              <w:rPr>
                <w:sz w:val="16"/>
                <w:szCs w:val="16"/>
              </w:rPr>
            </w:pPr>
            <w:r w:rsidRPr="00137C55">
              <w:rPr>
                <w:sz w:val="16"/>
                <w:szCs w:val="16"/>
              </w:rPr>
              <w:t>2 023</w:t>
            </w:r>
          </w:p>
        </w:tc>
        <w:tc>
          <w:tcPr>
            <w:tcW w:w="836" w:type="dxa"/>
            <w:noWrap/>
            <w:vAlign w:val="center"/>
            <w:hideMark/>
          </w:tcPr>
          <w:p w:rsidR="00263202" w:rsidRPr="00137C55" w:rsidRDefault="00263202" w:rsidP="00C83B4F">
            <w:pPr>
              <w:jc w:val="right"/>
              <w:rPr>
                <w:sz w:val="16"/>
                <w:szCs w:val="16"/>
              </w:rPr>
            </w:pPr>
            <w:r w:rsidRPr="00137C55">
              <w:rPr>
                <w:sz w:val="16"/>
                <w:szCs w:val="16"/>
              </w:rPr>
              <w:t>2 923</w:t>
            </w:r>
          </w:p>
        </w:tc>
        <w:tc>
          <w:tcPr>
            <w:tcW w:w="836" w:type="dxa"/>
            <w:noWrap/>
            <w:vAlign w:val="center"/>
            <w:hideMark/>
          </w:tcPr>
          <w:p w:rsidR="00263202" w:rsidRPr="00137C55" w:rsidRDefault="00263202" w:rsidP="00C83B4F">
            <w:pPr>
              <w:jc w:val="right"/>
              <w:rPr>
                <w:sz w:val="16"/>
                <w:szCs w:val="16"/>
              </w:rPr>
            </w:pPr>
            <w:r w:rsidRPr="00137C55">
              <w:rPr>
                <w:sz w:val="16"/>
                <w:szCs w:val="16"/>
              </w:rPr>
              <w:t>2 682</w:t>
            </w:r>
          </w:p>
        </w:tc>
        <w:tc>
          <w:tcPr>
            <w:tcW w:w="836" w:type="dxa"/>
            <w:noWrap/>
            <w:vAlign w:val="center"/>
            <w:hideMark/>
          </w:tcPr>
          <w:p w:rsidR="00263202" w:rsidRPr="00137C55" w:rsidRDefault="00263202" w:rsidP="00C36382">
            <w:pPr>
              <w:jc w:val="right"/>
              <w:rPr>
                <w:sz w:val="16"/>
                <w:szCs w:val="16"/>
                <w:highlight w:val="yellow"/>
              </w:rPr>
            </w:pPr>
            <w:r w:rsidRPr="00137C55">
              <w:rPr>
                <w:sz w:val="16"/>
                <w:szCs w:val="16"/>
              </w:rPr>
              <w:t>2 2</w:t>
            </w:r>
            <w:r w:rsidR="00C36382">
              <w:rPr>
                <w:sz w:val="16"/>
                <w:szCs w:val="16"/>
              </w:rPr>
              <w:t>23</w:t>
            </w:r>
          </w:p>
        </w:tc>
        <w:tc>
          <w:tcPr>
            <w:tcW w:w="836" w:type="dxa"/>
            <w:gridSpan w:val="2"/>
            <w:noWrap/>
            <w:vAlign w:val="center"/>
            <w:hideMark/>
          </w:tcPr>
          <w:p w:rsidR="00263202" w:rsidRPr="00137C55" w:rsidRDefault="00263202" w:rsidP="00C36382">
            <w:pPr>
              <w:jc w:val="right"/>
              <w:rPr>
                <w:sz w:val="16"/>
                <w:szCs w:val="16"/>
                <w:highlight w:val="yellow"/>
              </w:rPr>
            </w:pPr>
            <w:r w:rsidRPr="00137C55">
              <w:rPr>
                <w:sz w:val="16"/>
                <w:szCs w:val="16"/>
              </w:rPr>
              <w:t>1 68</w:t>
            </w:r>
            <w:r w:rsidR="00C36382">
              <w:rPr>
                <w:sz w:val="16"/>
                <w:szCs w:val="16"/>
              </w:rPr>
              <w:t>2</w:t>
            </w:r>
          </w:p>
        </w:tc>
        <w:tc>
          <w:tcPr>
            <w:tcW w:w="836" w:type="dxa"/>
            <w:noWrap/>
            <w:vAlign w:val="center"/>
            <w:hideMark/>
          </w:tcPr>
          <w:p w:rsidR="00263202" w:rsidRPr="00137C55" w:rsidRDefault="00263202" w:rsidP="00C36382">
            <w:pPr>
              <w:jc w:val="right"/>
              <w:rPr>
                <w:sz w:val="16"/>
                <w:szCs w:val="16"/>
                <w:highlight w:val="yellow"/>
              </w:rPr>
            </w:pPr>
            <w:r w:rsidRPr="00137C55">
              <w:rPr>
                <w:sz w:val="16"/>
                <w:szCs w:val="16"/>
              </w:rPr>
              <w:t>1 1</w:t>
            </w:r>
            <w:r w:rsidR="00C36382">
              <w:rPr>
                <w:sz w:val="16"/>
                <w:szCs w:val="16"/>
              </w:rPr>
              <w:t>86</w:t>
            </w:r>
          </w:p>
        </w:tc>
      </w:tr>
      <w:tr w:rsidR="00137C55" w:rsidRPr="00137C55" w:rsidTr="00137C55">
        <w:trPr>
          <w:trHeight w:val="210"/>
          <w:jc w:val="center"/>
        </w:trPr>
        <w:tc>
          <w:tcPr>
            <w:tcW w:w="4056" w:type="dxa"/>
            <w:vAlign w:val="center"/>
            <w:hideMark/>
          </w:tcPr>
          <w:p w:rsidR="00263202" w:rsidRPr="00137C55" w:rsidRDefault="00263202" w:rsidP="00137C55">
            <w:pPr>
              <w:ind w:firstLineChars="100" w:firstLine="160"/>
              <w:rPr>
                <w:sz w:val="16"/>
                <w:szCs w:val="16"/>
              </w:rPr>
            </w:pPr>
            <w:r w:rsidRPr="00137C55">
              <w:rPr>
                <w:sz w:val="16"/>
                <w:szCs w:val="16"/>
              </w:rPr>
              <w:t xml:space="preserve"> - prostriedky ŠP využité pre financovanie potrieb štátu</w:t>
            </w:r>
          </w:p>
        </w:tc>
        <w:tc>
          <w:tcPr>
            <w:tcW w:w="836" w:type="dxa"/>
            <w:noWrap/>
            <w:vAlign w:val="center"/>
            <w:hideMark/>
          </w:tcPr>
          <w:p w:rsidR="00263202" w:rsidRPr="00137C55" w:rsidRDefault="00263202" w:rsidP="00C83B4F">
            <w:pPr>
              <w:jc w:val="right"/>
              <w:rPr>
                <w:sz w:val="16"/>
                <w:szCs w:val="16"/>
              </w:rPr>
            </w:pPr>
            <w:r w:rsidRPr="00137C55">
              <w:rPr>
                <w:sz w:val="16"/>
                <w:szCs w:val="16"/>
              </w:rPr>
              <w:t>-463</w:t>
            </w:r>
          </w:p>
        </w:tc>
        <w:tc>
          <w:tcPr>
            <w:tcW w:w="836" w:type="dxa"/>
            <w:noWrap/>
            <w:vAlign w:val="center"/>
            <w:hideMark/>
          </w:tcPr>
          <w:p w:rsidR="00263202" w:rsidRPr="00137C55" w:rsidRDefault="00263202" w:rsidP="00C83B4F">
            <w:pPr>
              <w:jc w:val="right"/>
              <w:rPr>
                <w:sz w:val="16"/>
                <w:szCs w:val="16"/>
              </w:rPr>
            </w:pPr>
            <w:r w:rsidRPr="00137C55">
              <w:rPr>
                <w:sz w:val="16"/>
                <w:szCs w:val="16"/>
              </w:rPr>
              <w:t>-2 377</w:t>
            </w:r>
          </w:p>
        </w:tc>
        <w:tc>
          <w:tcPr>
            <w:tcW w:w="836" w:type="dxa"/>
            <w:noWrap/>
            <w:vAlign w:val="center"/>
            <w:hideMark/>
          </w:tcPr>
          <w:p w:rsidR="00263202" w:rsidRPr="00137C55" w:rsidRDefault="00263202" w:rsidP="00C83B4F">
            <w:pPr>
              <w:jc w:val="right"/>
              <w:rPr>
                <w:sz w:val="16"/>
                <w:szCs w:val="16"/>
              </w:rPr>
            </w:pPr>
            <w:r w:rsidRPr="00137C55">
              <w:rPr>
                <w:sz w:val="16"/>
                <w:szCs w:val="16"/>
              </w:rPr>
              <w:t>-1 575</w:t>
            </w:r>
          </w:p>
        </w:tc>
        <w:tc>
          <w:tcPr>
            <w:tcW w:w="836" w:type="dxa"/>
            <w:noWrap/>
            <w:vAlign w:val="center"/>
            <w:hideMark/>
          </w:tcPr>
          <w:p w:rsidR="00263202" w:rsidRPr="00137C55" w:rsidRDefault="00263202" w:rsidP="00C36382">
            <w:pPr>
              <w:jc w:val="right"/>
              <w:rPr>
                <w:sz w:val="16"/>
                <w:szCs w:val="16"/>
                <w:highlight w:val="yellow"/>
              </w:rPr>
            </w:pPr>
            <w:r w:rsidRPr="00137C55">
              <w:rPr>
                <w:sz w:val="16"/>
                <w:szCs w:val="16"/>
              </w:rPr>
              <w:t>-5</w:t>
            </w:r>
            <w:r w:rsidR="00C36382">
              <w:rPr>
                <w:sz w:val="16"/>
                <w:szCs w:val="16"/>
              </w:rPr>
              <w:t>29</w:t>
            </w:r>
          </w:p>
        </w:tc>
        <w:tc>
          <w:tcPr>
            <w:tcW w:w="836" w:type="dxa"/>
            <w:gridSpan w:val="2"/>
            <w:noWrap/>
            <w:vAlign w:val="center"/>
            <w:hideMark/>
          </w:tcPr>
          <w:p w:rsidR="00263202" w:rsidRPr="00137C55" w:rsidRDefault="00263202" w:rsidP="00C36382">
            <w:pPr>
              <w:jc w:val="right"/>
              <w:rPr>
                <w:sz w:val="16"/>
                <w:szCs w:val="16"/>
                <w:highlight w:val="yellow"/>
              </w:rPr>
            </w:pPr>
            <w:r w:rsidRPr="00137C55">
              <w:rPr>
                <w:sz w:val="16"/>
                <w:szCs w:val="16"/>
              </w:rPr>
              <w:t>-20</w:t>
            </w:r>
            <w:r w:rsidR="00C36382">
              <w:rPr>
                <w:sz w:val="16"/>
                <w:szCs w:val="16"/>
              </w:rPr>
              <w:t>7</w:t>
            </w:r>
          </w:p>
        </w:tc>
        <w:tc>
          <w:tcPr>
            <w:tcW w:w="836" w:type="dxa"/>
            <w:noWrap/>
            <w:vAlign w:val="center"/>
            <w:hideMark/>
          </w:tcPr>
          <w:p w:rsidR="00263202" w:rsidRPr="00137C55" w:rsidRDefault="00263202" w:rsidP="00C36382">
            <w:pPr>
              <w:jc w:val="right"/>
              <w:rPr>
                <w:sz w:val="16"/>
                <w:szCs w:val="16"/>
                <w:highlight w:val="yellow"/>
              </w:rPr>
            </w:pPr>
            <w:r w:rsidRPr="00137C55">
              <w:rPr>
                <w:sz w:val="16"/>
                <w:szCs w:val="16"/>
              </w:rPr>
              <w:t>-2</w:t>
            </w:r>
            <w:r w:rsidR="00C36382">
              <w:rPr>
                <w:sz w:val="16"/>
                <w:szCs w:val="16"/>
              </w:rPr>
              <w:t>44</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100" w:firstLine="160"/>
              <w:rPr>
                <w:sz w:val="16"/>
                <w:szCs w:val="16"/>
              </w:rPr>
            </w:pPr>
            <w:r w:rsidRPr="00137C55">
              <w:rPr>
                <w:sz w:val="16"/>
                <w:szCs w:val="16"/>
              </w:rPr>
              <w:t xml:space="preserve"> - podiel SR na dlhu EFSF</w:t>
            </w:r>
          </w:p>
        </w:tc>
        <w:tc>
          <w:tcPr>
            <w:tcW w:w="836" w:type="dxa"/>
            <w:noWrap/>
            <w:vAlign w:val="center"/>
            <w:hideMark/>
          </w:tcPr>
          <w:p w:rsidR="00263202" w:rsidRPr="00137C55" w:rsidRDefault="00263202" w:rsidP="00C83B4F">
            <w:pPr>
              <w:jc w:val="right"/>
              <w:rPr>
                <w:sz w:val="16"/>
                <w:szCs w:val="16"/>
              </w:rPr>
            </w:pPr>
            <w:r w:rsidRPr="00137C55">
              <w:rPr>
                <w:sz w:val="16"/>
                <w:szCs w:val="16"/>
              </w:rPr>
              <w:t>401</w:t>
            </w:r>
          </w:p>
        </w:tc>
        <w:tc>
          <w:tcPr>
            <w:tcW w:w="836" w:type="dxa"/>
            <w:noWrap/>
            <w:vAlign w:val="center"/>
            <w:hideMark/>
          </w:tcPr>
          <w:p w:rsidR="00263202" w:rsidRPr="00137C55" w:rsidRDefault="00263202" w:rsidP="00C83B4F">
            <w:pPr>
              <w:jc w:val="right"/>
              <w:rPr>
                <w:sz w:val="16"/>
                <w:szCs w:val="16"/>
              </w:rPr>
            </w:pPr>
            <w:r w:rsidRPr="00137C55">
              <w:rPr>
                <w:sz w:val="16"/>
                <w:szCs w:val="16"/>
              </w:rPr>
              <w:t>102</w:t>
            </w:r>
          </w:p>
        </w:tc>
        <w:tc>
          <w:tcPr>
            <w:tcW w:w="836" w:type="dxa"/>
            <w:noWrap/>
            <w:vAlign w:val="center"/>
            <w:hideMark/>
          </w:tcPr>
          <w:p w:rsidR="00263202" w:rsidRPr="00137C55" w:rsidRDefault="00263202" w:rsidP="00C83B4F">
            <w:pPr>
              <w:jc w:val="right"/>
              <w:rPr>
                <w:sz w:val="16"/>
                <w:szCs w:val="16"/>
              </w:rPr>
            </w:pPr>
            <w:r w:rsidRPr="00137C55">
              <w:rPr>
                <w:sz w:val="16"/>
                <w:szCs w:val="16"/>
              </w:rPr>
              <w:t>19</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0</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0</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0</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100" w:firstLine="160"/>
              <w:rPr>
                <w:sz w:val="16"/>
                <w:szCs w:val="16"/>
              </w:rPr>
            </w:pPr>
            <w:r w:rsidRPr="00137C55">
              <w:rPr>
                <w:sz w:val="16"/>
                <w:szCs w:val="16"/>
              </w:rPr>
              <w:t xml:space="preserve"> - vklady Slovenska do ESM</w:t>
            </w:r>
          </w:p>
        </w:tc>
        <w:tc>
          <w:tcPr>
            <w:tcW w:w="836" w:type="dxa"/>
            <w:noWrap/>
            <w:vAlign w:val="center"/>
            <w:hideMark/>
          </w:tcPr>
          <w:p w:rsidR="00263202" w:rsidRPr="00137C55" w:rsidRDefault="00263202" w:rsidP="00C83B4F">
            <w:pPr>
              <w:jc w:val="right"/>
              <w:rPr>
                <w:sz w:val="16"/>
                <w:szCs w:val="16"/>
              </w:rPr>
            </w:pPr>
            <w:r w:rsidRPr="00137C55">
              <w:rPr>
                <w:sz w:val="16"/>
                <w:szCs w:val="16"/>
              </w:rPr>
              <w:t>264</w:t>
            </w:r>
          </w:p>
        </w:tc>
        <w:tc>
          <w:tcPr>
            <w:tcW w:w="836" w:type="dxa"/>
            <w:noWrap/>
            <w:vAlign w:val="center"/>
            <w:hideMark/>
          </w:tcPr>
          <w:p w:rsidR="00263202" w:rsidRPr="00137C55" w:rsidRDefault="00263202" w:rsidP="00C83B4F">
            <w:pPr>
              <w:jc w:val="right"/>
              <w:rPr>
                <w:sz w:val="16"/>
                <w:szCs w:val="16"/>
              </w:rPr>
            </w:pPr>
            <w:r w:rsidRPr="00137C55">
              <w:rPr>
                <w:sz w:val="16"/>
                <w:szCs w:val="16"/>
              </w:rPr>
              <w:t>132</w:t>
            </w:r>
          </w:p>
        </w:tc>
        <w:tc>
          <w:tcPr>
            <w:tcW w:w="836" w:type="dxa"/>
            <w:noWrap/>
            <w:vAlign w:val="center"/>
            <w:hideMark/>
          </w:tcPr>
          <w:p w:rsidR="00263202" w:rsidRPr="00137C55" w:rsidRDefault="00263202" w:rsidP="00C83B4F">
            <w:pPr>
              <w:jc w:val="right"/>
              <w:rPr>
                <w:sz w:val="16"/>
                <w:szCs w:val="16"/>
              </w:rPr>
            </w:pPr>
            <w:r w:rsidRPr="00137C55">
              <w:rPr>
                <w:sz w:val="16"/>
                <w:szCs w:val="16"/>
              </w:rPr>
              <w:t>0</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0</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0</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0</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100" w:firstLine="160"/>
              <w:rPr>
                <w:sz w:val="16"/>
                <w:szCs w:val="16"/>
              </w:rPr>
            </w:pPr>
            <w:r w:rsidRPr="00137C55">
              <w:rPr>
                <w:sz w:val="16"/>
                <w:szCs w:val="16"/>
              </w:rPr>
              <w:t xml:space="preserve"> - emisný diskont</w:t>
            </w:r>
          </w:p>
        </w:tc>
        <w:tc>
          <w:tcPr>
            <w:tcW w:w="836" w:type="dxa"/>
            <w:vAlign w:val="center"/>
            <w:hideMark/>
          </w:tcPr>
          <w:p w:rsidR="00263202" w:rsidRPr="00137C55" w:rsidRDefault="00263202" w:rsidP="00C83B4F">
            <w:pPr>
              <w:jc w:val="right"/>
              <w:rPr>
                <w:sz w:val="16"/>
                <w:szCs w:val="16"/>
              </w:rPr>
            </w:pPr>
            <w:r w:rsidRPr="00137C55">
              <w:rPr>
                <w:sz w:val="16"/>
                <w:szCs w:val="16"/>
              </w:rPr>
              <w:t>51</w:t>
            </w:r>
          </w:p>
        </w:tc>
        <w:tc>
          <w:tcPr>
            <w:tcW w:w="836" w:type="dxa"/>
            <w:vAlign w:val="center"/>
            <w:hideMark/>
          </w:tcPr>
          <w:p w:rsidR="00263202" w:rsidRPr="00137C55" w:rsidRDefault="00263202" w:rsidP="00C83B4F">
            <w:pPr>
              <w:jc w:val="right"/>
              <w:rPr>
                <w:sz w:val="16"/>
                <w:szCs w:val="16"/>
              </w:rPr>
            </w:pPr>
            <w:r w:rsidRPr="00137C55">
              <w:rPr>
                <w:sz w:val="16"/>
                <w:szCs w:val="16"/>
              </w:rPr>
              <w:t>6</w:t>
            </w:r>
          </w:p>
        </w:tc>
        <w:tc>
          <w:tcPr>
            <w:tcW w:w="836" w:type="dxa"/>
            <w:vAlign w:val="center"/>
            <w:hideMark/>
          </w:tcPr>
          <w:p w:rsidR="00263202" w:rsidRPr="00137C55" w:rsidRDefault="00263202" w:rsidP="00C83B4F">
            <w:pPr>
              <w:jc w:val="right"/>
              <w:rPr>
                <w:sz w:val="16"/>
                <w:szCs w:val="16"/>
              </w:rPr>
            </w:pPr>
            <w:r w:rsidRPr="00137C55">
              <w:rPr>
                <w:sz w:val="16"/>
                <w:szCs w:val="16"/>
              </w:rPr>
              <w:t>40</w:t>
            </w:r>
          </w:p>
        </w:tc>
        <w:tc>
          <w:tcPr>
            <w:tcW w:w="836" w:type="dxa"/>
            <w:vAlign w:val="center"/>
            <w:hideMark/>
          </w:tcPr>
          <w:p w:rsidR="00263202" w:rsidRPr="00137C55" w:rsidRDefault="00263202" w:rsidP="00C83B4F">
            <w:pPr>
              <w:jc w:val="right"/>
              <w:rPr>
                <w:sz w:val="16"/>
                <w:szCs w:val="16"/>
                <w:highlight w:val="yellow"/>
              </w:rPr>
            </w:pPr>
            <w:r w:rsidRPr="00137C55">
              <w:rPr>
                <w:sz w:val="16"/>
                <w:szCs w:val="16"/>
              </w:rPr>
              <w:t>120</w:t>
            </w:r>
          </w:p>
        </w:tc>
        <w:tc>
          <w:tcPr>
            <w:tcW w:w="836" w:type="dxa"/>
            <w:gridSpan w:val="2"/>
            <w:vAlign w:val="center"/>
            <w:hideMark/>
          </w:tcPr>
          <w:p w:rsidR="00263202" w:rsidRPr="00137C55" w:rsidRDefault="00263202" w:rsidP="00C83B4F">
            <w:pPr>
              <w:jc w:val="right"/>
              <w:rPr>
                <w:sz w:val="16"/>
                <w:szCs w:val="16"/>
                <w:highlight w:val="yellow"/>
              </w:rPr>
            </w:pPr>
            <w:r w:rsidRPr="00137C55">
              <w:rPr>
                <w:sz w:val="16"/>
                <w:szCs w:val="16"/>
              </w:rPr>
              <w:t>257</w:t>
            </w:r>
          </w:p>
        </w:tc>
        <w:tc>
          <w:tcPr>
            <w:tcW w:w="836" w:type="dxa"/>
            <w:vAlign w:val="center"/>
            <w:hideMark/>
          </w:tcPr>
          <w:p w:rsidR="00263202" w:rsidRPr="00137C55" w:rsidRDefault="00263202" w:rsidP="00C83B4F">
            <w:pPr>
              <w:jc w:val="right"/>
              <w:rPr>
                <w:sz w:val="16"/>
                <w:szCs w:val="16"/>
                <w:highlight w:val="yellow"/>
              </w:rPr>
            </w:pPr>
            <w:r w:rsidRPr="00137C55">
              <w:rPr>
                <w:sz w:val="16"/>
                <w:szCs w:val="16"/>
              </w:rPr>
              <w:t>295</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100" w:firstLine="160"/>
              <w:rPr>
                <w:sz w:val="16"/>
                <w:szCs w:val="16"/>
              </w:rPr>
            </w:pPr>
            <w:r w:rsidRPr="00137C55">
              <w:rPr>
                <w:sz w:val="16"/>
                <w:szCs w:val="16"/>
              </w:rPr>
              <w:t xml:space="preserve"> - diskont pri splatnosti</w:t>
            </w:r>
          </w:p>
        </w:tc>
        <w:tc>
          <w:tcPr>
            <w:tcW w:w="836" w:type="dxa"/>
            <w:noWrap/>
            <w:vAlign w:val="center"/>
            <w:hideMark/>
          </w:tcPr>
          <w:p w:rsidR="00263202" w:rsidRPr="00137C55" w:rsidRDefault="00263202" w:rsidP="00C83B4F">
            <w:pPr>
              <w:jc w:val="right"/>
              <w:rPr>
                <w:sz w:val="16"/>
                <w:szCs w:val="16"/>
              </w:rPr>
            </w:pPr>
            <w:r w:rsidRPr="00137C55">
              <w:rPr>
                <w:sz w:val="16"/>
                <w:szCs w:val="16"/>
              </w:rPr>
              <w:t>-68</w:t>
            </w:r>
          </w:p>
        </w:tc>
        <w:tc>
          <w:tcPr>
            <w:tcW w:w="836" w:type="dxa"/>
            <w:noWrap/>
            <w:vAlign w:val="center"/>
            <w:hideMark/>
          </w:tcPr>
          <w:p w:rsidR="00263202" w:rsidRPr="00137C55" w:rsidRDefault="00263202" w:rsidP="00C83B4F">
            <w:pPr>
              <w:jc w:val="right"/>
              <w:rPr>
                <w:sz w:val="16"/>
                <w:szCs w:val="16"/>
              </w:rPr>
            </w:pPr>
            <w:r w:rsidRPr="00137C55">
              <w:rPr>
                <w:sz w:val="16"/>
                <w:szCs w:val="16"/>
              </w:rPr>
              <w:t>-113</w:t>
            </w:r>
          </w:p>
        </w:tc>
        <w:tc>
          <w:tcPr>
            <w:tcW w:w="836" w:type="dxa"/>
            <w:noWrap/>
            <w:vAlign w:val="center"/>
            <w:hideMark/>
          </w:tcPr>
          <w:p w:rsidR="00263202" w:rsidRPr="00137C55" w:rsidRDefault="00263202" w:rsidP="00C83B4F">
            <w:pPr>
              <w:jc w:val="right"/>
              <w:rPr>
                <w:sz w:val="16"/>
                <w:szCs w:val="16"/>
              </w:rPr>
            </w:pPr>
            <w:r w:rsidRPr="00137C55">
              <w:rPr>
                <w:sz w:val="16"/>
                <w:szCs w:val="16"/>
              </w:rPr>
              <w:t>-86</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-66</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-67</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-6</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100" w:firstLine="160"/>
              <w:rPr>
                <w:sz w:val="16"/>
                <w:szCs w:val="16"/>
              </w:rPr>
            </w:pPr>
            <w:r w:rsidRPr="00137C55">
              <w:rPr>
                <w:sz w:val="16"/>
                <w:szCs w:val="16"/>
              </w:rPr>
              <w:t xml:space="preserve"> - zadlženie ostatných subjektov VS</w:t>
            </w:r>
          </w:p>
        </w:tc>
        <w:tc>
          <w:tcPr>
            <w:tcW w:w="836" w:type="dxa"/>
            <w:noWrap/>
            <w:vAlign w:val="center"/>
            <w:hideMark/>
          </w:tcPr>
          <w:p w:rsidR="00263202" w:rsidRPr="00137C55" w:rsidRDefault="00263202" w:rsidP="00C83B4F">
            <w:pPr>
              <w:jc w:val="right"/>
              <w:rPr>
                <w:sz w:val="16"/>
                <w:szCs w:val="16"/>
              </w:rPr>
            </w:pPr>
            <w:r w:rsidRPr="00137C55">
              <w:rPr>
                <w:sz w:val="16"/>
                <w:szCs w:val="16"/>
              </w:rPr>
              <w:t>318</w:t>
            </w:r>
          </w:p>
        </w:tc>
        <w:tc>
          <w:tcPr>
            <w:tcW w:w="836" w:type="dxa"/>
            <w:noWrap/>
            <w:vAlign w:val="center"/>
            <w:hideMark/>
          </w:tcPr>
          <w:p w:rsidR="00263202" w:rsidRPr="00137C55" w:rsidRDefault="00263202" w:rsidP="00C83B4F">
            <w:pPr>
              <w:jc w:val="right"/>
              <w:rPr>
                <w:sz w:val="16"/>
                <w:szCs w:val="16"/>
              </w:rPr>
            </w:pPr>
            <w:r w:rsidRPr="00137C55">
              <w:rPr>
                <w:sz w:val="16"/>
                <w:szCs w:val="16"/>
              </w:rPr>
              <w:t>-521</w:t>
            </w:r>
          </w:p>
        </w:tc>
        <w:tc>
          <w:tcPr>
            <w:tcW w:w="836" w:type="dxa"/>
            <w:noWrap/>
            <w:vAlign w:val="center"/>
            <w:hideMark/>
          </w:tcPr>
          <w:p w:rsidR="00263202" w:rsidRPr="00137C55" w:rsidRDefault="00263202" w:rsidP="00C83B4F">
            <w:pPr>
              <w:jc w:val="right"/>
              <w:rPr>
                <w:sz w:val="16"/>
                <w:szCs w:val="16"/>
              </w:rPr>
            </w:pPr>
            <w:r w:rsidRPr="00137C55">
              <w:rPr>
                <w:sz w:val="16"/>
                <w:szCs w:val="16"/>
              </w:rPr>
              <w:t>-101</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-105</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-106</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-108</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300" w:firstLine="480"/>
              <w:rPr>
                <w:sz w:val="16"/>
                <w:szCs w:val="16"/>
              </w:rPr>
            </w:pPr>
            <w:r w:rsidRPr="00137C55">
              <w:rPr>
                <w:sz w:val="16"/>
                <w:szCs w:val="16"/>
              </w:rPr>
              <w:t>z toho: ŽSR</w:t>
            </w:r>
          </w:p>
        </w:tc>
        <w:tc>
          <w:tcPr>
            <w:tcW w:w="836" w:type="dxa"/>
            <w:noWrap/>
            <w:vAlign w:val="center"/>
            <w:hideMark/>
          </w:tcPr>
          <w:p w:rsidR="00263202" w:rsidRPr="00137C55" w:rsidRDefault="00263202" w:rsidP="00C83B4F">
            <w:pPr>
              <w:jc w:val="right"/>
              <w:rPr>
                <w:sz w:val="16"/>
                <w:szCs w:val="16"/>
              </w:rPr>
            </w:pPr>
            <w:r w:rsidRPr="00137C55">
              <w:rPr>
                <w:sz w:val="16"/>
                <w:szCs w:val="16"/>
              </w:rPr>
              <w:t>-131</w:t>
            </w:r>
          </w:p>
        </w:tc>
        <w:tc>
          <w:tcPr>
            <w:tcW w:w="836" w:type="dxa"/>
            <w:noWrap/>
            <w:vAlign w:val="center"/>
            <w:hideMark/>
          </w:tcPr>
          <w:p w:rsidR="00263202" w:rsidRPr="00137C55" w:rsidRDefault="00263202" w:rsidP="00C83B4F">
            <w:pPr>
              <w:jc w:val="right"/>
              <w:rPr>
                <w:sz w:val="16"/>
                <w:szCs w:val="16"/>
              </w:rPr>
            </w:pPr>
            <w:r w:rsidRPr="00137C55">
              <w:rPr>
                <w:sz w:val="16"/>
                <w:szCs w:val="16"/>
              </w:rPr>
              <w:t>-1</w:t>
            </w:r>
          </w:p>
        </w:tc>
        <w:tc>
          <w:tcPr>
            <w:tcW w:w="836" w:type="dxa"/>
            <w:noWrap/>
            <w:vAlign w:val="center"/>
            <w:hideMark/>
          </w:tcPr>
          <w:p w:rsidR="00263202" w:rsidRPr="00137C55" w:rsidRDefault="00263202" w:rsidP="00C83B4F">
            <w:pPr>
              <w:jc w:val="right"/>
              <w:rPr>
                <w:sz w:val="16"/>
                <w:szCs w:val="16"/>
              </w:rPr>
            </w:pPr>
            <w:r w:rsidRPr="00137C55">
              <w:rPr>
                <w:sz w:val="16"/>
                <w:szCs w:val="16"/>
              </w:rPr>
              <w:t>0</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0</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0</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0</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300" w:firstLine="480"/>
              <w:rPr>
                <w:sz w:val="16"/>
                <w:szCs w:val="16"/>
              </w:rPr>
            </w:pPr>
            <w:r w:rsidRPr="00137C55">
              <w:rPr>
                <w:sz w:val="16"/>
                <w:szCs w:val="16"/>
              </w:rPr>
              <w:t>z toho: NDS</w:t>
            </w:r>
          </w:p>
        </w:tc>
        <w:tc>
          <w:tcPr>
            <w:tcW w:w="836" w:type="dxa"/>
            <w:noWrap/>
            <w:vAlign w:val="center"/>
            <w:hideMark/>
          </w:tcPr>
          <w:p w:rsidR="00263202" w:rsidRPr="00137C55" w:rsidRDefault="00263202" w:rsidP="00C83B4F">
            <w:pPr>
              <w:jc w:val="right"/>
              <w:rPr>
                <w:sz w:val="16"/>
                <w:szCs w:val="16"/>
              </w:rPr>
            </w:pPr>
            <w:r w:rsidRPr="00137C55">
              <w:rPr>
                <w:sz w:val="16"/>
                <w:szCs w:val="16"/>
              </w:rPr>
              <w:t>-37</w:t>
            </w:r>
          </w:p>
        </w:tc>
        <w:tc>
          <w:tcPr>
            <w:tcW w:w="836" w:type="dxa"/>
            <w:noWrap/>
            <w:vAlign w:val="center"/>
            <w:hideMark/>
          </w:tcPr>
          <w:p w:rsidR="00263202" w:rsidRPr="00137C55" w:rsidRDefault="00263202" w:rsidP="00C83B4F">
            <w:pPr>
              <w:jc w:val="right"/>
              <w:rPr>
                <w:sz w:val="16"/>
                <w:szCs w:val="16"/>
              </w:rPr>
            </w:pPr>
            <w:r w:rsidRPr="00137C55">
              <w:rPr>
                <w:sz w:val="16"/>
                <w:szCs w:val="16"/>
              </w:rPr>
              <w:t>-37</w:t>
            </w:r>
          </w:p>
        </w:tc>
        <w:tc>
          <w:tcPr>
            <w:tcW w:w="836" w:type="dxa"/>
            <w:noWrap/>
            <w:vAlign w:val="center"/>
            <w:hideMark/>
          </w:tcPr>
          <w:p w:rsidR="00263202" w:rsidRPr="00137C55" w:rsidRDefault="00263202" w:rsidP="00C83B4F">
            <w:pPr>
              <w:jc w:val="right"/>
              <w:rPr>
                <w:sz w:val="16"/>
                <w:szCs w:val="16"/>
              </w:rPr>
            </w:pPr>
            <w:r w:rsidRPr="00137C55">
              <w:rPr>
                <w:sz w:val="16"/>
                <w:szCs w:val="16"/>
              </w:rPr>
              <w:t>-37</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-37</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-37</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-37</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300" w:firstLine="480"/>
              <w:rPr>
                <w:sz w:val="16"/>
                <w:szCs w:val="16"/>
              </w:rPr>
            </w:pPr>
            <w:r w:rsidRPr="00137C55">
              <w:rPr>
                <w:sz w:val="16"/>
                <w:szCs w:val="16"/>
              </w:rPr>
              <w:t>z toho: EOSA</w:t>
            </w:r>
          </w:p>
        </w:tc>
        <w:tc>
          <w:tcPr>
            <w:tcW w:w="836" w:type="dxa"/>
            <w:noWrap/>
            <w:vAlign w:val="center"/>
            <w:hideMark/>
          </w:tcPr>
          <w:p w:rsidR="00263202" w:rsidRPr="00137C55" w:rsidRDefault="00263202" w:rsidP="00C83B4F">
            <w:pPr>
              <w:jc w:val="right"/>
              <w:rPr>
                <w:sz w:val="16"/>
                <w:szCs w:val="16"/>
              </w:rPr>
            </w:pPr>
            <w:r w:rsidRPr="00137C55">
              <w:rPr>
                <w:sz w:val="16"/>
                <w:szCs w:val="16"/>
              </w:rPr>
              <w:t>520</w:t>
            </w:r>
          </w:p>
        </w:tc>
        <w:tc>
          <w:tcPr>
            <w:tcW w:w="836" w:type="dxa"/>
            <w:noWrap/>
            <w:vAlign w:val="center"/>
            <w:hideMark/>
          </w:tcPr>
          <w:p w:rsidR="00263202" w:rsidRPr="00137C55" w:rsidRDefault="00263202" w:rsidP="00C83B4F">
            <w:pPr>
              <w:jc w:val="right"/>
              <w:rPr>
                <w:sz w:val="16"/>
                <w:szCs w:val="16"/>
              </w:rPr>
            </w:pPr>
            <w:r w:rsidRPr="00137C55">
              <w:rPr>
                <w:sz w:val="16"/>
                <w:szCs w:val="16"/>
              </w:rPr>
              <w:t>-520</w:t>
            </w:r>
          </w:p>
        </w:tc>
        <w:tc>
          <w:tcPr>
            <w:tcW w:w="836" w:type="dxa"/>
            <w:noWrap/>
            <w:vAlign w:val="center"/>
            <w:hideMark/>
          </w:tcPr>
          <w:p w:rsidR="00263202" w:rsidRPr="00137C55" w:rsidRDefault="00263202" w:rsidP="00C83B4F">
            <w:pPr>
              <w:jc w:val="right"/>
              <w:rPr>
                <w:sz w:val="16"/>
                <w:szCs w:val="16"/>
              </w:rPr>
            </w:pPr>
            <w:r w:rsidRPr="00137C55">
              <w:rPr>
                <w:sz w:val="16"/>
                <w:szCs w:val="16"/>
              </w:rPr>
              <w:t>0</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0</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0</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0</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300" w:firstLine="480"/>
              <w:rPr>
                <w:sz w:val="16"/>
                <w:szCs w:val="16"/>
              </w:rPr>
            </w:pPr>
            <w:r w:rsidRPr="00137C55">
              <w:rPr>
                <w:sz w:val="16"/>
                <w:szCs w:val="16"/>
              </w:rPr>
              <w:t>z toho: Dopravné podniky obcí</w:t>
            </w:r>
          </w:p>
        </w:tc>
        <w:tc>
          <w:tcPr>
            <w:tcW w:w="836" w:type="dxa"/>
            <w:noWrap/>
            <w:vAlign w:val="center"/>
            <w:hideMark/>
          </w:tcPr>
          <w:p w:rsidR="00263202" w:rsidRPr="00137C55" w:rsidRDefault="00263202" w:rsidP="00C83B4F">
            <w:pPr>
              <w:jc w:val="right"/>
              <w:rPr>
                <w:sz w:val="16"/>
                <w:szCs w:val="16"/>
              </w:rPr>
            </w:pPr>
            <w:r w:rsidRPr="00137C55">
              <w:rPr>
                <w:sz w:val="16"/>
                <w:szCs w:val="16"/>
              </w:rPr>
              <w:t>-</w:t>
            </w:r>
          </w:p>
        </w:tc>
        <w:tc>
          <w:tcPr>
            <w:tcW w:w="836" w:type="dxa"/>
            <w:noWrap/>
            <w:vAlign w:val="center"/>
            <w:hideMark/>
          </w:tcPr>
          <w:p w:rsidR="00263202" w:rsidRPr="00137C55" w:rsidRDefault="00263202" w:rsidP="00C83B4F">
            <w:pPr>
              <w:jc w:val="right"/>
              <w:rPr>
                <w:sz w:val="16"/>
                <w:szCs w:val="16"/>
              </w:rPr>
            </w:pPr>
            <w:r w:rsidRPr="00137C55">
              <w:rPr>
                <w:sz w:val="16"/>
                <w:szCs w:val="16"/>
              </w:rPr>
              <w:t>85</w:t>
            </w:r>
          </w:p>
        </w:tc>
        <w:tc>
          <w:tcPr>
            <w:tcW w:w="836" w:type="dxa"/>
            <w:noWrap/>
            <w:vAlign w:val="center"/>
            <w:hideMark/>
          </w:tcPr>
          <w:p w:rsidR="00263202" w:rsidRPr="00137C55" w:rsidRDefault="00263202" w:rsidP="00C83B4F">
            <w:pPr>
              <w:jc w:val="right"/>
              <w:rPr>
                <w:sz w:val="16"/>
                <w:szCs w:val="16"/>
              </w:rPr>
            </w:pPr>
            <w:r w:rsidRPr="00137C55">
              <w:rPr>
                <w:sz w:val="16"/>
                <w:szCs w:val="16"/>
              </w:rPr>
              <w:t>-1</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-4</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-6</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-7</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100" w:firstLine="160"/>
              <w:rPr>
                <w:sz w:val="16"/>
                <w:szCs w:val="16"/>
              </w:rPr>
            </w:pPr>
            <w:r w:rsidRPr="00137C55">
              <w:rPr>
                <w:sz w:val="16"/>
                <w:szCs w:val="16"/>
              </w:rPr>
              <w:t xml:space="preserve"> - ostatné</w:t>
            </w:r>
          </w:p>
        </w:tc>
        <w:tc>
          <w:tcPr>
            <w:tcW w:w="836" w:type="dxa"/>
            <w:noWrap/>
            <w:vAlign w:val="center"/>
            <w:hideMark/>
          </w:tcPr>
          <w:p w:rsidR="00263202" w:rsidRPr="00137C55" w:rsidRDefault="00263202" w:rsidP="00C83B4F">
            <w:pPr>
              <w:jc w:val="right"/>
              <w:rPr>
                <w:sz w:val="16"/>
                <w:szCs w:val="16"/>
              </w:rPr>
            </w:pPr>
            <w:r w:rsidRPr="00137C55">
              <w:rPr>
                <w:sz w:val="16"/>
                <w:szCs w:val="16"/>
              </w:rPr>
              <w:t>35</w:t>
            </w:r>
          </w:p>
        </w:tc>
        <w:tc>
          <w:tcPr>
            <w:tcW w:w="836" w:type="dxa"/>
            <w:noWrap/>
            <w:vAlign w:val="center"/>
            <w:hideMark/>
          </w:tcPr>
          <w:p w:rsidR="00263202" w:rsidRPr="00137C55" w:rsidRDefault="00263202" w:rsidP="00C83B4F">
            <w:pPr>
              <w:jc w:val="right"/>
              <w:rPr>
                <w:sz w:val="16"/>
                <w:szCs w:val="16"/>
              </w:rPr>
            </w:pPr>
            <w:r w:rsidRPr="00137C55">
              <w:rPr>
                <w:sz w:val="16"/>
                <w:szCs w:val="16"/>
              </w:rPr>
              <w:t>-35</w:t>
            </w:r>
          </w:p>
        </w:tc>
        <w:tc>
          <w:tcPr>
            <w:tcW w:w="836" w:type="dxa"/>
            <w:noWrap/>
            <w:vAlign w:val="center"/>
            <w:hideMark/>
          </w:tcPr>
          <w:p w:rsidR="00263202" w:rsidRPr="00137C55" w:rsidRDefault="00263202" w:rsidP="00C83B4F">
            <w:pPr>
              <w:jc w:val="right"/>
              <w:rPr>
                <w:sz w:val="16"/>
                <w:szCs w:val="16"/>
              </w:rPr>
            </w:pPr>
            <w:r w:rsidRPr="00137C55">
              <w:rPr>
                <w:sz w:val="16"/>
                <w:szCs w:val="16"/>
              </w:rPr>
              <w:t>14</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-3</w:t>
            </w:r>
          </w:p>
        </w:tc>
        <w:tc>
          <w:tcPr>
            <w:tcW w:w="836" w:type="dxa"/>
            <w:gridSpan w:val="2"/>
            <w:noWrap/>
            <w:vAlign w:val="center"/>
            <w:hideMark/>
          </w:tcPr>
          <w:p w:rsidR="00263202" w:rsidRPr="00137C55" w:rsidRDefault="00263202" w:rsidP="00C83B4F">
            <w:pPr>
              <w:jc w:val="right"/>
              <w:rPr>
                <w:sz w:val="16"/>
                <w:szCs w:val="16"/>
                <w:highlight w:val="yellow"/>
              </w:rPr>
            </w:pPr>
            <w:r w:rsidRPr="00137C55">
              <w:rPr>
                <w:sz w:val="16"/>
                <w:szCs w:val="16"/>
              </w:rPr>
              <w:t>-3</w:t>
            </w:r>
          </w:p>
        </w:tc>
        <w:tc>
          <w:tcPr>
            <w:tcW w:w="836" w:type="dxa"/>
            <w:noWrap/>
            <w:vAlign w:val="center"/>
            <w:hideMark/>
          </w:tcPr>
          <w:p w:rsidR="00263202" w:rsidRPr="00137C55" w:rsidRDefault="00263202" w:rsidP="00C83B4F">
            <w:pPr>
              <w:jc w:val="right"/>
              <w:rPr>
                <w:sz w:val="16"/>
                <w:szCs w:val="16"/>
                <w:highlight w:val="yellow"/>
              </w:rPr>
            </w:pPr>
            <w:r w:rsidRPr="00137C55">
              <w:rPr>
                <w:sz w:val="16"/>
                <w:szCs w:val="16"/>
              </w:rPr>
              <w:t>-3</w:t>
            </w:r>
          </w:p>
        </w:tc>
      </w:tr>
      <w:tr w:rsidR="00137C55" w:rsidRPr="00137C55" w:rsidTr="00137C55">
        <w:trPr>
          <w:trHeight w:val="210"/>
          <w:jc w:val="center"/>
        </w:trPr>
        <w:tc>
          <w:tcPr>
            <w:tcW w:w="4056" w:type="dxa"/>
            <w:shd w:val="clear" w:color="auto" w:fill="BFBFBF" w:themeFill="background1" w:themeFillShade="BF"/>
            <w:noWrap/>
            <w:vAlign w:val="center"/>
            <w:hideMark/>
          </w:tcPr>
          <w:p w:rsidR="00263202" w:rsidRPr="00137C55" w:rsidRDefault="00263202" w:rsidP="00C83B4F">
            <w:pPr>
              <w:rPr>
                <w:b/>
                <w:bCs/>
                <w:sz w:val="16"/>
                <w:szCs w:val="16"/>
              </w:rPr>
            </w:pPr>
            <w:r w:rsidRPr="00137C55">
              <w:rPr>
                <w:b/>
                <w:bCs/>
                <w:sz w:val="16"/>
                <w:szCs w:val="16"/>
              </w:rPr>
              <w:t>C. Hrubý dlh verejnej správy (k 31.12.)</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rPr>
            </w:pPr>
            <w:r w:rsidRPr="00137C55">
              <w:rPr>
                <w:b/>
                <w:bCs/>
                <w:sz w:val="16"/>
                <w:szCs w:val="16"/>
              </w:rPr>
              <w:t>40 179</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rPr>
            </w:pPr>
            <w:r w:rsidRPr="00137C55">
              <w:rPr>
                <w:b/>
                <w:bCs/>
                <w:sz w:val="16"/>
                <w:szCs w:val="16"/>
              </w:rPr>
              <w:t>40 297</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rPr>
            </w:pPr>
            <w:r w:rsidRPr="00137C55">
              <w:rPr>
                <w:b/>
                <w:bCs/>
                <w:sz w:val="16"/>
                <w:szCs w:val="16"/>
              </w:rPr>
              <w:t>41 289</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highlight w:val="yellow"/>
              </w:rPr>
            </w:pPr>
            <w:r w:rsidRPr="00137C55">
              <w:rPr>
                <w:b/>
                <w:bCs/>
                <w:sz w:val="16"/>
                <w:szCs w:val="16"/>
              </w:rPr>
              <w:t>42 928</w:t>
            </w:r>
          </w:p>
        </w:tc>
        <w:tc>
          <w:tcPr>
            <w:tcW w:w="836" w:type="dxa"/>
            <w:gridSpan w:val="2"/>
            <w:shd w:val="clear" w:color="auto" w:fill="BFBFBF" w:themeFill="background1" w:themeFillShade="BF"/>
            <w:noWrap/>
            <w:vAlign w:val="center"/>
            <w:hideMark/>
          </w:tcPr>
          <w:p w:rsidR="00263202" w:rsidRPr="00137C55" w:rsidRDefault="00263202" w:rsidP="00C83B4F">
            <w:pPr>
              <w:jc w:val="right"/>
              <w:rPr>
                <w:b/>
                <w:bCs/>
                <w:sz w:val="16"/>
                <w:szCs w:val="16"/>
                <w:highlight w:val="yellow"/>
              </w:rPr>
            </w:pPr>
            <w:r w:rsidRPr="00137C55">
              <w:rPr>
                <w:b/>
                <w:bCs/>
                <w:sz w:val="16"/>
                <w:szCs w:val="16"/>
              </w:rPr>
              <w:t>44 484</w:t>
            </w:r>
          </w:p>
        </w:tc>
        <w:tc>
          <w:tcPr>
            <w:tcW w:w="836" w:type="dxa"/>
            <w:shd w:val="clear" w:color="auto" w:fill="BFBFBF" w:themeFill="background1" w:themeFillShade="BF"/>
            <w:noWrap/>
            <w:vAlign w:val="center"/>
            <w:hideMark/>
          </w:tcPr>
          <w:p w:rsidR="00263202" w:rsidRPr="00137C55" w:rsidRDefault="00263202" w:rsidP="00C83B4F">
            <w:pPr>
              <w:jc w:val="right"/>
              <w:rPr>
                <w:b/>
                <w:bCs/>
                <w:sz w:val="16"/>
                <w:szCs w:val="16"/>
                <w:highlight w:val="yellow"/>
              </w:rPr>
            </w:pPr>
            <w:r w:rsidRPr="00137C55">
              <w:rPr>
                <w:b/>
                <w:bCs/>
                <w:sz w:val="16"/>
                <w:szCs w:val="16"/>
              </w:rPr>
              <w:t>45 604</w:t>
            </w:r>
          </w:p>
        </w:tc>
      </w:tr>
      <w:tr w:rsidR="00137C55" w:rsidRPr="00137C55" w:rsidTr="00137C55">
        <w:trPr>
          <w:trHeight w:val="210"/>
          <w:jc w:val="center"/>
        </w:trPr>
        <w:tc>
          <w:tcPr>
            <w:tcW w:w="4056" w:type="dxa"/>
            <w:noWrap/>
            <w:vAlign w:val="center"/>
            <w:hideMark/>
          </w:tcPr>
          <w:p w:rsidR="00263202" w:rsidRPr="00137C55" w:rsidRDefault="00263202" w:rsidP="00137C55">
            <w:pPr>
              <w:ind w:firstLineChars="100" w:firstLine="161"/>
              <w:rPr>
                <w:b/>
                <w:bCs/>
                <w:sz w:val="16"/>
                <w:szCs w:val="16"/>
              </w:rPr>
            </w:pPr>
            <w:r w:rsidRPr="00137C55">
              <w:rPr>
                <w:b/>
                <w:bCs/>
                <w:sz w:val="16"/>
                <w:szCs w:val="16"/>
              </w:rPr>
              <w:t>v % HDP</w:t>
            </w:r>
          </w:p>
        </w:tc>
        <w:tc>
          <w:tcPr>
            <w:tcW w:w="836" w:type="dxa"/>
            <w:noWrap/>
            <w:vAlign w:val="center"/>
            <w:hideMark/>
          </w:tcPr>
          <w:p w:rsidR="00263202" w:rsidRPr="00137C55" w:rsidRDefault="00263202" w:rsidP="00C83B4F">
            <w:pPr>
              <w:jc w:val="right"/>
              <w:rPr>
                <w:b/>
                <w:bCs/>
                <w:sz w:val="16"/>
                <w:szCs w:val="16"/>
              </w:rPr>
            </w:pPr>
            <w:r w:rsidRPr="00137C55">
              <w:rPr>
                <w:b/>
                <w:bCs/>
                <w:sz w:val="16"/>
                <w:szCs w:val="16"/>
              </w:rPr>
              <w:t>54,6</w:t>
            </w:r>
          </w:p>
        </w:tc>
        <w:tc>
          <w:tcPr>
            <w:tcW w:w="836" w:type="dxa"/>
            <w:noWrap/>
            <w:vAlign w:val="center"/>
            <w:hideMark/>
          </w:tcPr>
          <w:p w:rsidR="00263202" w:rsidRPr="00137C55" w:rsidRDefault="00263202" w:rsidP="00C83B4F">
            <w:pPr>
              <w:jc w:val="right"/>
              <w:rPr>
                <w:b/>
                <w:bCs/>
                <w:sz w:val="16"/>
                <w:szCs w:val="16"/>
              </w:rPr>
            </w:pPr>
            <w:r w:rsidRPr="00137C55">
              <w:rPr>
                <w:b/>
                <w:bCs/>
                <w:sz w:val="16"/>
                <w:szCs w:val="16"/>
              </w:rPr>
              <w:t>53,6</w:t>
            </w:r>
          </w:p>
        </w:tc>
        <w:tc>
          <w:tcPr>
            <w:tcW w:w="836" w:type="dxa"/>
            <w:noWrap/>
            <w:vAlign w:val="center"/>
            <w:hideMark/>
          </w:tcPr>
          <w:p w:rsidR="00263202" w:rsidRPr="00137C55" w:rsidRDefault="00263202" w:rsidP="00C83B4F">
            <w:pPr>
              <w:jc w:val="right"/>
              <w:rPr>
                <w:b/>
                <w:bCs/>
                <w:sz w:val="16"/>
                <w:szCs w:val="16"/>
              </w:rPr>
            </w:pPr>
            <w:r w:rsidRPr="00137C55">
              <w:rPr>
                <w:b/>
                <w:bCs/>
                <w:sz w:val="16"/>
                <w:szCs w:val="16"/>
              </w:rPr>
              <w:t>53,4</w:t>
            </w:r>
          </w:p>
        </w:tc>
        <w:tc>
          <w:tcPr>
            <w:tcW w:w="836" w:type="dxa"/>
            <w:noWrap/>
            <w:vAlign w:val="center"/>
            <w:hideMark/>
          </w:tcPr>
          <w:p w:rsidR="00263202" w:rsidRPr="00137C55" w:rsidRDefault="00263202" w:rsidP="00C83B4F">
            <w:pPr>
              <w:jc w:val="right"/>
              <w:rPr>
                <w:b/>
                <w:bCs/>
                <w:sz w:val="16"/>
                <w:szCs w:val="16"/>
                <w:highlight w:val="yellow"/>
              </w:rPr>
            </w:pPr>
            <w:r w:rsidRPr="00137C55">
              <w:rPr>
                <w:b/>
                <w:bCs/>
                <w:sz w:val="16"/>
                <w:szCs w:val="16"/>
              </w:rPr>
              <w:t>52,8</w:t>
            </w:r>
          </w:p>
        </w:tc>
        <w:tc>
          <w:tcPr>
            <w:tcW w:w="836" w:type="dxa"/>
            <w:gridSpan w:val="2"/>
            <w:noWrap/>
            <w:vAlign w:val="center"/>
            <w:hideMark/>
          </w:tcPr>
          <w:p w:rsidR="00263202" w:rsidRPr="00137C55" w:rsidRDefault="00263202" w:rsidP="00C83B4F">
            <w:pPr>
              <w:jc w:val="right"/>
              <w:rPr>
                <w:b/>
                <w:bCs/>
                <w:sz w:val="16"/>
                <w:szCs w:val="16"/>
                <w:highlight w:val="yellow"/>
              </w:rPr>
            </w:pPr>
            <w:r w:rsidRPr="00137C55">
              <w:rPr>
                <w:b/>
                <w:bCs/>
                <w:sz w:val="16"/>
                <w:szCs w:val="16"/>
              </w:rPr>
              <w:t>51,9</w:t>
            </w:r>
          </w:p>
        </w:tc>
        <w:tc>
          <w:tcPr>
            <w:tcW w:w="836" w:type="dxa"/>
            <w:noWrap/>
            <w:vAlign w:val="center"/>
            <w:hideMark/>
          </w:tcPr>
          <w:p w:rsidR="00263202" w:rsidRPr="00137C55" w:rsidRDefault="00263202" w:rsidP="00C83B4F">
            <w:pPr>
              <w:jc w:val="right"/>
              <w:rPr>
                <w:b/>
                <w:bCs/>
                <w:sz w:val="16"/>
                <w:szCs w:val="16"/>
                <w:highlight w:val="yellow"/>
              </w:rPr>
            </w:pPr>
            <w:r w:rsidRPr="00137C55">
              <w:rPr>
                <w:b/>
                <w:bCs/>
                <w:sz w:val="16"/>
                <w:szCs w:val="16"/>
              </w:rPr>
              <w:t>50,3</w:t>
            </w:r>
          </w:p>
        </w:tc>
      </w:tr>
      <w:tr w:rsidR="00137C55" w:rsidRPr="00137C55" w:rsidTr="00137C55">
        <w:trPr>
          <w:trHeight w:val="210"/>
          <w:jc w:val="center"/>
        </w:trPr>
        <w:tc>
          <w:tcPr>
            <w:tcW w:w="7513" w:type="dxa"/>
            <w:gridSpan w:val="6"/>
            <w:tcBorders>
              <w:left w:val="nil"/>
              <w:bottom w:val="nil"/>
              <w:right w:val="nil"/>
            </w:tcBorders>
            <w:noWrap/>
            <w:vAlign w:val="center"/>
            <w:hideMark/>
          </w:tcPr>
          <w:p w:rsidR="00263202" w:rsidRPr="00137C55" w:rsidRDefault="00263202" w:rsidP="00137C55">
            <w:pPr>
              <w:rPr>
                <w:i/>
                <w:iCs/>
                <w:sz w:val="16"/>
                <w:szCs w:val="16"/>
              </w:rPr>
            </w:pPr>
            <w:r w:rsidRPr="00137C55">
              <w:rPr>
                <w:i/>
                <w:iCs/>
                <w:sz w:val="16"/>
                <w:szCs w:val="16"/>
              </w:rPr>
              <w:t>Pozn.: Plusové položky zvyšujú dlh verejnej správy k 31.12. príslušného roku, mínusové položky dlh znižujú.</w:t>
            </w:r>
          </w:p>
        </w:tc>
        <w:tc>
          <w:tcPr>
            <w:tcW w:w="1559" w:type="dxa"/>
            <w:gridSpan w:val="2"/>
            <w:tcBorders>
              <w:left w:val="nil"/>
              <w:bottom w:val="nil"/>
              <w:right w:val="nil"/>
            </w:tcBorders>
            <w:vAlign w:val="center"/>
          </w:tcPr>
          <w:p w:rsidR="00263202" w:rsidRPr="00137C55" w:rsidRDefault="00263202" w:rsidP="00C83B4F">
            <w:pPr>
              <w:jc w:val="right"/>
              <w:rPr>
                <w:i/>
                <w:iCs/>
                <w:sz w:val="16"/>
                <w:szCs w:val="16"/>
              </w:rPr>
            </w:pPr>
            <w:r w:rsidRPr="00137C55">
              <w:rPr>
                <w:i/>
                <w:iCs/>
                <w:sz w:val="16"/>
                <w:szCs w:val="16"/>
              </w:rPr>
              <w:t>Zdroj: MF SR</w:t>
            </w:r>
          </w:p>
        </w:tc>
      </w:tr>
    </w:tbl>
    <w:p w:rsidR="00263202" w:rsidRPr="00263202" w:rsidRDefault="00263202" w:rsidP="00DD256D">
      <w:pPr>
        <w:spacing w:before="240" w:after="120"/>
        <w:jc w:val="both"/>
      </w:pPr>
    </w:p>
    <w:sectPr w:rsidR="00263202" w:rsidRPr="00263202" w:rsidSect="00CD74C2">
      <w:headerReference w:type="default" r:id="rId12"/>
      <w:footerReference w:type="even" r:id="rId13"/>
      <w:footerReference w:type="default" r:id="rId14"/>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652" w:rsidRDefault="00606652">
      <w:r>
        <w:separator/>
      </w:r>
    </w:p>
  </w:endnote>
  <w:endnote w:type="continuationSeparator" w:id="0">
    <w:p w:rsidR="00606652" w:rsidRDefault="0060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EE"/>
    <w:family w:val="roman"/>
    <w:pitch w:val="variable"/>
    <w:sig w:usb0="00000287" w:usb1="00000000" w:usb2="00000000" w:usb3="00000000" w:csb0="0000009F" w:csb1="00000000"/>
  </w:font>
  <w:font w:name="Arial">
    <w:altName w:val="Times New Roman"/>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w:altName w:val="Century Gothic"/>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304" w:rsidRDefault="00692304" w:rsidP="00FF759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692304" w:rsidRDefault="0069230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076" w:rsidRPr="00D44048" w:rsidRDefault="00B92076">
    <w:pPr>
      <w:pStyle w:val="Pta"/>
      <w:jc w:val="right"/>
    </w:pPr>
    <w:r w:rsidRPr="00486B00">
      <w:fldChar w:fldCharType="begin"/>
    </w:r>
    <w:r w:rsidRPr="00486B00">
      <w:instrText>PAGE   \* MERGEFORMAT</w:instrText>
    </w:r>
    <w:r w:rsidRPr="00486B00">
      <w:fldChar w:fldCharType="separate"/>
    </w:r>
    <w:r w:rsidR="000B01EE">
      <w:rPr>
        <w:noProof/>
      </w:rPr>
      <w:t>15</w:t>
    </w:r>
    <w:r w:rsidRPr="00486B00">
      <w:fldChar w:fldCharType="end"/>
    </w:r>
  </w:p>
  <w:p w:rsidR="00B92076" w:rsidRDefault="00B9207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652" w:rsidRDefault="00606652">
      <w:r>
        <w:separator/>
      </w:r>
    </w:p>
  </w:footnote>
  <w:footnote w:type="continuationSeparator" w:id="0">
    <w:p w:rsidR="00606652" w:rsidRDefault="00606652">
      <w:r>
        <w:continuationSeparator/>
      </w:r>
    </w:p>
  </w:footnote>
  <w:footnote w:id="1">
    <w:p w:rsidR="00000000" w:rsidRDefault="00263202" w:rsidP="00882101">
      <w:pPr>
        <w:pStyle w:val="Textpoznmkypodiarou"/>
        <w:ind w:left="113" w:hanging="113"/>
        <w:jc w:val="both"/>
      </w:pPr>
      <w:r w:rsidRPr="00882101">
        <w:rPr>
          <w:rStyle w:val="Odkaznapoznmkupodiarou"/>
          <w:sz w:val="18"/>
          <w:szCs w:val="18"/>
        </w:rPr>
        <w:footnoteRef/>
      </w:r>
      <w:r w:rsidRPr="00882101">
        <w:rPr>
          <w:rFonts w:cs="Arial Narrow"/>
          <w:sz w:val="18"/>
          <w:szCs w:val="18"/>
        </w:rPr>
        <w:t xml:space="preserve"> Všetky uvádzané hodnoty sú počítané v metodike, ktorá sa používa pri posudzovaní plnenia maastrichtského kritéria pre výšku hrubého dlhu verejnej správy – tzv. maastrichtský hrubý dlh verejnej správy. Dlh verejnej správy je vyjadrený ako podiel na HDP.</w:t>
      </w:r>
    </w:p>
  </w:footnote>
  <w:footnote w:id="2">
    <w:p w:rsidR="00000000" w:rsidRDefault="00263202" w:rsidP="00882101">
      <w:pPr>
        <w:pStyle w:val="Textpoznmkypodiarou"/>
        <w:jc w:val="both"/>
      </w:pPr>
      <w:r w:rsidRPr="00882101">
        <w:rPr>
          <w:rStyle w:val="Odkaznapoznmkupodiarou"/>
          <w:sz w:val="18"/>
          <w:szCs w:val="18"/>
        </w:rPr>
        <w:footnoteRef/>
      </w:r>
      <w:r w:rsidRPr="00882101">
        <w:rPr>
          <w:sz w:val="18"/>
          <w:szCs w:val="18"/>
        </w:rPr>
        <w:t xml:space="preserve"> </w:t>
      </w:r>
      <w:r w:rsidRPr="00882101">
        <w:rPr>
          <w:rFonts w:cs="Arial Narrow"/>
          <w:sz w:val="18"/>
          <w:szCs w:val="18"/>
        </w:rPr>
        <w:t>Finálna výška dlhu notifikovaná Eurostatom bude zverejnená 21.</w:t>
      </w:r>
      <w:r w:rsidR="00882101">
        <w:rPr>
          <w:rFonts w:cs="Arial Narrow"/>
          <w:sz w:val="18"/>
          <w:szCs w:val="18"/>
        </w:rPr>
        <w:t xml:space="preserve"> </w:t>
      </w:r>
      <w:r w:rsidRPr="00882101">
        <w:rPr>
          <w:rFonts w:cs="Arial Narrow"/>
          <w:sz w:val="18"/>
          <w:szCs w:val="18"/>
        </w:rPr>
        <w:t>4. a môže sa odlišovať.</w:t>
      </w:r>
      <w:r w:rsidRPr="00882101">
        <w:rPr>
          <w:sz w:val="18"/>
          <w:szCs w:val="18"/>
        </w:rPr>
        <w:t xml:space="preserve">  </w:t>
      </w:r>
    </w:p>
  </w:footnote>
  <w:footnote w:id="3">
    <w:p w:rsidR="00000000" w:rsidRDefault="008A7E22" w:rsidP="008A7E22">
      <w:pPr>
        <w:pStyle w:val="Textpoznmkypodiarou"/>
        <w:jc w:val="both"/>
      </w:pPr>
      <w:r w:rsidRPr="008A7E22">
        <w:rPr>
          <w:rStyle w:val="Odkaznapoznmkupodiarou"/>
          <w:sz w:val="18"/>
        </w:rPr>
        <w:footnoteRef/>
      </w:r>
      <w:r w:rsidRPr="008A7E22">
        <w:rPr>
          <w:sz w:val="18"/>
        </w:rPr>
        <w:t xml:space="preserve"> Nová metodika ESA 2010 spôsobila zaradenie agentúry EOSA do verejného sektora, čím v roku 2013 vzrástol verejný dlh </w:t>
      </w:r>
      <w:r>
        <w:rPr>
          <w:sz w:val="18"/>
        </w:rPr>
        <w:br/>
        <w:t xml:space="preserve">  </w:t>
      </w:r>
      <w:r w:rsidRPr="008A7E22">
        <w:rPr>
          <w:sz w:val="18"/>
        </w:rPr>
        <w:t>o 520 mil. eur (0,7 % HDP).</w:t>
      </w:r>
    </w:p>
  </w:footnote>
  <w:footnote w:id="4">
    <w:p w:rsidR="00000000" w:rsidRDefault="00263202" w:rsidP="00882101">
      <w:pPr>
        <w:ind w:left="113" w:hanging="113"/>
        <w:jc w:val="both"/>
      </w:pPr>
      <w:r w:rsidRPr="00882101">
        <w:rPr>
          <w:rStyle w:val="Odkaznapoznmkupodiarou"/>
          <w:sz w:val="18"/>
          <w:szCs w:val="18"/>
        </w:rPr>
        <w:footnoteRef/>
      </w:r>
      <w:r w:rsidRPr="00882101">
        <w:rPr>
          <w:sz w:val="18"/>
          <w:szCs w:val="18"/>
        </w:rPr>
        <w:t xml:space="preserve"> Aktuálny fiškálny rámec obsahuje </w:t>
      </w:r>
      <w:r w:rsidR="00DD256D">
        <w:rPr>
          <w:sz w:val="18"/>
          <w:szCs w:val="18"/>
        </w:rPr>
        <w:t xml:space="preserve">v rokoch 2017 a 2018 </w:t>
      </w:r>
      <w:r w:rsidRPr="00882101">
        <w:rPr>
          <w:sz w:val="18"/>
          <w:szCs w:val="18"/>
        </w:rPr>
        <w:t>nešpecifikované opatrenia. Pre účely prognózy dlhu sa prijal predpoklad, že sa bude konsolidovať na úrovni štátneho rozpočtu.</w:t>
      </w:r>
    </w:p>
  </w:footnote>
  <w:footnote w:id="5">
    <w:p w:rsidR="00000000" w:rsidRDefault="00263202" w:rsidP="00263202">
      <w:pPr>
        <w:pStyle w:val="Textpoznmkypodiarou"/>
        <w:ind w:left="113" w:hanging="113"/>
        <w:jc w:val="both"/>
      </w:pPr>
      <w:r>
        <w:rPr>
          <w:rStyle w:val="Odkaznapoznmkupodiarou"/>
        </w:rPr>
        <w:footnoteRef/>
      </w:r>
      <w:r>
        <w:t xml:space="preserve"> </w:t>
      </w:r>
      <w:r w:rsidRPr="00E9042B">
        <w:rPr>
          <w:sz w:val="18"/>
          <w:szCs w:val="22"/>
        </w:rPr>
        <w:t>Diskont pri emisii štátnych dlhopisov a štátnych pokladničných poukážok zvyšuje dlh, keďže v okamihu emisie dlhopisov narastú záväzky štátu o menovitú hodnotu dlhopisov. Štát však získava v hotovosti nižšiu sumu (zníženú o diskont). Naopak, diskont pri splatení štátnych dlhopisov znižuje dlh. Dôvodom je, že k nárastu dlhu dochádza už pri emisii dlhopisov, a to v nominálnej hodnote dlhopisu a nie pri ich splatení.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076" w:rsidRDefault="00B92076">
    <w:pPr>
      <w:pStyle w:val="Hlavika"/>
      <w:jc w:val="right"/>
    </w:pPr>
  </w:p>
  <w:p w:rsidR="00B92076" w:rsidRDefault="00B9207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920"/>
    <w:multiLevelType w:val="hybridMultilevel"/>
    <w:tmpl w:val="ED9AD170"/>
    <w:lvl w:ilvl="0" w:tplc="D1EE1C8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A307A2"/>
    <w:multiLevelType w:val="multilevel"/>
    <w:tmpl w:val="E1C87AF4"/>
    <w:lvl w:ilvl="0">
      <w:start w:val="3"/>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1800" w:hanging="108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160" w:hanging="1440"/>
      </w:pPr>
      <w:rPr>
        <w:rFonts w:cs="Times New Roman" w:hint="default"/>
      </w:rPr>
    </w:lvl>
  </w:abstractNum>
  <w:abstractNum w:abstractNumId="2">
    <w:nsid w:val="07696D14"/>
    <w:multiLevelType w:val="hybridMultilevel"/>
    <w:tmpl w:val="738ADEC2"/>
    <w:lvl w:ilvl="0" w:tplc="041B0001">
      <w:start w:val="1"/>
      <w:numFmt w:val="bullet"/>
      <w:lvlText w:val=""/>
      <w:lvlJc w:val="left"/>
      <w:pPr>
        <w:tabs>
          <w:tab w:val="num" w:pos="1440"/>
        </w:tabs>
        <w:ind w:left="1440" w:hanging="360"/>
      </w:pPr>
      <w:rPr>
        <w:rFonts w:ascii="Symbol" w:hAnsi="Symbol" w:hint="default"/>
      </w:rPr>
    </w:lvl>
    <w:lvl w:ilvl="1" w:tplc="2BC8259C">
      <w:start w:val="1"/>
      <w:numFmt w:val="bullet"/>
      <w:lvlText w:val=""/>
      <w:lvlJc w:val="left"/>
      <w:pPr>
        <w:tabs>
          <w:tab w:val="num" w:pos="1802"/>
        </w:tabs>
        <w:ind w:left="2160" w:hanging="360"/>
      </w:pPr>
      <w:rPr>
        <w:rFonts w:ascii="Symbol" w:hAnsi="Symbol"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
    <w:nsid w:val="0D232367"/>
    <w:multiLevelType w:val="hybridMultilevel"/>
    <w:tmpl w:val="380C8172"/>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F4A3EE6"/>
    <w:multiLevelType w:val="hybridMultilevel"/>
    <w:tmpl w:val="1F94E8A0"/>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38215E5"/>
    <w:multiLevelType w:val="multilevel"/>
    <w:tmpl w:val="A7945820"/>
    <w:lvl w:ilvl="0">
      <w:start w:val="2"/>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1800" w:hanging="108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160" w:hanging="1440"/>
      </w:pPr>
      <w:rPr>
        <w:rFonts w:cs="Times New Roman" w:hint="default"/>
      </w:rPr>
    </w:lvl>
  </w:abstractNum>
  <w:abstractNum w:abstractNumId="6">
    <w:nsid w:val="141517A4"/>
    <w:multiLevelType w:val="hybridMultilevel"/>
    <w:tmpl w:val="57BC4E6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B7C19F8"/>
    <w:multiLevelType w:val="hybridMultilevel"/>
    <w:tmpl w:val="72CA3432"/>
    <w:lvl w:ilvl="0" w:tplc="0BCCCF84">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E1379C8"/>
    <w:multiLevelType w:val="multilevel"/>
    <w:tmpl w:val="6D026046"/>
    <w:lvl w:ilvl="0">
      <w:start w:val="1"/>
      <w:numFmt w:val="bullet"/>
      <w:lvlText w:val="-"/>
      <w:lvlJc w:val="left"/>
      <w:pPr>
        <w:tabs>
          <w:tab w:val="num" w:pos="397"/>
        </w:tabs>
        <w:ind w:left="397" w:hanging="397"/>
      </w:pPr>
      <w:rPr>
        <w:rFonts w:ascii="Book Antiqua" w:hAnsi="Book Antiqu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E612F31"/>
    <w:multiLevelType w:val="multilevel"/>
    <w:tmpl w:val="03787F1E"/>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0">
    <w:nsid w:val="23930700"/>
    <w:multiLevelType w:val="hybridMultilevel"/>
    <w:tmpl w:val="6D026046"/>
    <w:lvl w:ilvl="0" w:tplc="FEF23EB0">
      <w:start w:val="1"/>
      <w:numFmt w:val="bullet"/>
      <w:lvlText w:val="-"/>
      <w:lvlJc w:val="left"/>
      <w:pPr>
        <w:tabs>
          <w:tab w:val="num" w:pos="397"/>
        </w:tabs>
        <w:ind w:left="397" w:hanging="397"/>
      </w:pPr>
      <w:rPr>
        <w:rFonts w:ascii="Book Antiqua" w:hAnsi="Book Antiqua"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23EE1ED0"/>
    <w:multiLevelType w:val="hybridMultilevel"/>
    <w:tmpl w:val="7196F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82E38B4"/>
    <w:multiLevelType w:val="hybridMultilevel"/>
    <w:tmpl w:val="FE9EB1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CA5023F"/>
    <w:multiLevelType w:val="hybridMultilevel"/>
    <w:tmpl w:val="8FD6A9FA"/>
    <w:lvl w:ilvl="0" w:tplc="673E55FE">
      <w:numFmt w:val="bullet"/>
      <w:lvlText w:val="-"/>
      <w:lvlJc w:val="left"/>
      <w:pPr>
        <w:ind w:left="1428" w:hanging="360"/>
      </w:pPr>
      <w:rPr>
        <w:rFonts w:ascii="Arial Narrow" w:eastAsia="Times New Roman" w:hAnsi="Arial Narrow"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nsid w:val="3A8C5728"/>
    <w:multiLevelType w:val="hybridMultilevel"/>
    <w:tmpl w:val="D098E49E"/>
    <w:lvl w:ilvl="0" w:tplc="E6B43050">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B090364"/>
    <w:multiLevelType w:val="hybridMultilevel"/>
    <w:tmpl w:val="E6749484"/>
    <w:lvl w:ilvl="0" w:tplc="891445D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C666024"/>
    <w:multiLevelType w:val="hybridMultilevel"/>
    <w:tmpl w:val="6CCEBDB6"/>
    <w:lvl w:ilvl="0" w:tplc="D280F468">
      <w:start w:val="1"/>
      <w:numFmt w:val="bullet"/>
      <w:lvlText w:val=""/>
      <w:lvlJc w:val="left"/>
      <w:pPr>
        <w:tabs>
          <w:tab w:val="num" w:pos="289"/>
        </w:tabs>
        <w:ind w:left="289" w:hanging="289"/>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D726F14"/>
    <w:multiLevelType w:val="hybridMultilevel"/>
    <w:tmpl w:val="5D922BB8"/>
    <w:lvl w:ilvl="0" w:tplc="DD2EA768">
      <w:start w:val="1"/>
      <w:numFmt w:val="bullet"/>
      <w:lvlText w:val="·"/>
      <w:lvlJc w:val="left"/>
      <w:pPr>
        <w:tabs>
          <w:tab w:val="num" w:pos="708"/>
        </w:tabs>
        <w:ind w:left="3430" w:hanging="454"/>
      </w:pPr>
      <w:rPr>
        <w:rFonts w:ascii="Symbol" w:hAnsi="Symbol"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8">
    <w:nsid w:val="41BB61EB"/>
    <w:multiLevelType w:val="hybridMultilevel"/>
    <w:tmpl w:val="6FF45B82"/>
    <w:lvl w:ilvl="0" w:tplc="0B203A64">
      <w:start w:val="1"/>
      <w:numFmt w:val="bullet"/>
      <w:lvlText w:val="–"/>
      <w:lvlJc w:val="left"/>
      <w:pPr>
        <w:tabs>
          <w:tab w:val="num" w:pos="720"/>
        </w:tabs>
        <w:ind w:left="720" w:hanging="360"/>
      </w:pPr>
      <w:rPr>
        <w:rFonts w:ascii="Times New Roman" w:hAnsi="Times New Roman" w:hint="default"/>
      </w:rPr>
    </w:lvl>
    <w:lvl w:ilvl="1" w:tplc="6BAAE7C0">
      <w:start w:val="178"/>
      <w:numFmt w:val="bullet"/>
      <w:lvlText w:val="–"/>
      <w:lvlJc w:val="left"/>
      <w:pPr>
        <w:tabs>
          <w:tab w:val="num" w:pos="1440"/>
        </w:tabs>
        <w:ind w:left="1440" w:hanging="360"/>
      </w:pPr>
      <w:rPr>
        <w:rFonts w:ascii="Times New Roman" w:hAnsi="Times New Roman" w:hint="default"/>
      </w:rPr>
    </w:lvl>
    <w:lvl w:ilvl="2" w:tplc="49CA3AFA" w:tentative="1">
      <w:start w:val="1"/>
      <w:numFmt w:val="bullet"/>
      <w:lvlText w:val="–"/>
      <w:lvlJc w:val="left"/>
      <w:pPr>
        <w:tabs>
          <w:tab w:val="num" w:pos="2160"/>
        </w:tabs>
        <w:ind w:left="2160" w:hanging="360"/>
      </w:pPr>
      <w:rPr>
        <w:rFonts w:ascii="Times New Roman" w:hAnsi="Times New Roman" w:hint="default"/>
      </w:rPr>
    </w:lvl>
    <w:lvl w:ilvl="3" w:tplc="F21CC04E" w:tentative="1">
      <w:start w:val="1"/>
      <w:numFmt w:val="bullet"/>
      <w:lvlText w:val="–"/>
      <w:lvlJc w:val="left"/>
      <w:pPr>
        <w:tabs>
          <w:tab w:val="num" w:pos="2880"/>
        </w:tabs>
        <w:ind w:left="2880" w:hanging="360"/>
      </w:pPr>
      <w:rPr>
        <w:rFonts w:ascii="Times New Roman" w:hAnsi="Times New Roman" w:hint="default"/>
      </w:rPr>
    </w:lvl>
    <w:lvl w:ilvl="4" w:tplc="1CAE8B30" w:tentative="1">
      <w:start w:val="1"/>
      <w:numFmt w:val="bullet"/>
      <w:lvlText w:val="–"/>
      <w:lvlJc w:val="left"/>
      <w:pPr>
        <w:tabs>
          <w:tab w:val="num" w:pos="3600"/>
        </w:tabs>
        <w:ind w:left="3600" w:hanging="360"/>
      </w:pPr>
      <w:rPr>
        <w:rFonts w:ascii="Times New Roman" w:hAnsi="Times New Roman" w:hint="default"/>
      </w:rPr>
    </w:lvl>
    <w:lvl w:ilvl="5" w:tplc="2E026656" w:tentative="1">
      <w:start w:val="1"/>
      <w:numFmt w:val="bullet"/>
      <w:lvlText w:val="–"/>
      <w:lvlJc w:val="left"/>
      <w:pPr>
        <w:tabs>
          <w:tab w:val="num" w:pos="4320"/>
        </w:tabs>
        <w:ind w:left="4320" w:hanging="360"/>
      </w:pPr>
      <w:rPr>
        <w:rFonts w:ascii="Times New Roman" w:hAnsi="Times New Roman" w:hint="default"/>
      </w:rPr>
    </w:lvl>
    <w:lvl w:ilvl="6" w:tplc="5BD0A15C" w:tentative="1">
      <w:start w:val="1"/>
      <w:numFmt w:val="bullet"/>
      <w:lvlText w:val="–"/>
      <w:lvlJc w:val="left"/>
      <w:pPr>
        <w:tabs>
          <w:tab w:val="num" w:pos="5040"/>
        </w:tabs>
        <w:ind w:left="5040" w:hanging="360"/>
      </w:pPr>
      <w:rPr>
        <w:rFonts w:ascii="Times New Roman" w:hAnsi="Times New Roman" w:hint="default"/>
      </w:rPr>
    </w:lvl>
    <w:lvl w:ilvl="7" w:tplc="C7EA11B0" w:tentative="1">
      <w:start w:val="1"/>
      <w:numFmt w:val="bullet"/>
      <w:lvlText w:val="–"/>
      <w:lvlJc w:val="left"/>
      <w:pPr>
        <w:tabs>
          <w:tab w:val="num" w:pos="5760"/>
        </w:tabs>
        <w:ind w:left="5760" w:hanging="360"/>
      </w:pPr>
      <w:rPr>
        <w:rFonts w:ascii="Times New Roman" w:hAnsi="Times New Roman" w:hint="default"/>
      </w:rPr>
    </w:lvl>
    <w:lvl w:ilvl="8" w:tplc="072C688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2532957"/>
    <w:multiLevelType w:val="hybridMultilevel"/>
    <w:tmpl w:val="550C0188"/>
    <w:lvl w:ilvl="0" w:tplc="041B000F">
      <w:start w:val="2"/>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42F73C1C"/>
    <w:multiLevelType w:val="hybridMultilevel"/>
    <w:tmpl w:val="0A62CE86"/>
    <w:lvl w:ilvl="0" w:tplc="611830B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46773DD"/>
    <w:multiLevelType w:val="hybridMultilevel"/>
    <w:tmpl w:val="D5BABE14"/>
    <w:lvl w:ilvl="0" w:tplc="7D328F0A">
      <w:start w:val="609"/>
      <w:numFmt w:val="bullet"/>
      <w:lvlText w:val=""/>
      <w:lvlJc w:val="left"/>
      <w:pPr>
        <w:tabs>
          <w:tab w:val="num" w:pos="720"/>
        </w:tabs>
        <w:ind w:left="720" w:hanging="360"/>
      </w:pPr>
      <w:rPr>
        <w:rFonts w:ascii="Symbol" w:eastAsia="Times New Roman"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44733314"/>
    <w:multiLevelType w:val="hybridMultilevel"/>
    <w:tmpl w:val="5FCA2D7E"/>
    <w:lvl w:ilvl="0" w:tplc="C1FC95D4">
      <w:start w:val="4"/>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2E901BA"/>
    <w:multiLevelType w:val="multilevel"/>
    <w:tmpl w:val="CED442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pStyle w:val="tl3"/>
      <w:lvlText w:val="%1.%2.%3."/>
      <w:lvlJc w:val="left"/>
      <w:pPr>
        <w:tabs>
          <w:tab w:val="num" w:pos="357"/>
        </w:tabs>
        <w:ind w:left="357" w:hanging="35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53830258"/>
    <w:multiLevelType w:val="hybridMultilevel"/>
    <w:tmpl w:val="58C27C0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5C4641F2"/>
    <w:multiLevelType w:val="hybridMultilevel"/>
    <w:tmpl w:val="654A66CE"/>
    <w:lvl w:ilvl="0" w:tplc="8174DCF2">
      <w:start w:val="1"/>
      <w:numFmt w:val="bullet"/>
      <w:lvlText w:val=""/>
      <w:lvlJc w:val="left"/>
      <w:pPr>
        <w:tabs>
          <w:tab w:val="num" w:pos="284"/>
        </w:tabs>
        <w:ind w:left="284" w:hanging="284"/>
      </w:pPr>
      <w:rPr>
        <w:rFonts w:ascii="Wingdings" w:hAnsi="Wingdings" w:hint="default"/>
        <w:sz w:val="18"/>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5EAD4F66"/>
    <w:multiLevelType w:val="multilevel"/>
    <w:tmpl w:val="06ECF39C"/>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7">
    <w:nsid w:val="607A621F"/>
    <w:multiLevelType w:val="hybridMultilevel"/>
    <w:tmpl w:val="04A6CFA4"/>
    <w:lvl w:ilvl="0" w:tplc="2B0E2624">
      <w:start w:val="108"/>
      <w:numFmt w:val="bullet"/>
      <w:lvlText w:val="-"/>
      <w:lvlJc w:val="left"/>
      <w:pPr>
        <w:tabs>
          <w:tab w:val="num" w:pos="1428"/>
        </w:tabs>
        <w:ind w:left="1428" w:hanging="360"/>
      </w:pPr>
      <w:rPr>
        <w:rFonts w:ascii="Arial Narrow" w:eastAsia="Times New Roman" w:hAnsi="Arial Narrow" w:hint="default"/>
      </w:rPr>
    </w:lvl>
    <w:lvl w:ilvl="1" w:tplc="041B0003" w:tentative="1">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28">
    <w:nsid w:val="621101C2"/>
    <w:multiLevelType w:val="hybridMultilevel"/>
    <w:tmpl w:val="82743D58"/>
    <w:lvl w:ilvl="0" w:tplc="5A68D726">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636A141F"/>
    <w:multiLevelType w:val="hybridMultilevel"/>
    <w:tmpl w:val="1CE6EC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7AB6907"/>
    <w:multiLevelType w:val="multilevel"/>
    <w:tmpl w:val="646ABAB0"/>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31">
    <w:nsid w:val="6AE77BB9"/>
    <w:multiLevelType w:val="hybridMultilevel"/>
    <w:tmpl w:val="98626F58"/>
    <w:lvl w:ilvl="0" w:tplc="CF0A5B0E">
      <w:start w:val="424"/>
      <w:numFmt w:val="bullet"/>
      <w:lvlText w:val="-"/>
      <w:lvlJc w:val="left"/>
      <w:pPr>
        <w:ind w:left="1068" w:hanging="360"/>
      </w:pPr>
      <w:rPr>
        <w:rFonts w:ascii="Arial Narrow" w:eastAsia="Times New Roman" w:hAnsi="Arial Narrow"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2">
    <w:nsid w:val="6B637AED"/>
    <w:multiLevelType w:val="multilevel"/>
    <w:tmpl w:val="016874A4"/>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33">
    <w:nsid w:val="6D6E5C9B"/>
    <w:multiLevelType w:val="hybridMultilevel"/>
    <w:tmpl w:val="90E2A1BA"/>
    <w:lvl w:ilvl="0" w:tplc="2BC2FCD8">
      <w:start w:val="2"/>
      <w:numFmt w:val="decimal"/>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4">
    <w:nsid w:val="6F9444FA"/>
    <w:multiLevelType w:val="hybridMultilevel"/>
    <w:tmpl w:val="D70C8F16"/>
    <w:lvl w:ilvl="0" w:tplc="A9DE1390">
      <w:start w:val="1"/>
      <w:numFmt w:val="bullet"/>
      <w:lvlText w:val="•"/>
      <w:lvlJc w:val="left"/>
      <w:pPr>
        <w:tabs>
          <w:tab w:val="num" w:pos="720"/>
        </w:tabs>
        <w:ind w:left="720" w:hanging="360"/>
      </w:pPr>
      <w:rPr>
        <w:rFonts w:ascii="Book Antiqua" w:hAnsi="Book Antiqua" w:hint="default"/>
      </w:rPr>
    </w:lvl>
    <w:lvl w:ilvl="1" w:tplc="CC2E76DA">
      <w:start w:val="1"/>
      <w:numFmt w:val="bullet"/>
      <w:lvlText w:val="•"/>
      <w:lvlJc w:val="left"/>
      <w:pPr>
        <w:tabs>
          <w:tab w:val="num" w:pos="1440"/>
        </w:tabs>
        <w:ind w:left="1440" w:hanging="360"/>
      </w:pPr>
      <w:rPr>
        <w:rFonts w:ascii="Book Antiqua" w:hAnsi="Book Antiqua" w:hint="default"/>
      </w:rPr>
    </w:lvl>
    <w:lvl w:ilvl="2" w:tplc="F21847A0" w:tentative="1">
      <w:start w:val="1"/>
      <w:numFmt w:val="bullet"/>
      <w:lvlText w:val="•"/>
      <w:lvlJc w:val="left"/>
      <w:pPr>
        <w:tabs>
          <w:tab w:val="num" w:pos="2160"/>
        </w:tabs>
        <w:ind w:left="2160" w:hanging="360"/>
      </w:pPr>
      <w:rPr>
        <w:rFonts w:ascii="Book Antiqua" w:hAnsi="Book Antiqua" w:hint="default"/>
      </w:rPr>
    </w:lvl>
    <w:lvl w:ilvl="3" w:tplc="1FF67880" w:tentative="1">
      <w:start w:val="1"/>
      <w:numFmt w:val="bullet"/>
      <w:lvlText w:val="•"/>
      <w:lvlJc w:val="left"/>
      <w:pPr>
        <w:tabs>
          <w:tab w:val="num" w:pos="2880"/>
        </w:tabs>
        <w:ind w:left="2880" w:hanging="360"/>
      </w:pPr>
      <w:rPr>
        <w:rFonts w:ascii="Book Antiqua" w:hAnsi="Book Antiqua" w:hint="default"/>
      </w:rPr>
    </w:lvl>
    <w:lvl w:ilvl="4" w:tplc="59FC8476" w:tentative="1">
      <w:start w:val="1"/>
      <w:numFmt w:val="bullet"/>
      <w:lvlText w:val="•"/>
      <w:lvlJc w:val="left"/>
      <w:pPr>
        <w:tabs>
          <w:tab w:val="num" w:pos="3600"/>
        </w:tabs>
        <w:ind w:left="3600" w:hanging="360"/>
      </w:pPr>
      <w:rPr>
        <w:rFonts w:ascii="Book Antiqua" w:hAnsi="Book Antiqua" w:hint="default"/>
      </w:rPr>
    </w:lvl>
    <w:lvl w:ilvl="5" w:tplc="3F040212" w:tentative="1">
      <w:start w:val="1"/>
      <w:numFmt w:val="bullet"/>
      <w:lvlText w:val="•"/>
      <w:lvlJc w:val="left"/>
      <w:pPr>
        <w:tabs>
          <w:tab w:val="num" w:pos="4320"/>
        </w:tabs>
        <w:ind w:left="4320" w:hanging="360"/>
      </w:pPr>
      <w:rPr>
        <w:rFonts w:ascii="Book Antiqua" w:hAnsi="Book Antiqua" w:hint="default"/>
      </w:rPr>
    </w:lvl>
    <w:lvl w:ilvl="6" w:tplc="BF465C9A" w:tentative="1">
      <w:start w:val="1"/>
      <w:numFmt w:val="bullet"/>
      <w:lvlText w:val="•"/>
      <w:lvlJc w:val="left"/>
      <w:pPr>
        <w:tabs>
          <w:tab w:val="num" w:pos="5040"/>
        </w:tabs>
        <w:ind w:left="5040" w:hanging="360"/>
      </w:pPr>
      <w:rPr>
        <w:rFonts w:ascii="Book Antiqua" w:hAnsi="Book Antiqua" w:hint="default"/>
      </w:rPr>
    </w:lvl>
    <w:lvl w:ilvl="7" w:tplc="DD743CDA" w:tentative="1">
      <w:start w:val="1"/>
      <w:numFmt w:val="bullet"/>
      <w:lvlText w:val="•"/>
      <w:lvlJc w:val="left"/>
      <w:pPr>
        <w:tabs>
          <w:tab w:val="num" w:pos="5760"/>
        </w:tabs>
        <w:ind w:left="5760" w:hanging="360"/>
      </w:pPr>
      <w:rPr>
        <w:rFonts w:ascii="Book Antiqua" w:hAnsi="Book Antiqua" w:hint="default"/>
      </w:rPr>
    </w:lvl>
    <w:lvl w:ilvl="8" w:tplc="D428BC6A" w:tentative="1">
      <w:start w:val="1"/>
      <w:numFmt w:val="bullet"/>
      <w:lvlText w:val="•"/>
      <w:lvlJc w:val="left"/>
      <w:pPr>
        <w:tabs>
          <w:tab w:val="num" w:pos="6480"/>
        </w:tabs>
        <w:ind w:left="6480" w:hanging="360"/>
      </w:pPr>
      <w:rPr>
        <w:rFonts w:ascii="Book Antiqua" w:hAnsi="Book Antiqua" w:hint="default"/>
      </w:rPr>
    </w:lvl>
  </w:abstractNum>
  <w:abstractNum w:abstractNumId="35">
    <w:nsid w:val="70ED07B1"/>
    <w:multiLevelType w:val="multilevel"/>
    <w:tmpl w:val="69543B0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6">
    <w:nsid w:val="71187D77"/>
    <w:multiLevelType w:val="hybridMultilevel"/>
    <w:tmpl w:val="2DB87498"/>
    <w:lvl w:ilvl="0" w:tplc="2AC06800">
      <w:start w:val="1"/>
      <w:numFmt w:val="bullet"/>
      <w:lvlText w:val=""/>
      <w:lvlJc w:val="left"/>
      <w:pPr>
        <w:tabs>
          <w:tab w:val="num" w:pos="284"/>
        </w:tabs>
        <w:ind w:left="284" w:hanging="284"/>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nsid w:val="7B86284F"/>
    <w:multiLevelType w:val="hybridMultilevel"/>
    <w:tmpl w:val="42681A6E"/>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F8F55B7"/>
    <w:multiLevelType w:val="multilevel"/>
    <w:tmpl w:val="A62EB0A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3"/>
  </w:num>
  <w:num w:numId="2">
    <w:abstractNumId w:val="23"/>
  </w:num>
  <w:num w:numId="3">
    <w:abstractNumId w:val="36"/>
  </w:num>
  <w:num w:numId="4">
    <w:abstractNumId w:val="38"/>
  </w:num>
  <w:num w:numId="5">
    <w:abstractNumId w:val="25"/>
  </w:num>
  <w:num w:numId="6">
    <w:abstractNumId w:val="17"/>
  </w:num>
  <w:num w:numId="7">
    <w:abstractNumId w:val="18"/>
  </w:num>
  <w:num w:numId="8">
    <w:abstractNumId w:val="21"/>
  </w:num>
  <w:num w:numId="9">
    <w:abstractNumId w:val="34"/>
  </w:num>
  <w:num w:numId="10">
    <w:abstractNumId w:val="2"/>
  </w:num>
  <w:num w:numId="11">
    <w:abstractNumId w:val="10"/>
  </w:num>
  <w:num w:numId="12">
    <w:abstractNumId w:val="8"/>
  </w:num>
  <w:num w:numId="13">
    <w:abstractNumId w:val="16"/>
  </w:num>
  <w:num w:numId="14">
    <w:abstractNumId w:val="19"/>
  </w:num>
  <w:num w:numId="15">
    <w:abstractNumId w:val="9"/>
  </w:num>
  <w:num w:numId="16">
    <w:abstractNumId w:val="27"/>
  </w:num>
  <w:num w:numId="17">
    <w:abstractNumId w:val="30"/>
  </w:num>
  <w:num w:numId="18">
    <w:abstractNumId w:val="26"/>
  </w:num>
  <w:num w:numId="19">
    <w:abstractNumId w:val="35"/>
  </w:num>
  <w:num w:numId="20">
    <w:abstractNumId w:val="1"/>
  </w:num>
  <w:num w:numId="21">
    <w:abstractNumId w:val="32"/>
  </w:num>
  <w:num w:numId="22">
    <w:abstractNumId w:val="5"/>
  </w:num>
  <w:num w:numId="23">
    <w:abstractNumId w:val="33"/>
  </w:num>
  <w:num w:numId="24">
    <w:abstractNumId w:val="24"/>
  </w:num>
  <w:num w:numId="25">
    <w:abstractNumId w:val="31"/>
  </w:num>
  <w:num w:numId="26">
    <w:abstractNumId w:val="14"/>
  </w:num>
  <w:num w:numId="27">
    <w:abstractNumId w:val="4"/>
  </w:num>
  <w:num w:numId="28">
    <w:abstractNumId w:val="22"/>
  </w:num>
  <w:num w:numId="29">
    <w:abstractNumId w:val="29"/>
  </w:num>
  <w:num w:numId="30">
    <w:abstractNumId w:val="12"/>
  </w:num>
  <w:num w:numId="31">
    <w:abstractNumId w:val="28"/>
  </w:num>
  <w:num w:numId="32">
    <w:abstractNumId w:val="7"/>
  </w:num>
  <w:num w:numId="33">
    <w:abstractNumId w:val="15"/>
  </w:num>
  <w:num w:numId="34">
    <w:abstractNumId w:val="20"/>
  </w:num>
  <w:num w:numId="35">
    <w:abstractNumId w:val="0"/>
  </w:num>
  <w:num w:numId="36">
    <w:abstractNumId w:val="13"/>
  </w:num>
  <w:num w:numId="37">
    <w:abstractNumId w:val="6"/>
  </w:num>
  <w:num w:numId="38">
    <w:abstractNumId w:val="11"/>
  </w:num>
  <w:num w:numId="39">
    <w:abstractNumId w:val="37"/>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567"/>
    <w:rsid w:val="000026A9"/>
    <w:rsid w:val="00002E2A"/>
    <w:rsid w:val="00004A45"/>
    <w:rsid w:val="000055B3"/>
    <w:rsid w:val="00005A50"/>
    <w:rsid w:val="00005FFB"/>
    <w:rsid w:val="00007920"/>
    <w:rsid w:val="00007973"/>
    <w:rsid w:val="00010B49"/>
    <w:rsid w:val="00010E39"/>
    <w:rsid w:val="000115B2"/>
    <w:rsid w:val="0001197D"/>
    <w:rsid w:val="00011FF1"/>
    <w:rsid w:val="00014B5C"/>
    <w:rsid w:val="000153CA"/>
    <w:rsid w:val="0001626F"/>
    <w:rsid w:val="000217EB"/>
    <w:rsid w:val="0002282E"/>
    <w:rsid w:val="0002284A"/>
    <w:rsid w:val="00025963"/>
    <w:rsid w:val="000259D2"/>
    <w:rsid w:val="0002651A"/>
    <w:rsid w:val="0002740A"/>
    <w:rsid w:val="00027709"/>
    <w:rsid w:val="00030070"/>
    <w:rsid w:val="000300F3"/>
    <w:rsid w:val="00030553"/>
    <w:rsid w:val="00030901"/>
    <w:rsid w:val="00031275"/>
    <w:rsid w:val="0003144F"/>
    <w:rsid w:val="00031B59"/>
    <w:rsid w:val="00031C62"/>
    <w:rsid w:val="00031E27"/>
    <w:rsid w:val="00032AFB"/>
    <w:rsid w:val="00032EE2"/>
    <w:rsid w:val="000336A1"/>
    <w:rsid w:val="0003382D"/>
    <w:rsid w:val="00035617"/>
    <w:rsid w:val="00036B2C"/>
    <w:rsid w:val="00036C7D"/>
    <w:rsid w:val="00037C42"/>
    <w:rsid w:val="00040C00"/>
    <w:rsid w:val="00041251"/>
    <w:rsid w:val="00041B8B"/>
    <w:rsid w:val="00041D54"/>
    <w:rsid w:val="00042071"/>
    <w:rsid w:val="00042533"/>
    <w:rsid w:val="00045EB6"/>
    <w:rsid w:val="000462A2"/>
    <w:rsid w:val="00046961"/>
    <w:rsid w:val="000473DE"/>
    <w:rsid w:val="0005007F"/>
    <w:rsid w:val="00050412"/>
    <w:rsid w:val="000509AB"/>
    <w:rsid w:val="000523F6"/>
    <w:rsid w:val="0005273E"/>
    <w:rsid w:val="00052D5C"/>
    <w:rsid w:val="0005584E"/>
    <w:rsid w:val="00055F94"/>
    <w:rsid w:val="00056732"/>
    <w:rsid w:val="0005727B"/>
    <w:rsid w:val="00061918"/>
    <w:rsid w:val="0006255F"/>
    <w:rsid w:val="00065E1F"/>
    <w:rsid w:val="0006719B"/>
    <w:rsid w:val="00067344"/>
    <w:rsid w:val="00067359"/>
    <w:rsid w:val="00067CB1"/>
    <w:rsid w:val="00071E28"/>
    <w:rsid w:val="00071EBF"/>
    <w:rsid w:val="00072C0E"/>
    <w:rsid w:val="00073233"/>
    <w:rsid w:val="0007475A"/>
    <w:rsid w:val="000750D3"/>
    <w:rsid w:val="0007621C"/>
    <w:rsid w:val="00076969"/>
    <w:rsid w:val="00077CE1"/>
    <w:rsid w:val="00077DF1"/>
    <w:rsid w:val="00080142"/>
    <w:rsid w:val="000811F2"/>
    <w:rsid w:val="00081454"/>
    <w:rsid w:val="00081D64"/>
    <w:rsid w:val="000839BD"/>
    <w:rsid w:val="00084591"/>
    <w:rsid w:val="00084706"/>
    <w:rsid w:val="00084A5F"/>
    <w:rsid w:val="00085BBF"/>
    <w:rsid w:val="000863D2"/>
    <w:rsid w:val="0008699C"/>
    <w:rsid w:val="000904F0"/>
    <w:rsid w:val="00090530"/>
    <w:rsid w:val="000905EF"/>
    <w:rsid w:val="00090600"/>
    <w:rsid w:val="000908F4"/>
    <w:rsid w:val="00091645"/>
    <w:rsid w:val="00091675"/>
    <w:rsid w:val="00095856"/>
    <w:rsid w:val="00095CDA"/>
    <w:rsid w:val="00097CE1"/>
    <w:rsid w:val="000A017C"/>
    <w:rsid w:val="000A1CB2"/>
    <w:rsid w:val="000A2B71"/>
    <w:rsid w:val="000A4009"/>
    <w:rsid w:val="000A40C6"/>
    <w:rsid w:val="000A4FC4"/>
    <w:rsid w:val="000A5214"/>
    <w:rsid w:val="000A569E"/>
    <w:rsid w:val="000A5799"/>
    <w:rsid w:val="000A5F30"/>
    <w:rsid w:val="000A62E9"/>
    <w:rsid w:val="000A676A"/>
    <w:rsid w:val="000A67B7"/>
    <w:rsid w:val="000A686D"/>
    <w:rsid w:val="000B01EE"/>
    <w:rsid w:val="000B29B7"/>
    <w:rsid w:val="000B2B6B"/>
    <w:rsid w:val="000B41C5"/>
    <w:rsid w:val="000B5E73"/>
    <w:rsid w:val="000B5F7F"/>
    <w:rsid w:val="000C04F4"/>
    <w:rsid w:val="000C18A3"/>
    <w:rsid w:val="000C2EC3"/>
    <w:rsid w:val="000C3145"/>
    <w:rsid w:val="000C385A"/>
    <w:rsid w:val="000C4B2E"/>
    <w:rsid w:val="000C5648"/>
    <w:rsid w:val="000C5D57"/>
    <w:rsid w:val="000C76FB"/>
    <w:rsid w:val="000C7EEC"/>
    <w:rsid w:val="000D0152"/>
    <w:rsid w:val="000D10B7"/>
    <w:rsid w:val="000D1ACE"/>
    <w:rsid w:val="000D217E"/>
    <w:rsid w:val="000D23D8"/>
    <w:rsid w:val="000D276F"/>
    <w:rsid w:val="000D2DF8"/>
    <w:rsid w:val="000D35CC"/>
    <w:rsid w:val="000D4ABB"/>
    <w:rsid w:val="000D6BD3"/>
    <w:rsid w:val="000D6F3C"/>
    <w:rsid w:val="000E126A"/>
    <w:rsid w:val="000E1A75"/>
    <w:rsid w:val="000E24D9"/>
    <w:rsid w:val="000E2D81"/>
    <w:rsid w:val="000E2DFD"/>
    <w:rsid w:val="000E3CBD"/>
    <w:rsid w:val="000E4C50"/>
    <w:rsid w:val="000F0107"/>
    <w:rsid w:val="000F0BDA"/>
    <w:rsid w:val="000F18C7"/>
    <w:rsid w:val="000F1AAB"/>
    <w:rsid w:val="000F2476"/>
    <w:rsid w:val="000F2CF3"/>
    <w:rsid w:val="000F3149"/>
    <w:rsid w:val="000F46DB"/>
    <w:rsid w:val="000F47D5"/>
    <w:rsid w:val="000F5BC3"/>
    <w:rsid w:val="000F74FA"/>
    <w:rsid w:val="0010132F"/>
    <w:rsid w:val="0010218E"/>
    <w:rsid w:val="00102271"/>
    <w:rsid w:val="00103ECF"/>
    <w:rsid w:val="00105734"/>
    <w:rsid w:val="00105E67"/>
    <w:rsid w:val="00106D88"/>
    <w:rsid w:val="00111406"/>
    <w:rsid w:val="00114CB7"/>
    <w:rsid w:val="00116B79"/>
    <w:rsid w:val="00120C58"/>
    <w:rsid w:val="00120FE9"/>
    <w:rsid w:val="00122429"/>
    <w:rsid w:val="001237E4"/>
    <w:rsid w:val="00123DEC"/>
    <w:rsid w:val="001243B0"/>
    <w:rsid w:val="0012446E"/>
    <w:rsid w:val="00125908"/>
    <w:rsid w:val="00125B3E"/>
    <w:rsid w:val="00126157"/>
    <w:rsid w:val="00127B0D"/>
    <w:rsid w:val="00127F65"/>
    <w:rsid w:val="001307BA"/>
    <w:rsid w:val="001315C5"/>
    <w:rsid w:val="00132776"/>
    <w:rsid w:val="00133CD1"/>
    <w:rsid w:val="001373EB"/>
    <w:rsid w:val="00137C55"/>
    <w:rsid w:val="00141107"/>
    <w:rsid w:val="00141EFD"/>
    <w:rsid w:val="00142093"/>
    <w:rsid w:val="001426D4"/>
    <w:rsid w:val="00143C27"/>
    <w:rsid w:val="00143D2C"/>
    <w:rsid w:val="00144F93"/>
    <w:rsid w:val="001451F0"/>
    <w:rsid w:val="001462A9"/>
    <w:rsid w:val="001479D4"/>
    <w:rsid w:val="00150B8B"/>
    <w:rsid w:val="00151689"/>
    <w:rsid w:val="00151BE1"/>
    <w:rsid w:val="00152180"/>
    <w:rsid w:val="001526B1"/>
    <w:rsid w:val="00152A9B"/>
    <w:rsid w:val="00152FE5"/>
    <w:rsid w:val="001548C5"/>
    <w:rsid w:val="0015558D"/>
    <w:rsid w:val="00157573"/>
    <w:rsid w:val="001608B5"/>
    <w:rsid w:val="0016333A"/>
    <w:rsid w:val="00164CBD"/>
    <w:rsid w:val="00171567"/>
    <w:rsid w:val="001715FC"/>
    <w:rsid w:val="001722DA"/>
    <w:rsid w:val="00172CEA"/>
    <w:rsid w:val="00173648"/>
    <w:rsid w:val="00176AE3"/>
    <w:rsid w:val="00176D09"/>
    <w:rsid w:val="00180F8B"/>
    <w:rsid w:val="001815C6"/>
    <w:rsid w:val="00182402"/>
    <w:rsid w:val="00183C16"/>
    <w:rsid w:val="00184573"/>
    <w:rsid w:val="00184A95"/>
    <w:rsid w:val="00184D50"/>
    <w:rsid w:val="001856D6"/>
    <w:rsid w:val="00186FC6"/>
    <w:rsid w:val="00187CC7"/>
    <w:rsid w:val="00187FF4"/>
    <w:rsid w:val="0019081C"/>
    <w:rsid w:val="0019219C"/>
    <w:rsid w:val="0019276A"/>
    <w:rsid w:val="001930DF"/>
    <w:rsid w:val="00193C89"/>
    <w:rsid w:val="00194B10"/>
    <w:rsid w:val="00194B9E"/>
    <w:rsid w:val="001953D8"/>
    <w:rsid w:val="0019581D"/>
    <w:rsid w:val="00196393"/>
    <w:rsid w:val="00196AA7"/>
    <w:rsid w:val="00197794"/>
    <w:rsid w:val="00197EB2"/>
    <w:rsid w:val="001A010D"/>
    <w:rsid w:val="001A072C"/>
    <w:rsid w:val="001A0C39"/>
    <w:rsid w:val="001A0CC7"/>
    <w:rsid w:val="001A1001"/>
    <w:rsid w:val="001A1B26"/>
    <w:rsid w:val="001A495E"/>
    <w:rsid w:val="001A4F23"/>
    <w:rsid w:val="001A4FC8"/>
    <w:rsid w:val="001A647F"/>
    <w:rsid w:val="001A74E3"/>
    <w:rsid w:val="001B0380"/>
    <w:rsid w:val="001B0F87"/>
    <w:rsid w:val="001B234E"/>
    <w:rsid w:val="001B3DD8"/>
    <w:rsid w:val="001B5F73"/>
    <w:rsid w:val="001B6224"/>
    <w:rsid w:val="001B6878"/>
    <w:rsid w:val="001C0478"/>
    <w:rsid w:val="001C0A7F"/>
    <w:rsid w:val="001C1634"/>
    <w:rsid w:val="001C2089"/>
    <w:rsid w:val="001C2730"/>
    <w:rsid w:val="001C28CC"/>
    <w:rsid w:val="001C3AB7"/>
    <w:rsid w:val="001C5266"/>
    <w:rsid w:val="001C57DE"/>
    <w:rsid w:val="001C59A6"/>
    <w:rsid w:val="001C6E33"/>
    <w:rsid w:val="001C76D6"/>
    <w:rsid w:val="001D015D"/>
    <w:rsid w:val="001D10F7"/>
    <w:rsid w:val="001D110B"/>
    <w:rsid w:val="001D27F0"/>
    <w:rsid w:val="001D5E5B"/>
    <w:rsid w:val="001D6091"/>
    <w:rsid w:val="001D7162"/>
    <w:rsid w:val="001D7249"/>
    <w:rsid w:val="001D7A98"/>
    <w:rsid w:val="001D7D80"/>
    <w:rsid w:val="001E0328"/>
    <w:rsid w:val="001E0493"/>
    <w:rsid w:val="001E11DD"/>
    <w:rsid w:val="001E1EBB"/>
    <w:rsid w:val="001E2679"/>
    <w:rsid w:val="001E26BB"/>
    <w:rsid w:val="001E2908"/>
    <w:rsid w:val="001E3D01"/>
    <w:rsid w:val="001E4E6B"/>
    <w:rsid w:val="001E6D36"/>
    <w:rsid w:val="001F050B"/>
    <w:rsid w:val="001F063E"/>
    <w:rsid w:val="001F1C67"/>
    <w:rsid w:val="001F1E92"/>
    <w:rsid w:val="001F23CB"/>
    <w:rsid w:val="001F2E15"/>
    <w:rsid w:val="001F3081"/>
    <w:rsid w:val="001F518F"/>
    <w:rsid w:val="001F5DE5"/>
    <w:rsid w:val="001F5E25"/>
    <w:rsid w:val="001F7645"/>
    <w:rsid w:val="00200540"/>
    <w:rsid w:val="00200D84"/>
    <w:rsid w:val="00203190"/>
    <w:rsid w:val="00207F1C"/>
    <w:rsid w:val="002106E9"/>
    <w:rsid w:val="00210E47"/>
    <w:rsid w:val="00210EE1"/>
    <w:rsid w:val="0021163A"/>
    <w:rsid w:val="00211974"/>
    <w:rsid w:val="002132A4"/>
    <w:rsid w:val="00213729"/>
    <w:rsid w:val="0021409C"/>
    <w:rsid w:val="002144EC"/>
    <w:rsid w:val="00214FE5"/>
    <w:rsid w:val="002150A7"/>
    <w:rsid w:val="00215372"/>
    <w:rsid w:val="00215EEC"/>
    <w:rsid w:val="00216E55"/>
    <w:rsid w:val="002178F6"/>
    <w:rsid w:val="00217CE3"/>
    <w:rsid w:val="00220364"/>
    <w:rsid w:val="00221715"/>
    <w:rsid w:val="00221D26"/>
    <w:rsid w:val="00224F36"/>
    <w:rsid w:val="002275E2"/>
    <w:rsid w:val="0022795B"/>
    <w:rsid w:val="00227FA2"/>
    <w:rsid w:val="002301A0"/>
    <w:rsid w:val="002306E6"/>
    <w:rsid w:val="00230C44"/>
    <w:rsid w:val="0023279C"/>
    <w:rsid w:val="00233F12"/>
    <w:rsid w:val="00235636"/>
    <w:rsid w:val="002359A2"/>
    <w:rsid w:val="00236A79"/>
    <w:rsid w:val="0024129D"/>
    <w:rsid w:val="00241D7C"/>
    <w:rsid w:val="00241E74"/>
    <w:rsid w:val="0024265C"/>
    <w:rsid w:val="00242E22"/>
    <w:rsid w:val="002438C8"/>
    <w:rsid w:val="00244B80"/>
    <w:rsid w:val="0024572B"/>
    <w:rsid w:val="00245D69"/>
    <w:rsid w:val="002464C9"/>
    <w:rsid w:val="00247AA7"/>
    <w:rsid w:val="0025234E"/>
    <w:rsid w:val="002523A4"/>
    <w:rsid w:val="0025332E"/>
    <w:rsid w:val="0025357E"/>
    <w:rsid w:val="00253932"/>
    <w:rsid w:val="00254707"/>
    <w:rsid w:val="002548E1"/>
    <w:rsid w:val="00254BA3"/>
    <w:rsid w:val="00254F7A"/>
    <w:rsid w:val="00255CFE"/>
    <w:rsid w:val="00255ED5"/>
    <w:rsid w:val="00255F58"/>
    <w:rsid w:val="002565E6"/>
    <w:rsid w:val="0025685F"/>
    <w:rsid w:val="00257FCA"/>
    <w:rsid w:val="002610C9"/>
    <w:rsid w:val="002622CA"/>
    <w:rsid w:val="00263202"/>
    <w:rsid w:val="00263D26"/>
    <w:rsid w:val="00265AC9"/>
    <w:rsid w:val="002669DB"/>
    <w:rsid w:val="00267EC6"/>
    <w:rsid w:val="00271A49"/>
    <w:rsid w:val="00272B7F"/>
    <w:rsid w:val="00273663"/>
    <w:rsid w:val="0027510E"/>
    <w:rsid w:val="00275428"/>
    <w:rsid w:val="00276367"/>
    <w:rsid w:val="00277B9F"/>
    <w:rsid w:val="00277F20"/>
    <w:rsid w:val="00281341"/>
    <w:rsid w:val="00281A3A"/>
    <w:rsid w:val="00282BF4"/>
    <w:rsid w:val="00286A6F"/>
    <w:rsid w:val="002874C5"/>
    <w:rsid w:val="0028784B"/>
    <w:rsid w:val="00292BEE"/>
    <w:rsid w:val="00293E4C"/>
    <w:rsid w:val="00293F08"/>
    <w:rsid w:val="002949D3"/>
    <w:rsid w:val="00295D3D"/>
    <w:rsid w:val="002A022E"/>
    <w:rsid w:val="002A0AF9"/>
    <w:rsid w:val="002A0D77"/>
    <w:rsid w:val="002A2126"/>
    <w:rsid w:val="002A2F3D"/>
    <w:rsid w:val="002A3A90"/>
    <w:rsid w:val="002A3D47"/>
    <w:rsid w:val="002A50C3"/>
    <w:rsid w:val="002A662B"/>
    <w:rsid w:val="002B2279"/>
    <w:rsid w:val="002B2BAB"/>
    <w:rsid w:val="002B5E58"/>
    <w:rsid w:val="002B6B87"/>
    <w:rsid w:val="002B740F"/>
    <w:rsid w:val="002C0B8A"/>
    <w:rsid w:val="002C0FF2"/>
    <w:rsid w:val="002C20E3"/>
    <w:rsid w:val="002C231E"/>
    <w:rsid w:val="002C2B81"/>
    <w:rsid w:val="002C441F"/>
    <w:rsid w:val="002C529B"/>
    <w:rsid w:val="002C6E96"/>
    <w:rsid w:val="002C76B3"/>
    <w:rsid w:val="002C7838"/>
    <w:rsid w:val="002C7D76"/>
    <w:rsid w:val="002D0296"/>
    <w:rsid w:val="002D05CF"/>
    <w:rsid w:val="002D1518"/>
    <w:rsid w:val="002D1803"/>
    <w:rsid w:val="002D2140"/>
    <w:rsid w:val="002D2C1F"/>
    <w:rsid w:val="002D37B3"/>
    <w:rsid w:val="002D3D5A"/>
    <w:rsid w:val="002D47F3"/>
    <w:rsid w:val="002D490F"/>
    <w:rsid w:val="002D4A57"/>
    <w:rsid w:val="002D60E8"/>
    <w:rsid w:val="002D6B9A"/>
    <w:rsid w:val="002D6C81"/>
    <w:rsid w:val="002D765C"/>
    <w:rsid w:val="002D7F4F"/>
    <w:rsid w:val="002E0DE1"/>
    <w:rsid w:val="002E24FC"/>
    <w:rsid w:val="002E2F02"/>
    <w:rsid w:val="002E309B"/>
    <w:rsid w:val="002E3C87"/>
    <w:rsid w:val="002E3EB5"/>
    <w:rsid w:val="002E4759"/>
    <w:rsid w:val="002E5DA4"/>
    <w:rsid w:val="002E7610"/>
    <w:rsid w:val="002E766C"/>
    <w:rsid w:val="002E78D1"/>
    <w:rsid w:val="002E79ED"/>
    <w:rsid w:val="002E7E38"/>
    <w:rsid w:val="002F047A"/>
    <w:rsid w:val="002F18AC"/>
    <w:rsid w:val="002F24DE"/>
    <w:rsid w:val="002F2D02"/>
    <w:rsid w:val="002F4562"/>
    <w:rsid w:val="002F48AA"/>
    <w:rsid w:val="002F502A"/>
    <w:rsid w:val="002F6B81"/>
    <w:rsid w:val="002F7A4E"/>
    <w:rsid w:val="003008B6"/>
    <w:rsid w:val="00300D24"/>
    <w:rsid w:val="003014C5"/>
    <w:rsid w:val="00301525"/>
    <w:rsid w:val="00301D93"/>
    <w:rsid w:val="0030213E"/>
    <w:rsid w:val="003044A4"/>
    <w:rsid w:val="00304E16"/>
    <w:rsid w:val="003064AF"/>
    <w:rsid w:val="0030667B"/>
    <w:rsid w:val="00306842"/>
    <w:rsid w:val="003073F5"/>
    <w:rsid w:val="00311F78"/>
    <w:rsid w:val="00311FA7"/>
    <w:rsid w:val="00313FFD"/>
    <w:rsid w:val="00314CD9"/>
    <w:rsid w:val="003162BB"/>
    <w:rsid w:val="00317C12"/>
    <w:rsid w:val="00322B14"/>
    <w:rsid w:val="00324B37"/>
    <w:rsid w:val="0032532C"/>
    <w:rsid w:val="00325A2A"/>
    <w:rsid w:val="0032621F"/>
    <w:rsid w:val="003266C0"/>
    <w:rsid w:val="003301DD"/>
    <w:rsid w:val="00331086"/>
    <w:rsid w:val="00331F6D"/>
    <w:rsid w:val="00332E48"/>
    <w:rsid w:val="00332EE2"/>
    <w:rsid w:val="0033344E"/>
    <w:rsid w:val="0033381C"/>
    <w:rsid w:val="00336C53"/>
    <w:rsid w:val="00337B16"/>
    <w:rsid w:val="00337B2E"/>
    <w:rsid w:val="00340E98"/>
    <w:rsid w:val="003410F0"/>
    <w:rsid w:val="00341417"/>
    <w:rsid w:val="003420B7"/>
    <w:rsid w:val="003429E1"/>
    <w:rsid w:val="00343EAE"/>
    <w:rsid w:val="00346A23"/>
    <w:rsid w:val="00351100"/>
    <w:rsid w:val="003511A9"/>
    <w:rsid w:val="003514F8"/>
    <w:rsid w:val="00351AEE"/>
    <w:rsid w:val="00351D57"/>
    <w:rsid w:val="003548B3"/>
    <w:rsid w:val="0036002F"/>
    <w:rsid w:val="00360552"/>
    <w:rsid w:val="0036082F"/>
    <w:rsid w:val="00360F4E"/>
    <w:rsid w:val="00360F52"/>
    <w:rsid w:val="003613EE"/>
    <w:rsid w:val="00362AAC"/>
    <w:rsid w:val="00363280"/>
    <w:rsid w:val="003641A8"/>
    <w:rsid w:val="00365031"/>
    <w:rsid w:val="0036518F"/>
    <w:rsid w:val="00365D95"/>
    <w:rsid w:val="003664E5"/>
    <w:rsid w:val="00366980"/>
    <w:rsid w:val="00370EA0"/>
    <w:rsid w:val="003721F9"/>
    <w:rsid w:val="00372AA2"/>
    <w:rsid w:val="003734CF"/>
    <w:rsid w:val="00373D97"/>
    <w:rsid w:val="003747B3"/>
    <w:rsid w:val="00374D1D"/>
    <w:rsid w:val="0037509F"/>
    <w:rsid w:val="003753DB"/>
    <w:rsid w:val="003754F0"/>
    <w:rsid w:val="00377D22"/>
    <w:rsid w:val="0038001E"/>
    <w:rsid w:val="0038059C"/>
    <w:rsid w:val="00382DAF"/>
    <w:rsid w:val="00383284"/>
    <w:rsid w:val="003837AC"/>
    <w:rsid w:val="00385011"/>
    <w:rsid w:val="0038504C"/>
    <w:rsid w:val="003852B9"/>
    <w:rsid w:val="003868B5"/>
    <w:rsid w:val="00386999"/>
    <w:rsid w:val="00386D91"/>
    <w:rsid w:val="0038769A"/>
    <w:rsid w:val="003907A9"/>
    <w:rsid w:val="003912AC"/>
    <w:rsid w:val="0039156E"/>
    <w:rsid w:val="00393B80"/>
    <w:rsid w:val="00393F00"/>
    <w:rsid w:val="003942B4"/>
    <w:rsid w:val="003953BB"/>
    <w:rsid w:val="003958E3"/>
    <w:rsid w:val="00397BB7"/>
    <w:rsid w:val="003A0B0C"/>
    <w:rsid w:val="003A1283"/>
    <w:rsid w:val="003A3250"/>
    <w:rsid w:val="003A37CB"/>
    <w:rsid w:val="003A3AC5"/>
    <w:rsid w:val="003A5C29"/>
    <w:rsid w:val="003A698B"/>
    <w:rsid w:val="003A728C"/>
    <w:rsid w:val="003A773C"/>
    <w:rsid w:val="003B16E8"/>
    <w:rsid w:val="003B2622"/>
    <w:rsid w:val="003B2AB9"/>
    <w:rsid w:val="003B43FD"/>
    <w:rsid w:val="003B4918"/>
    <w:rsid w:val="003B6CC7"/>
    <w:rsid w:val="003B700F"/>
    <w:rsid w:val="003B7267"/>
    <w:rsid w:val="003C0361"/>
    <w:rsid w:val="003C1A42"/>
    <w:rsid w:val="003C24A5"/>
    <w:rsid w:val="003C256E"/>
    <w:rsid w:val="003C29B4"/>
    <w:rsid w:val="003C32EA"/>
    <w:rsid w:val="003C3D7B"/>
    <w:rsid w:val="003C6A55"/>
    <w:rsid w:val="003C7257"/>
    <w:rsid w:val="003C732F"/>
    <w:rsid w:val="003D1152"/>
    <w:rsid w:val="003D2796"/>
    <w:rsid w:val="003D2A0A"/>
    <w:rsid w:val="003D3032"/>
    <w:rsid w:val="003D3234"/>
    <w:rsid w:val="003D3FBE"/>
    <w:rsid w:val="003D49DB"/>
    <w:rsid w:val="003D507D"/>
    <w:rsid w:val="003D602A"/>
    <w:rsid w:val="003D6D58"/>
    <w:rsid w:val="003D7168"/>
    <w:rsid w:val="003D7D59"/>
    <w:rsid w:val="003E06C9"/>
    <w:rsid w:val="003E0C66"/>
    <w:rsid w:val="003E1010"/>
    <w:rsid w:val="003E1600"/>
    <w:rsid w:val="003E2CB6"/>
    <w:rsid w:val="003E3456"/>
    <w:rsid w:val="003E34A3"/>
    <w:rsid w:val="003E4BE8"/>
    <w:rsid w:val="003E5AC9"/>
    <w:rsid w:val="003E63BC"/>
    <w:rsid w:val="003E7509"/>
    <w:rsid w:val="003E7857"/>
    <w:rsid w:val="003F00DA"/>
    <w:rsid w:val="003F21DD"/>
    <w:rsid w:val="003F256D"/>
    <w:rsid w:val="003F27E0"/>
    <w:rsid w:val="003F2BF0"/>
    <w:rsid w:val="003F2FB4"/>
    <w:rsid w:val="003F32FD"/>
    <w:rsid w:val="003F3B1B"/>
    <w:rsid w:val="003F3F84"/>
    <w:rsid w:val="003F44D8"/>
    <w:rsid w:val="003F4C8F"/>
    <w:rsid w:val="003F6022"/>
    <w:rsid w:val="003F6B24"/>
    <w:rsid w:val="00400D9F"/>
    <w:rsid w:val="00403339"/>
    <w:rsid w:val="00403644"/>
    <w:rsid w:val="004047E2"/>
    <w:rsid w:val="00404F62"/>
    <w:rsid w:val="004052FD"/>
    <w:rsid w:val="0040530B"/>
    <w:rsid w:val="00405C31"/>
    <w:rsid w:val="004079F1"/>
    <w:rsid w:val="00407A67"/>
    <w:rsid w:val="004102DC"/>
    <w:rsid w:val="00411D51"/>
    <w:rsid w:val="00413032"/>
    <w:rsid w:val="00414242"/>
    <w:rsid w:val="0041548F"/>
    <w:rsid w:val="00416820"/>
    <w:rsid w:val="00420F5C"/>
    <w:rsid w:val="0042258D"/>
    <w:rsid w:val="00422A24"/>
    <w:rsid w:val="004250F5"/>
    <w:rsid w:val="00425404"/>
    <w:rsid w:val="004255AC"/>
    <w:rsid w:val="00425C50"/>
    <w:rsid w:val="004335C0"/>
    <w:rsid w:val="00434076"/>
    <w:rsid w:val="00434D32"/>
    <w:rsid w:val="00435785"/>
    <w:rsid w:val="00437709"/>
    <w:rsid w:val="00437E8A"/>
    <w:rsid w:val="00441757"/>
    <w:rsid w:val="00442F85"/>
    <w:rsid w:val="00443DE7"/>
    <w:rsid w:val="0044597A"/>
    <w:rsid w:val="00450135"/>
    <w:rsid w:val="004501B9"/>
    <w:rsid w:val="004511A1"/>
    <w:rsid w:val="004515F4"/>
    <w:rsid w:val="00451E1A"/>
    <w:rsid w:val="004520FD"/>
    <w:rsid w:val="00454DF2"/>
    <w:rsid w:val="0045567B"/>
    <w:rsid w:val="00455BE8"/>
    <w:rsid w:val="00462A8A"/>
    <w:rsid w:val="004633CD"/>
    <w:rsid w:val="0046392D"/>
    <w:rsid w:val="00463F2A"/>
    <w:rsid w:val="00464439"/>
    <w:rsid w:val="004645F9"/>
    <w:rsid w:val="004647A3"/>
    <w:rsid w:val="004712C1"/>
    <w:rsid w:val="00471914"/>
    <w:rsid w:val="00474EFF"/>
    <w:rsid w:val="004756C1"/>
    <w:rsid w:val="004765CC"/>
    <w:rsid w:val="0047751E"/>
    <w:rsid w:val="004809BB"/>
    <w:rsid w:val="004824D5"/>
    <w:rsid w:val="00482995"/>
    <w:rsid w:val="004831DF"/>
    <w:rsid w:val="00486A2F"/>
    <w:rsid w:val="00486B00"/>
    <w:rsid w:val="00487DCE"/>
    <w:rsid w:val="004911C9"/>
    <w:rsid w:val="004911DF"/>
    <w:rsid w:val="00491A5A"/>
    <w:rsid w:val="0049256E"/>
    <w:rsid w:val="00493733"/>
    <w:rsid w:val="00493CE5"/>
    <w:rsid w:val="004946BF"/>
    <w:rsid w:val="00494C08"/>
    <w:rsid w:val="00495DFA"/>
    <w:rsid w:val="00496ED5"/>
    <w:rsid w:val="00497FA9"/>
    <w:rsid w:val="004A060D"/>
    <w:rsid w:val="004A1D96"/>
    <w:rsid w:val="004A2796"/>
    <w:rsid w:val="004A2EFA"/>
    <w:rsid w:val="004A380D"/>
    <w:rsid w:val="004A53C9"/>
    <w:rsid w:val="004A6C6F"/>
    <w:rsid w:val="004B1BC6"/>
    <w:rsid w:val="004B2A23"/>
    <w:rsid w:val="004B3CCA"/>
    <w:rsid w:val="004B3CEA"/>
    <w:rsid w:val="004B6D85"/>
    <w:rsid w:val="004B7984"/>
    <w:rsid w:val="004C0957"/>
    <w:rsid w:val="004C1C5B"/>
    <w:rsid w:val="004C22AD"/>
    <w:rsid w:val="004C265F"/>
    <w:rsid w:val="004C29BC"/>
    <w:rsid w:val="004C4838"/>
    <w:rsid w:val="004C6032"/>
    <w:rsid w:val="004C6A20"/>
    <w:rsid w:val="004C7265"/>
    <w:rsid w:val="004D14D4"/>
    <w:rsid w:val="004D686D"/>
    <w:rsid w:val="004E0805"/>
    <w:rsid w:val="004E1CC1"/>
    <w:rsid w:val="004E3010"/>
    <w:rsid w:val="004E307E"/>
    <w:rsid w:val="004E3659"/>
    <w:rsid w:val="004E3864"/>
    <w:rsid w:val="004E5754"/>
    <w:rsid w:val="004E5858"/>
    <w:rsid w:val="004E6010"/>
    <w:rsid w:val="004E689D"/>
    <w:rsid w:val="004E6AAF"/>
    <w:rsid w:val="004E793D"/>
    <w:rsid w:val="004F1A11"/>
    <w:rsid w:val="004F22C7"/>
    <w:rsid w:val="004F22EB"/>
    <w:rsid w:val="004F2A22"/>
    <w:rsid w:val="004F2FF1"/>
    <w:rsid w:val="004F321F"/>
    <w:rsid w:val="004F38B8"/>
    <w:rsid w:val="004F610B"/>
    <w:rsid w:val="004F610D"/>
    <w:rsid w:val="004F7E51"/>
    <w:rsid w:val="005002AB"/>
    <w:rsid w:val="00500424"/>
    <w:rsid w:val="00502B2C"/>
    <w:rsid w:val="00503230"/>
    <w:rsid w:val="00503D41"/>
    <w:rsid w:val="0050475A"/>
    <w:rsid w:val="0050563F"/>
    <w:rsid w:val="0050613B"/>
    <w:rsid w:val="00507D87"/>
    <w:rsid w:val="005102DF"/>
    <w:rsid w:val="005106F6"/>
    <w:rsid w:val="00512AEE"/>
    <w:rsid w:val="00514323"/>
    <w:rsid w:val="00515539"/>
    <w:rsid w:val="005179AE"/>
    <w:rsid w:val="00520B8C"/>
    <w:rsid w:val="00522CDA"/>
    <w:rsid w:val="005230AB"/>
    <w:rsid w:val="00523B98"/>
    <w:rsid w:val="00523E2E"/>
    <w:rsid w:val="00524EC2"/>
    <w:rsid w:val="00526538"/>
    <w:rsid w:val="00526C54"/>
    <w:rsid w:val="00526CE2"/>
    <w:rsid w:val="005271E1"/>
    <w:rsid w:val="00527407"/>
    <w:rsid w:val="00533932"/>
    <w:rsid w:val="00533FDF"/>
    <w:rsid w:val="005358CD"/>
    <w:rsid w:val="00542500"/>
    <w:rsid w:val="00543397"/>
    <w:rsid w:val="00543B0B"/>
    <w:rsid w:val="00546238"/>
    <w:rsid w:val="0054675B"/>
    <w:rsid w:val="0054737E"/>
    <w:rsid w:val="00547A1C"/>
    <w:rsid w:val="00547B18"/>
    <w:rsid w:val="00550285"/>
    <w:rsid w:val="00550C4B"/>
    <w:rsid w:val="00550E1C"/>
    <w:rsid w:val="00551046"/>
    <w:rsid w:val="005513B4"/>
    <w:rsid w:val="0055229B"/>
    <w:rsid w:val="00553DBA"/>
    <w:rsid w:val="00553DFB"/>
    <w:rsid w:val="005544F3"/>
    <w:rsid w:val="00554F06"/>
    <w:rsid w:val="0055665E"/>
    <w:rsid w:val="00560305"/>
    <w:rsid w:val="005603FE"/>
    <w:rsid w:val="00560922"/>
    <w:rsid w:val="00561E92"/>
    <w:rsid w:val="00561F80"/>
    <w:rsid w:val="0056250A"/>
    <w:rsid w:val="00562599"/>
    <w:rsid w:val="00562F44"/>
    <w:rsid w:val="0056320D"/>
    <w:rsid w:val="00564006"/>
    <w:rsid w:val="00564B67"/>
    <w:rsid w:val="0056769B"/>
    <w:rsid w:val="005678F8"/>
    <w:rsid w:val="00567E47"/>
    <w:rsid w:val="005708F2"/>
    <w:rsid w:val="00572038"/>
    <w:rsid w:val="005720CD"/>
    <w:rsid w:val="00575669"/>
    <w:rsid w:val="00575742"/>
    <w:rsid w:val="00575D0A"/>
    <w:rsid w:val="005761D8"/>
    <w:rsid w:val="00576337"/>
    <w:rsid w:val="00576AE3"/>
    <w:rsid w:val="0057757E"/>
    <w:rsid w:val="00577C4E"/>
    <w:rsid w:val="005806BD"/>
    <w:rsid w:val="00580829"/>
    <w:rsid w:val="00581CB3"/>
    <w:rsid w:val="00582273"/>
    <w:rsid w:val="005834B8"/>
    <w:rsid w:val="005834FF"/>
    <w:rsid w:val="00583D5F"/>
    <w:rsid w:val="00584332"/>
    <w:rsid w:val="00584845"/>
    <w:rsid w:val="00584D7D"/>
    <w:rsid w:val="00584F27"/>
    <w:rsid w:val="00585E14"/>
    <w:rsid w:val="00586A29"/>
    <w:rsid w:val="00590070"/>
    <w:rsid w:val="005926B1"/>
    <w:rsid w:val="00594EE8"/>
    <w:rsid w:val="00594FDA"/>
    <w:rsid w:val="005950FC"/>
    <w:rsid w:val="00597C43"/>
    <w:rsid w:val="005A2310"/>
    <w:rsid w:val="005A33FC"/>
    <w:rsid w:val="005A5468"/>
    <w:rsid w:val="005A5CEF"/>
    <w:rsid w:val="005A6D94"/>
    <w:rsid w:val="005A7303"/>
    <w:rsid w:val="005A790B"/>
    <w:rsid w:val="005B0239"/>
    <w:rsid w:val="005B258D"/>
    <w:rsid w:val="005B332D"/>
    <w:rsid w:val="005B352D"/>
    <w:rsid w:val="005B42D3"/>
    <w:rsid w:val="005B5768"/>
    <w:rsid w:val="005B5B9F"/>
    <w:rsid w:val="005B69E8"/>
    <w:rsid w:val="005B7D6D"/>
    <w:rsid w:val="005C086B"/>
    <w:rsid w:val="005C08D4"/>
    <w:rsid w:val="005C0E0E"/>
    <w:rsid w:val="005C1248"/>
    <w:rsid w:val="005C1600"/>
    <w:rsid w:val="005C189E"/>
    <w:rsid w:val="005C2B2C"/>
    <w:rsid w:val="005C51CD"/>
    <w:rsid w:val="005C609A"/>
    <w:rsid w:val="005C616B"/>
    <w:rsid w:val="005C6EB7"/>
    <w:rsid w:val="005C723C"/>
    <w:rsid w:val="005C7430"/>
    <w:rsid w:val="005C7C15"/>
    <w:rsid w:val="005D024B"/>
    <w:rsid w:val="005D0C47"/>
    <w:rsid w:val="005D10B4"/>
    <w:rsid w:val="005D10F7"/>
    <w:rsid w:val="005D206B"/>
    <w:rsid w:val="005D2970"/>
    <w:rsid w:val="005D29BA"/>
    <w:rsid w:val="005D366F"/>
    <w:rsid w:val="005D5E41"/>
    <w:rsid w:val="005E10E2"/>
    <w:rsid w:val="005E3710"/>
    <w:rsid w:val="005E4117"/>
    <w:rsid w:val="005E419C"/>
    <w:rsid w:val="005E42B1"/>
    <w:rsid w:val="005E4B1D"/>
    <w:rsid w:val="005E4F7A"/>
    <w:rsid w:val="005E5ED9"/>
    <w:rsid w:val="005E64D9"/>
    <w:rsid w:val="005E6A6D"/>
    <w:rsid w:val="005E7207"/>
    <w:rsid w:val="005E72E8"/>
    <w:rsid w:val="005E7796"/>
    <w:rsid w:val="005E7994"/>
    <w:rsid w:val="005F242E"/>
    <w:rsid w:val="005F258A"/>
    <w:rsid w:val="005F2665"/>
    <w:rsid w:val="005F2B58"/>
    <w:rsid w:val="005F2C50"/>
    <w:rsid w:val="005F2F18"/>
    <w:rsid w:val="005F405C"/>
    <w:rsid w:val="005F4586"/>
    <w:rsid w:val="005F45E9"/>
    <w:rsid w:val="005F5B9C"/>
    <w:rsid w:val="005F5CC4"/>
    <w:rsid w:val="005F62D1"/>
    <w:rsid w:val="005F7030"/>
    <w:rsid w:val="005F76FF"/>
    <w:rsid w:val="0060017B"/>
    <w:rsid w:val="00600414"/>
    <w:rsid w:val="006022C6"/>
    <w:rsid w:val="0060284C"/>
    <w:rsid w:val="006035BF"/>
    <w:rsid w:val="00603965"/>
    <w:rsid w:val="0060496A"/>
    <w:rsid w:val="00604F1E"/>
    <w:rsid w:val="0060536C"/>
    <w:rsid w:val="00606652"/>
    <w:rsid w:val="00606779"/>
    <w:rsid w:val="00606A73"/>
    <w:rsid w:val="006079E7"/>
    <w:rsid w:val="00611A27"/>
    <w:rsid w:val="00611A6E"/>
    <w:rsid w:val="00612DE8"/>
    <w:rsid w:val="006157D1"/>
    <w:rsid w:val="00617655"/>
    <w:rsid w:val="00620B6F"/>
    <w:rsid w:val="00623D30"/>
    <w:rsid w:val="00624ADD"/>
    <w:rsid w:val="00626E21"/>
    <w:rsid w:val="00627316"/>
    <w:rsid w:val="00627E9D"/>
    <w:rsid w:val="006305FD"/>
    <w:rsid w:val="0063072E"/>
    <w:rsid w:val="006308E5"/>
    <w:rsid w:val="0063175B"/>
    <w:rsid w:val="006318C2"/>
    <w:rsid w:val="00632B4B"/>
    <w:rsid w:val="00632D7D"/>
    <w:rsid w:val="006330AB"/>
    <w:rsid w:val="0063321B"/>
    <w:rsid w:val="006369DD"/>
    <w:rsid w:val="00637684"/>
    <w:rsid w:val="00643286"/>
    <w:rsid w:val="00643413"/>
    <w:rsid w:val="00644227"/>
    <w:rsid w:val="006459D7"/>
    <w:rsid w:val="00645DBA"/>
    <w:rsid w:val="00647429"/>
    <w:rsid w:val="006513AA"/>
    <w:rsid w:val="0065357C"/>
    <w:rsid w:val="00654706"/>
    <w:rsid w:val="00655DFD"/>
    <w:rsid w:val="00656A53"/>
    <w:rsid w:val="00656E7A"/>
    <w:rsid w:val="00656E9B"/>
    <w:rsid w:val="00656FC2"/>
    <w:rsid w:val="00660316"/>
    <w:rsid w:val="00660BBD"/>
    <w:rsid w:val="0066125D"/>
    <w:rsid w:val="00661878"/>
    <w:rsid w:val="0066425C"/>
    <w:rsid w:val="0066725F"/>
    <w:rsid w:val="006674D3"/>
    <w:rsid w:val="006716D0"/>
    <w:rsid w:val="00672381"/>
    <w:rsid w:val="006727DB"/>
    <w:rsid w:val="00673EF9"/>
    <w:rsid w:val="00674184"/>
    <w:rsid w:val="006748F7"/>
    <w:rsid w:val="0067512A"/>
    <w:rsid w:val="006754F0"/>
    <w:rsid w:val="00675FB5"/>
    <w:rsid w:val="00676626"/>
    <w:rsid w:val="00681235"/>
    <w:rsid w:val="00683A9D"/>
    <w:rsid w:val="00684E5C"/>
    <w:rsid w:val="006867E8"/>
    <w:rsid w:val="00692304"/>
    <w:rsid w:val="00692AF6"/>
    <w:rsid w:val="0069475B"/>
    <w:rsid w:val="00694CFE"/>
    <w:rsid w:val="00695B18"/>
    <w:rsid w:val="00697553"/>
    <w:rsid w:val="006975BA"/>
    <w:rsid w:val="006A09F2"/>
    <w:rsid w:val="006A1496"/>
    <w:rsid w:val="006A15AF"/>
    <w:rsid w:val="006A4D81"/>
    <w:rsid w:val="006A5B93"/>
    <w:rsid w:val="006A5CB6"/>
    <w:rsid w:val="006A5D04"/>
    <w:rsid w:val="006A6672"/>
    <w:rsid w:val="006A6FDE"/>
    <w:rsid w:val="006A7575"/>
    <w:rsid w:val="006B23AC"/>
    <w:rsid w:val="006B293E"/>
    <w:rsid w:val="006B3706"/>
    <w:rsid w:val="006B42F4"/>
    <w:rsid w:val="006B5523"/>
    <w:rsid w:val="006B5742"/>
    <w:rsid w:val="006B6F9F"/>
    <w:rsid w:val="006B79F9"/>
    <w:rsid w:val="006B7F2F"/>
    <w:rsid w:val="006C047E"/>
    <w:rsid w:val="006C0681"/>
    <w:rsid w:val="006C0837"/>
    <w:rsid w:val="006C0D58"/>
    <w:rsid w:val="006C1283"/>
    <w:rsid w:val="006C22E2"/>
    <w:rsid w:val="006C3E42"/>
    <w:rsid w:val="006C4CE5"/>
    <w:rsid w:val="006C52F5"/>
    <w:rsid w:val="006C770C"/>
    <w:rsid w:val="006D0F9C"/>
    <w:rsid w:val="006D1497"/>
    <w:rsid w:val="006D1883"/>
    <w:rsid w:val="006D1FC5"/>
    <w:rsid w:val="006D2570"/>
    <w:rsid w:val="006D3073"/>
    <w:rsid w:val="006D355F"/>
    <w:rsid w:val="006D39EA"/>
    <w:rsid w:val="006D3B6C"/>
    <w:rsid w:val="006D3CB4"/>
    <w:rsid w:val="006D5082"/>
    <w:rsid w:val="006D5EB7"/>
    <w:rsid w:val="006D6222"/>
    <w:rsid w:val="006D7FAD"/>
    <w:rsid w:val="006E03B5"/>
    <w:rsid w:val="006E1C65"/>
    <w:rsid w:val="006E33BB"/>
    <w:rsid w:val="006E3C96"/>
    <w:rsid w:val="006E438D"/>
    <w:rsid w:val="006E4BD5"/>
    <w:rsid w:val="006E5414"/>
    <w:rsid w:val="006E549E"/>
    <w:rsid w:val="006E57AF"/>
    <w:rsid w:val="006E5939"/>
    <w:rsid w:val="006E5AEF"/>
    <w:rsid w:val="006F0419"/>
    <w:rsid w:val="006F04F4"/>
    <w:rsid w:val="006F1567"/>
    <w:rsid w:val="006F292F"/>
    <w:rsid w:val="006F2C41"/>
    <w:rsid w:val="006F2E4E"/>
    <w:rsid w:val="006F445E"/>
    <w:rsid w:val="006F653E"/>
    <w:rsid w:val="00701806"/>
    <w:rsid w:val="00704B4D"/>
    <w:rsid w:val="00704BF6"/>
    <w:rsid w:val="007062A0"/>
    <w:rsid w:val="00706B3A"/>
    <w:rsid w:val="0071049A"/>
    <w:rsid w:val="007104E8"/>
    <w:rsid w:val="00710F60"/>
    <w:rsid w:val="00713DAE"/>
    <w:rsid w:val="007142C6"/>
    <w:rsid w:val="00715023"/>
    <w:rsid w:val="00715082"/>
    <w:rsid w:val="00716038"/>
    <w:rsid w:val="00716ACC"/>
    <w:rsid w:val="00717493"/>
    <w:rsid w:val="00720110"/>
    <w:rsid w:val="00720470"/>
    <w:rsid w:val="0072053A"/>
    <w:rsid w:val="0072079F"/>
    <w:rsid w:val="00721158"/>
    <w:rsid w:val="007222E7"/>
    <w:rsid w:val="0072240A"/>
    <w:rsid w:val="0072375D"/>
    <w:rsid w:val="00723766"/>
    <w:rsid w:val="0072394F"/>
    <w:rsid w:val="00723C15"/>
    <w:rsid w:val="00724154"/>
    <w:rsid w:val="0072584F"/>
    <w:rsid w:val="00727163"/>
    <w:rsid w:val="007301EC"/>
    <w:rsid w:val="00731C7C"/>
    <w:rsid w:val="00733FD2"/>
    <w:rsid w:val="00734AD9"/>
    <w:rsid w:val="007358F1"/>
    <w:rsid w:val="0073641A"/>
    <w:rsid w:val="00741021"/>
    <w:rsid w:val="00741883"/>
    <w:rsid w:val="00742BB3"/>
    <w:rsid w:val="00742F01"/>
    <w:rsid w:val="0074469A"/>
    <w:rsid w:val="0074582E"/>
    <w:rsid w:val="007507F7"/>
    <w:rsid w:val="00751896"/>
    <w:rsid w:val="00751EE8"/>
    <w:rsid w:val="007520D0"/>
    <w:rsid w:val="007527CE"/>
    <w:rsid w:val="00753F2A"/>
    <w:rsid w:val="007540BC"/>
    <w:rsid w:val="0075569B"/>
    <w:rsid w:val="00756382"/>
    <w:rsid w:val="00756523"/>
    <w:rsid w:val="00762B92"/>
    <w:rsid w:val="0076302D"/>
    <w:rsid w:val="0076386A"/>
    <w:rsid w:val="00764366"/>
    <w:rsid w:val="0076467F"/>
    <w:rsid w:val="00764F95"/>
    <w:rsid w:val="00767362"/>
    <w:rsid w:val="00772EF2"/>
    <w:rsid w:val="00772FD7"/>
    <w:rsid w:val="00773950"/>
    <w:rsid w:val="00774FC6"/>
    <w:rsid w:val="0077525E"/>
    <w:rsid w:val="00775C07"/>
    <w:rsid w:val="00776424"/>
    <w:rsid w:val="0077738C"/>
    <w:rsid w:val="0078030A"/>
    <w:rsid w:val="007803C6"/>
    <w:rsid w:val="00780C61"/>
    <w:rsid w:val="00782FB4"/>
    <w:rsid w:val="007832AE"/>
    <w:rsid w:val="00783FB2"/>
    <w:rsid w:val="0078487D"/>
    <w:rsid w:val="00784E8E"/>
    <w:rsid w:val="00784F3C"/>
    <w:rsid w:val="00785BB8"/>
    <w:rsid w:val="007869AA"/>
    <w:rsid w:val="00787C35"/>
    <w:rsid w:val="007909B9"/>
    <w:rsid w:val="0079136E"/>
    <w:rsid w:val="0079402E"/>
    <w:rsid w:val="007951CB"/>
    <w:rsid w:val="00795538"/>
    <w:rsid w:val="00795560"/>
    <w:rsid w:val="00795C8F"/>
    <w:rsid w:val="00796C91"/>
    <w:rsid w:val="00797DD1"/>
    <w:rsid w:val="00797E94"/>
    <w:rsid w:val="007A0C6D"/>
    <w:rsid w:val="007A319F"/>
    <w:rsid w:val="007A4F20"/>
    <w:rsid w:val="007A4FD0"/>
    <w:rsid w:val="007A6FD8"/>
    <w:rsid w:val="007A78E0"/>
    <w:rsid w:val="007A7D0A"/>
    <w:rsid w:val="007B0A41"/>
    <w:rsid w:val="007B0EAD"/>
    <w:rsid w:val="007B0FE9"/>
    <w:rsid w:val="007B3883"/>
    <w:rsid w:val="007B3CCE"/>
    <w:rsid w:val="007B598A"/>
    <w:rsid w:val="007B6407"/>
    <w:rsid w:val="007B723A"/>
    <w:rsid w:val="007C0251"/>
    <w:rsid w:val="007C0849"/>
    <w:rsid w:val="007C3D51"/>
    <w:rsid w:val="007C3FD6"/>
    <w:rsid w:val="007C448A"/>
    <w:rsid w:val="007C49E0"/>
    <w:rsid w:val="007C55B7"/>
    <w:rsid w:val="007C77F0"/>
    <w:rsid w:val="007C7DF1"/>
    <w:rsid w:val="007D0911"/>
    <w:rsid w:val="007D12F2"/>
    <w:rsid w:val="007D1357"/>
    <w:rsid w:val="007D19B9"/>
    <w:rsid w:val="007D252C"/>
    <w:rsid w:val="007D441A"/>
    <w:rsid w:val="007D469A"/>
    <w:rsid w:val="007D5399"/>
    <w:rsid w:val="007D58DE"/>
    <w:rsid w:val="007D590A"/>
    <w:rsid w:val="007D682E"/>
    <w:rsid w:val="007D72B8"/>
    <w:rsid w:val="007D7F68"/>
    <w:rsid w:val="007E06E2"/>
    <w:rsid w:val="007E25E0"/>
    <w:rsid w:val="007E3471"/>
    <w:rsid w:val="007E3E4E"/>
    <w:rsid w:val="007E5048"/>
    <w:rsid w:val="007E513F"/>
    <w:rsid w:val="007E5F74"/>
    <w:rsid w:val="007E73D1"/>
    <w:rsid w:val="007E7CFA"/>
    <w:rsid w:val="007F1084"/>
    <w:rsid w:val="007F2377"/>
    <w:rsid w:val="007F3DA3"/>
    <w:rsid w:val="007F4576"/>
    <w:rsid w:val="007F461B"/>
    <w:rsid w:val="007F76C6"/>
    <w:rsid w:val="007F7C21"/>
    <w:rsid w:val="007F7DB6"/>
    <w:rsid w:val="0080064E"/>
    <w:rsid w:val="0080066C"/>
    <w:rsid w:val="00800A2D"/>
    <w:rsid w:val="00801821"/>
    <w:rsid w:val="00803BFF"/>
    <w:rsid w:val="00805BBA"/>
    <w:rsid w:val="00807322"/>
    <w:rsid w:val="00811476"/>
    <w:rsid w:val="008129DB"/>
    <w:rsid w:val="0081400C"/>
    <w:rsid w:val="00814C1A"/>
    <w:rsid w:val="008150A4"/>
    <w:rsid w:val="0081571E"/>
    <w:rsid w:val="00817948"/>
    <w:rsid w:val="008218DD"/>
    <w:rsid w:val="0082337F"/>
    <w:rsid w:val="0082355F"/>
    <w:rsid w:val="00825F53"/>
    <w:rsid w:val="00827621"/>
    <w:rsid w:val="00830211"/>
    <w:rsid w:val="00830BA4"/>
    <w:rsid w:val="008321DF"/>
    <w:rsid w:val="008325BF"/>
    <w:rsid w:val="008325D3"/>
    <w:rsid w:val="0083358D"/>
    <w:rsid w:val="008336F3"/>
    <w:rsid w:val="0083551A"/>
    <w:rsid w:val="008355F8"/>
    <w:rsid w:val="0083570B"/>
    <w:rsid w:val="008360E8"/>
    <w:rsid w:val="00836657"/>
    <w:rsid w:val="0084117D"/>
    <w:rsid w:val="00842443"/>
    <w:rsid w:val="008451E2"/>
    <w:rsid w:val="008455A3"/>
    <w:rsid w:val="00847AEE"/>
    <w:rsid w:val="00847DCD"/>
    <w:rsid w:val="00850B02"/>
    <w:rsid w:val="00851368"/>
    <w:rsid w:val="0085388B"/>
    <w:rsid w:val="00854E79"/>
    <w:rsid w:val="0085513D"/>
    <w:rsid w:val="008569D4"/>
    <w:rsid w:val="00856C62"/>
    <w:rsid w:val="00857D51"/>
    <w:rsid w:val="008603D9"/>
    <w:rsid w:val="00862068"/>
    <w:rsid w:val="008642F1"/>
    <w:rsid w:val="008661B8"/>
    <w:rsid w:val="00866520"/>
    <w:rsid w:val="0086674C"/>
    <w:rsid w:val="008668B3"/>
    <w:rsid w:val="00867E52"/>
    <w:rsid w:val="00873489"/>
    <w:rsid w:val="00873670"/>
    <w:rsid w:val="008739BB"/>
    <w:rsid w:val="00874B38"/>
    <w:rsid w:val="00876352"/>
    <w:rsid w:val="0087656D"/>
    <w:rsid w:val="00876DC2"/>
    <w:rsid w:val="00876EC5"/>
    <w:rsid w:val="00877034"/>
    <w:rsid w:val="008809AE"/>
    <w:rsid w:val="00881DD7"/>
    <w:rsid w:val="00882101"/>
    <w:rsid w:val="008830EE"/>
    <w:rsid w:val="00884904"/>
    <w:rsid w:val="00884ECD"/>
    <w:rsid w:val="008851D0"/>
    <w:rsid w:val="00885D33"/>
    <w:rsid w:val="00885EB4"/>
    <w:rsid w:val="00885EE4"/>
    <w:rsid w:val="00886582"/>
    <w:rsid w:val="008867EB"/>
    <w:rsid w:val="008874A2"/>
    <w:rsid w:val="00890DE8"/>
    <w:rsid w:val="008911CB"/>
    <w:rsid w:val="008916D7"/>
    <w:rsid w:val="00891E81"/>
    <w:rsid w:val="00894DA1"/>
    <w:rsid w:val="00897BEC"/>
    <w:rsid w:val="008A0A6A"/>
    <w:rsid w:val="008A16D9"/>
    <w:rsid w:val="008A20F7"/>
    <w:rsid w:val="008A2AF7"/>
    <w:rsid w:val="008A2CDE"/>
    <w:rsid w:val="008A4240"/>
    <w:rsid w:val="008A7263"/>
    <w:rsid w:val="008A7E22"/>
    <w:rsid w:val="008B022D"/>
    <w:rsid w:val="008B0F4C"/>
    <w:rsid w:val="008B13C4"/>
    <w:rsid w:val="008B168A"/>
    <w:rsid w:val="008B1F39"/>
    <w:rsid w:val="008B29E6"/>
    <w:rsid w:val="008B316C"/>
    <w:rsid w:val="008B3769"/>
    <w:rsid w:val="008B6C2C"/>
    <w:rsid w:val="008B79EC"/>
    <w:rsid w:val="008B7CE1"/>
    <w:rsid w:val="008C23A5"/>
    <w:rsid w:val="008C2545"/>
    <w:rsid w:val="008C2CC9"/>
    <w:rsid w:val="008C34E5"/>
    <w:rsid w:val="008C34FD"/>
    <w:rsid w:val="008C39CB"/>
    <w:rsid w:val="008C424E"/>
    <w:rsid w:val="008C5142"/>
    <w:rsid w:val="008D018D"/>
    <w:rsid w:val="008D1995"/>
    <w:rsid w:val="008D1ABA"/>
    <w:rsid w:val="008D1F95"/>
    <w:rsid w:val="008D236C"/>
    <w:rsid w:val="008D262D"/>
    <w:rsid w:val="008D2867"/>
    <w:rsid w:val="008D31B3"/>
    <w:rsid w:val="008D32ED"/>
    <w:rsid w:val="008D36E3"/>
    <w:rsid w:val="008D3771"/>
    <w:rsid w:val="008D5DB2"/>
    <w:rsid w:val="008D6438"/>
    <w:rsid w:val="008E09ED"/>
    <w:rsid w:val="008E25F7"/>
    <w:rsid w:val="008E45C7"/>
    <w:rsid w:val="008E476E"/>
    <w:rsid w:val="008E4CC3"/>
    <w:rsid w:val="008E5EEA"/>
    <w:rsid w:val="008E6FB5"/>
    <w:rsid w:val="008E78B5"/>
    <w:rsid w:val="008E7A19"/>
    <w:rsid w:val="008E7EE6"/>
    <w:rsid w:val="008F0B4F"/>
    <w:rsid w:val="008F1B67"/>
    <w:rsid w:val="008F252D"/>
    <w:rsid w:val="008F2C2C"/>
    <w:rsid w:val="008F3367"/>
    <w:rsid w:val="008F338D"/>
    <w:rsid w:val="008F4346"/>
    <w:rsid w:val="008F4832"/>
    <w:rsid w:val="008F5039"/>
    <w:rsid w:val="008F6FB5"/>
    <w:rsid w:val="008F7611"/>
    <w:rsid w:val="0090039C"/>
    <w:rsid w:val="00900AE9"/>
    <w:rsid w:val="00900BC7"/>
    <w:rsid w:val="00901903"/>
    <w:rsid w:val="00901D11"/>
    <w:rsid w:val="00902595"/>
    <w:rsid w:val="00906109"/>
    <w:rsid w:val="00907BEB"/>
    <w:rsid w:val="009100CA"/>
    <w:rsid w:val="00911B6B"/>
    <w:rsid w:val="00913CAC"/>
    <w:rsid w:val="0091440D"/>
    <w:rsid w:val="00914BE2"/>
    <w:rsid w:val="00914E34"/>
    <w:rsid w:val="0091540E"/>
    <w:rsid w:val="00915BFD"/>
    <w:rsid w:val="009166CE"/>
    <w:rsid w:val="00916ABD"/>
    <w:rsid w:val="00917151"/>
    <w:rsid w:val="009172F2"/>
    <w:rsid w:val="00920598"/>
    <w:rsid w:val="009221EF"/>
    <w:rsid w:val="00922E46"/>
    <w:rsid w:val="00923C1E"/>
    <w:rsid w:val="00923D44"/>
    <w:rsid w:val="00923FAA"/>
    <w:rsid w:val="00925A45"/>
    <w:rsid w:val="00925FF9"/>
    <w:rsid w:val="009260D1"/>
    <w:rsid w:val="00927906"/>
    <w:rsid w:val="00930032"/>
    <w:rsid w:val="00930696"/>
    <w:rsid w:val="009338E5"/>
    <w:rsid w:val="009346AB"/>
    <w:rsid w:val="00935FFC"/>
    <w:rsid w:val="0093741A"/>
    <w:rsid w:val="00940FD8"/>
    <w:rsid w:val="009447CC"/>
    <w:rsid w:val="0094502B"/>
    <w:rsid w:val="0094596D"/>
    <w:rsid w:val="00947060"/>
    <w:rsid w:val="00947AEA"/>
    <w:rsid w:val="00947E2C"/>
    <w:rsid w:val="00951304"/>
    <w:rsid w:val="009519CF"/>
    <w:rsid w:val="0095326B"/>
    <w:rsid w:val="0095390C"/>
    <w:rsid w:val="00953E90"/>
    <w:rsid w:val="00955443"/>
    <w:rsid w:val="009554F4"/>
    <w:rsid w:val="00955B9D"/>
    <w:rsid w:val="009567B8"/>
    <w:rsid w:val="00957636"/>
    <w:rsid w:val="009576C1"/>
    <w:rsid w:val="00957ECB"/>
    <w:rsid w:val="0096028A"/>
    <w:rsid w:val="009604E8"/>
    <w:rsid w:val="00960810"/>
    <w:rsid w:val="00960A87"/>
    <w:rsid w:val="009610C6"/>
    <w:rsid w:val="00961621"/>
    <w:rsid w:val="009625B7"/>
    <w:rsid w:val="00963968"/>
    <w:rsid w:val="00963A2F"/>
    <w:rsid w:val="00963DE7"/>
    <w:rsid w:val="00965FCA"/>
    <w:rsid w:val="00966411"/>
    <w:rsid w:val="00967934"/>
    <w:rsid w:val="009702EA"/>
    <w:rsid w:val="00971E4E"/>
    <w:rsid w:val="00972335"/>
    <w:rsid w:val="009745B1"/>
    <w:rsid w:val="00974694"/>
    <w:rsid w:val="009755E8"/>
    <w:rsid w:val="009765BC"/>
    <w:rsid w:val="009811B4"/>
    <w:rsid w:val="00981748"/>
    <w:rsid w:val="0098223B"/>
    <w:rsid w:val="0098304A"/>
    <w:rsid w:val="00983223"/>
    <w:rsid w:val="0098511C"/>
    <w:rsid w:val="00986156"/>
    <w:rsid w:val="00986ACD"/>
    <w:rsid w:val="009871CC"/>
    <w:rsid w:val="0099236A"/>
    <w:rsid w:val="00993528"/>
    <w:rsid w:val="0099565E"/>
    <w:rsid w:val="009957AD"/>
    <w:rsid w:val="00995A67"/>
    <w:rsid w:val="009960FD"/>
    <w:rsid w:val="0099762E"/>
    <w:rsid w:val="009A17A3"/>
    <w:rsid w:val="009A1AF1"/>
    <w:rsid w:val="009A1EF7"/>
    <w:rsid w:val="009A34E4"/>
    <w:rsid w:val="009A3A3F"/>
    <w:rsid w:val="009A3BCE"/>
    <w:rsid w:val="009A5D5A"/>
    <w:rsid w:val="009B115F"/>
    <w:rsid w:val="009B126C"/>
    <w:rsid w:val="009B12D2"/>
    <w:rsid w:val="009B163B"/>
    <w:rsid w:val="009B2B8D"/>
    <w:rsid w:val="009B3DA9"/>
    <w:rsid w:val="009B4595"/>
    <w:rsid w:val="009B6DCC"/>
    <w:rsid w:val="009B6E82"/>
    <w:rsid w:val="009B7503"/>
    <w:rsid w:val="009B75F0"/>
    <w:rsid w:val="009B7F03"/>
    <w:rsid w:val="009C07F1"/>
    <w:rsid w:val="009C09FA"/>
    <w:rsid w:val="009C16BD"/>
    <w:rsid w:val="009C285E"/>
    <w:rsid w:val="009C31ED"/>
    <w:rsid w:val="009C4C19"/>
    <w:rsid w:val="009C5DA7"/>
    <w:rsid w:val="009C5EBB"/>
    <w:rsid w:val="009C70A5"/>
    <w:rsid w:val="009C753B"/>
    <w:rsid w:val="009D080C"/>
    <w:rsid w:val="009D1EAD"/>
    <w:rsid w:val="009D2FE8"/>
    <w:rsid w:val="009D3433"/>
    <w:rsid w:val="009D4556"/>
    <w:rsid w:val="009D45F1"/>
    <w:rsid w:val="009D5671"/>
    <w:rsid w:val="009E0564"/>
    <w:rsid w:val="009E062F"/>
    <w:rsid w:val="009E24C4"/>
    <w:rsid w:val="009E277A"/>
    <w:rsid w:val="009E5929"/>
    <w:rsid w:val="009E5BA6"/>
    <w:rsid w:val="009E65A9"/>
    <w:rsid w:val="009E6D15"/>
    <w:rsid w:val="009E7082"/>
    <w:rsid w:val="009E7FB3"/>
    <w:rsid w:val="009F15FF"/>
    <w:rsid w:val="009F383B"/>
    <w:rsid w:val="009F38B4"/>
    <w:rsid w:val="009F3F0A"/>
    <w:rsid w:val="009F4370"/>
    <w:rsid w:val="009F4D87"/>
    <w:rsid w:val="009F4E59"/>
    <w:rsid w:val="009F5B8E"/>
    <w:rsid w:val="009F6A82"/>
    <w:rsid w:val="00A0102E"/>
    <w:rsid w:val="00A01E73"/>
    <w:rsid w:val="00A04B27"/>
    <w:rsid w:val="00A058B7"/>
    <w:rsid w:val="00A05AE7"/>
    <w:rsid w:val="00A06210"/>
    <w:rsid w:val="00A065F7"/>
    <w:rsid w:val="00A067FC"/>
    <w:rsid w:val="00A074DC"/>
    <w:rsid w:val="00A10556"/>
    <w:rsid w:val="00A11ABF"/>
    <w:rsid w:val="00A1280B"/>
    <w:rsid w:val="00A1378F"/>
    <w:rsid w:val="00A13F75"/>
    <w:rsid w:val="00A15144"/>
    <w:rsid w:val="00A174AD"/>
    <w:rsid w:val="00A1799D"/>
    <w:rsid w:val="00A17B56"/>
    <w:rsid w:val="00A20C33"/>
    <w:rsid w:val="00A20F06"/>
    <w:rsid w:val="00A225C1"/>
    <w:rsid w:val="00A22BAE"/>
    <w:rsid w:val="00A239DC"/>
    <w:rsid w:val="00A23FD7"/>
    <w:rsid w:val="00A24B72"/>
    <w:rsid w:val="00A24D0C"/>
    <w:rsid w:val="00A256BC"/>
    <w:rsid w:val="00A2674B"/>
    <w:rsid w:val="00A26F82"/>
    <w:rsid w:val="00A27041"/>
    <w:rsid w:val="00A27682"/>
    <w:rsid w:val="00A27797"/>
    <w:rsid w:val="00A27CEB"/>
    <w:rsid w:val="00A332B8"/>
    <w:rsid w:val="00A3335D"/>
    <w:rsid w:val="00A33D3B"/>
    <w:rsid w:val="00A34D7B"/>
    <w:rsid w:val="00A35031"/>
    <w:rsid w:val="00A35833"/>
    <w:rsid w:val="00A35CE2"/>
    <w:rsid w:val="00A35CE6"/>
    <w:rsid w:val="00A362E3"/>
    <w:rsid w:val="00A403CF"/>
    <w:rsid w:val="00A4053A"/>
    <w:rsid w:val="00A43017"/>
    <w:rsid w:val="00A43CD1"/>
    <w:rsid w:val="00A451AB"/>
    <w:rsid w:val="00A45944"/>
    <w:rsid w:val="00A45E88"/>
    <w:rsid w:val="00A46CB4"/>
    <w:rsid w:val="00A47EAE"/>
    <w:rsid w:val="00A51BEF"/>
    <w:rsid w:val="00A51E10"/>
    <w:rsid w:val="00A537D5"/>
    <w:rsid w:val="00A550DE"/>
    <w:rsid w:val="00A55E4E"/>
    <w:rsid w:val="00A55F5E"/>
    <w:rsid w:val="00A5652F"/>
    <w:rsid w:val="00A615E3"/>
    <w:rsid w:val="00A61CBB"/>
    <w:rsid w:val="00A6202A"/>
    <w:rsid w:val="00A62132"/>
    <w:rsid w:val="00A62E84"/>
    <w:rsid w:val="00A64678"/>
    <w:rsid w:val="00A64CDE"/>
    <w:rsid w:val="00A65024"/>
    <w:rsid w:val="00A65172"/>
    <w:rsid w:val="00A66E27"/>
    <w:rsid w:val="00A67E8D"/>
    <w:rsid w:val="00A70E0E"/>
    <w:rsid w:val="00A7348B"/>
    <w:rsid w:val="00A75A34"/>
    <w:rsid w:val="00A76067"/>
    <w:rsid w:val="00A80CB5"/>
    <w:rsid w:val="00A814B3"/>
    <w:rsid w:val="00A8289F"/>
    <w:rsid w:val="00A82C4C"/>
    <w:rsid w:val="00A836B6"/>
    <w:rsid w:val="00A870FA"/>
    <w:rsid w:val="00A8764D"/>
    <w:rsid w:val="00A90FAB"/>
    <w:rsid w:val="00A91D39"/>
    <w:rsid w:val="00A92608"/>
    <w:rsid w:val="00A93726"/>
    <w:rsid w:val="00A93C03"/>
    <w:rsid w:val="00A940C4"/>
    <w:rsid w:val="00A955C6"/>
    <w:rsid w:val="00A9616A"/>
    <w:rsid w:val="00A9798C"/>
    <w:rsid w:val="00A97A88"/>
    <w:rsid w:val="00A97D9A"/>
    <w:rsid w:val="00AA0ABD"/>
    <w:rsid w:val="00AA1B04"/>
    <w:rsid w:val="00AA2B40"/>
    <w:rsid w:val="00AA3823"/>
    <w:rsid w:val="00AA44D0"/>
    <w:rsid w:val="00AA4DA6"/>
    <w:rsid w:val="00AA5A1D"/>
    <w:rsid w:val="00AA6816"/>
    <w:rsid w:val="00AA6945"/>
    <w:rsid w:val="00AA6FAD"/>
    <w:rsid w:val="00AB0CFC"/>
    <w:rsid w:val="00AB155D"/>
    <w:rsid w:val="00AB184B"/>
    <w:rsid w:val="00AB2295"/>
    <w:rsid w:val="00AB2459"/>
    <w:rsid w:val="00AB25F2"/>
    <w:rsid w:val="00AB2845"/>
    <w:rsid w:val="00AB38E1"/>
    <w:rsid w:val="00AB3CEE"/>
    <w:rsid w:val="00AB5A1F"/>
    <w:rsid w:val="00AB75FA"/>
    <w:rsid w:val="00AB7A33"/>
    <w:rsid w:val="00AB7EEB"/>
    <w:rsid w:val="00AC0D01"/>
    <w:rsid w:val="00AC0EB5"/>
    <w:rsid w:val="00AC13EB"/>
    <w:rsid w:val="00AC2376"/>
    <w:rsid w:val="00AC237D"/>
    <w:rsid w:val="00AC2803"/>
    <w:rsid w:val="00AC4C26"/>
    <w:rsid w:val="00AC5F35"/>
    <w:rsid w:val="00AC6088"/>
    <w:rsid w:val="00AC675A"/>
    <w:rsid w:val="00AC6BDB"/>
    <w:rsid w:val="00AC7457"/>
    <w:rsid w:val="00AC7CB8"/>
    <w:rsid w:val="00AD1876"/>
    <w:rsid w:val="00AD49FA"/>
    <w:rsid w:val="00AD520F"/>
    <w:rsid w:val="00AD5DEC"/>
    <w:rsid w:val="00AD68AC"/>
    <w:rsid w:val="00AD76EB"/>
    <w:rsid w:val="00AD7CCF"/>
    <w:rsid w:val="00AE4E7B"/>
    <w:rsid w:val="00AE4ED7"/>
    <w:rsid w:val="00AE5A40"/>
    <w:rsid w:val="00AF14D1"/>
    <w:rsid w:val="00AF1C60"/>
    <w:rsid w:val="00AF3B5B"/>
    <w:rsid w:val="00AF4771"/>
    <w:rsid w:val="00AF61FB"/>
    <w:rsid w:val="00AF7F63"/>
    <w:rsid w:val="00B01645"/>
    <w:rsid w:val="00B021B9"/>
    <w:rsid w:val="00B0246C"/>
    <w:rsid w:val="00B03784"/>
    <w:rsid w:val="00B049DC"/>
    <w:rsid w:val="00B051C2"/>
    <w:rsid w:val="00B059EF"/>
    <w:rsid w:val="00B06600"/>
    <w:rsid w:val="00B1096F"/>
    <w:rsid w:val="00B11715"/>
    <w:rsid w:val="00B1233B"/>
    <w:rsid w:val="00B12F50"/>
    <w:rsid w:val="00B12F67"/>
    <w:rsid w:val="00B141A5"/>
    <w:rsid w:val="00B16CB4"/>
    <w:rsid w:val="00B2090E"/>
    <w:rsid w:val="00B20AF8"/>
    <w:rsid w:val="00B221BE"/>
    <w:rsid w:val="00B22811"/>
    <w:rsid w:val="00B23FAB"/>
    <w:rsid w:val="00B244F4"/>
    <w:rsid w:val="00B256AF"/>
    <w:rsid w:val="00B25D87"/>
    <w:rsid w:val="00B26051"/>
    <w:rsid w:val="00B26183"/>
    <w:rsid w:val="00B26810"/>
    <w:rsid w:val="00B26FFD"/>
    <w:rsid w:val="00B3026B"/>
    <w:rsid w:val="00B320C5"/>
    <w:rsid w:val="00B32BB5"/>
    <w:rsid w:val="00B33856"/>
    <w:rsid w:val="00B33C9A"/>
    <w:rsid w:val="00B371EC"/>
    <w:rsid w:val="00B404A2"/>
    <w:rsid w:val="00B41FE5"/>
    <w:rsid w:val="00B4207C"/>
    <w:rsid w:val="00B42117"/>
    <w:rsid w:val="00B4267F"/>
    <w:rsid w:val="00B43433"/>
    <w:rsid w:val="00B447B8"/>
    <w:rsid w:val="00B450AC"/>
    <w:rsid w:val="00B451F8"/>
    <w:rsid w:val="00B45D58"/>
    <w:rsid w:val="00B46B37"/>
    <w:rsid w:val="00B4756A"/>
    <w:rsid w:val="00B50911"/>
    <w:rsid w:val="00B50B01"/>
    <w:rsid w:val="00B51CBB"/>
    <w:rsid w:val="00B5354A"/>
    <w:rsid w:val="00B53871"/>
    <w:rsid w:val="00B545F0"/>
    <w:rsid w:val="00B54F76"/>
    <w:rsid w:val="00B577EC"/>
    <w:rsid w:val="00B6118C"/>
    <w:rsid w:val="00B62083"/>
    <w:rsid w:val="00B6374D"/>
    <w:rsid w:val="00B63D79"/>
    <w:rsid w:val="00B646FB"/>
    <w:rsid w:val="00B70064"/>
    <w:rsid w:val="00B72BBD"/>
    <w:rsid w:val="00B7358F"/>
    <w:rsid w:val="00B75699"/>
    <w:rsid w:val="00B75A92"/>
    <w:rsid w:val="00B75E02"/>
    <w:rsid w:val="00B76642"/>
    <w:rsid w:val="00B80849"/>
    <w:rsid w:val="00B8147A"/>
    <w:rsid w:val="00B82E13"/>
    <w:rsid w:val="00B83126"/>
    <w:rsid w:val="00B83326"/>
    <w:rsid w:val="00B8341D"/>
    <w:rsid w:val="00B844FB"/>
    <w:rsid w:val="00B84F17"/>
    <w:rsid w:val="00B86FC6"/>
    <w:rsid w:val="00B9051F"/>
    <w:rsid w:val="00B916D3"/>
    <w:rsid w:val="00B92076"/>
    <w:rsid w:val="00B92840"/>
    <w:rsid w:val="00B92C62"/>
    <w:rsid w:val="00B9662A"/>
    <w:rsid w:val="00B96E5E"/>
    <w:rsid w:val="00B96F6A"/>
    <w:rsid w:val="00B9732E"/>
    <w:rsid w:val="00B9792D"/>
    <w:rsid w:val="00B97E2A"/>
    <w:rsid w:val="00BA0269"/>
    <w:rsid w:val="00BA0B2B"/>
    <w:rsid w:val="00BA4C8A"/>
    <w:rsid w:val="00BA56B2"/>
    <w:rsid w:val="00BA59F6"/>
    <w:rsid w:val="00BA5D9D"/>
    <w:rsid w:val="00BB1B90"/>
    <w:rsid w:val="00BB270C"/>
    <w:rsid w:val="00BB288B"/>
    <w:rsid w:val="00BB3987"/>
    <w:rsid w:val="00BB3ABE"/>
    <w:rsid w:val="00BB461E"/>
    <w:rsid w:val="00BB4C58"/>
    <w:rsid w:val="00BB74F5"/>
    <w:rsid w:val="00BC05AE"/>
    <w:rsid w:val="00BC09D2"/>
    <w:rsid w:val="00BC216D"/>
    <w:rsid w:val="00BC22DD"/>
    <w:rsid w:val="00BC311B"/>
    <w:rsid w:val="00BC314A"/>
    <w:rsid w:val="00BC35C8"/>
    <w:rsid w:val="00BC4A21"/>
    <w:rsid w:val="00BC62CC"/>
    <w:rsid w:val="00BC63A2"/>
    <w:rsid w:val="00BC7DB9"/>
    <w:rsid w:val="00BD0D44"/>
    <w:rsid w:val="00BD1061"/>
    <w:rsid w:val="00BD1713"/>
    <w:rsid w:val="00BD3816"/>
    <w:rsid w:val="00BD410A"/>
    <w:rsid w:val="00BD4969"/>
    <w:rsid w:val="00BD4BA4"/>
    <w:rsid w:val="00BD670F"/>
    <w:rsid w:val="00BD70B0"/>
    <w:rsid w:val="00BD7826"/>
    <w:rsid w:val="00BE013C"/>
    <w:rsid w:val="00BE027D"/>
    <w:rsid w:val="00BE1147"/>
    <w:rsid w:val="00BE11DF"/>
    <w:rsid w:val="00BE1740"/>
    <w:rsid w:val="00BE1880"/>
    <w:rsid w:val="00BE1F5F"/>
    <w:rsid w:val="00BE330B"/>
    <w:rsid w:val="00BE3CAC"/>
    <w:rsid w:val="00BE3D24"/>
    <w:rsid w:val="00BE4708"/>
    <w:rsid w:val="00BE485B"/>
    <w:rsid w:val="00BE5DA0"/>
    <w:rsid w:val="00BE5E7F"/>
    <w:rsid w:val="00BE670C"/>
    <w:rsid w:val="00BF01A5"/>
    <w:rsid w:val="00BF06AD"/>
    <w:rsid w:val="00BF19C8"/>
    <w:rsid w:val="00BF55E0"/>
    <w:rsid w:val="00BF6896"/>
    <w:rsid w:val="00BF6D61"/>
    <w:rsid w:val="00BF79A1"/>
    <w:rsid w:val="00BF79E2"/>
    <w:rsid w:val="00C001D3"/>
    <w:rsid w:val="00C00F97"/>
    <w:rsid w:val="00C01810"/>
    <w:rsid w:val="00C01C23"/>
    <w:rsid w:val="00C02F32"/>
    <w:rsid w:val="00C031BB"/>
    <w:rsid w:val="00C03CDD"/>
    <w:rsid w:val="00C06075"/>
    <w:rsid w:val="00C066EE"/>
    <w:rsid w:val="00C072D2"/>
    <w:rsid w:val="00C120B5"/>
    <w:rsid w:val="00C122B6"/>
    <w:rsid w:val="00C12833"/>
    <w:rsid w:val="00C12A33"/>
    <w:rsid w:val="00C13485"/>
    <w:rsid w:val="00C140A0"/>
    <w:rsid w:val="00C14796"/>
    <w:rsid w:val="00C15254"/>
    <w:rsid w:val="00C154B1"/>
    <w:rsid w:val="00C15A33"/>
    <w:rsid w:val="00C15FAE"/>
    <w:rsid w:val="00C17FE2"/>
    <w:rsid w:val="00C20434"/>
    <w:rsid w:val="00C206E4"/>
    <w:rsid w:val="00C2080E"/>
    <w:rsid w:val="00C2469B"/>
    <w:rsid w:val="00C24D14"/>
    <w:rsid w:val="00C25475"/>
    <w:rsid w:val="00C25552"/>
    <w:rsid w:val="00C26C62"/>
    <w:rsid w:val="00C30784"/>
    <w:rsid w:val="00C30F4A"/>
    <w:rsid w:val="00C32400"/>
    <w:rsid w:val="00C3395C"/>
    <w:rsid w:val="00C3501E"/>
    <w:rsid w:val="00C351D8"/>
    <w:rsid w:val="00C35EFE"/>
    <w:rsid w:val="00C36382"/>
    <w:rsid w:val="00C4270E"/>
    <w:rsid w:val="00C42767"/>
    <w:rsid w:val="00C42A03"/>
    <w:rsid w:val="00C42AA3"/>
    <w:rsid w:val="00C42E7C"/>
    <w:rsid w:val="00C43AB6"/>
    <w:rsid w:val="00C443B9"/>
    <w:rsid w:val="00C44AFC"/>
    <w:rsid w:val="00C44D70"/>
    <w:rsid w:val="00C45779"/>
    <w:rsid w:val="00C45F86"/>
    <w:rsid w:val="00C46575"/>
    <w:rsid w:val="00C467F0"/>
    <w:rsid w:val="00C477C4"/>
    <w:rsid w:val="00C50410"/>
    <w:rsid w:val="00C5057B"/>
    <w:rsid w:val="00C50A18"/>
    <w:rsid w:val="00C52F69"/>
    <w:rsid w:val="00C531AB"/>
    <w:rsid w:val="00C5333D"/>
    <w:rsid w:val="00C53994"/>
    <w:rsid w:val="00C55DA2"/>
    <w:rsid w:val="00C57C94"/>
    <w:rsid w:val="00C57CF5"/>
    <w:rsid w:val="00C60A95"/>
    <w:rsid w:val="00C61521"/>
    <w:rsid w:val="00C62D52"/>
    <w:rsid w:val="00C6417F"/>
    <w:rsid w:val="00C64AE4"/>
    <w:rsid w:val="00C66A2F"/>
    <w:rsid w:val="00C66BA7"/>
    <w:rsid w:val="00C71458"/>
    <w:rsid w:val="00C71B34"/>
    <w:rsid w:val="00C72172"/>
    <w:rsid w:val="00C72562"/>
    <w:rsid w:val="00C73D92"/>
    <w:rsid w:val="00C74298"/>
    <w:rsid w:val="00C75A42"/>
    <w:rsid w:val="00C76419"/>
    <w:rsid w:val="00C76876"/>
    <w:rsid w:val="00C7696F"/>
    <w:rsid w:val="00C76D9E"/>
    <w:rsid w:val="00C76E8B"/>
    <w:rsid w:val="00C7710F"/>
    <w:rsid w:val="00C777E9"/>
    <w:rsid w:val="00C77A88"/>
    <w:rsid w:val="00C80052"/>
    <w:rsid w:val="00C82AE8"/>
    <w:rsid w:val="00C83627"/>
    <w:rsid w:val="00C83B4F"/>
    <w:rsid w:val="00C84F5D"/>
    <w:rsid w:val="00C850AB"/>
    <w:rsid w:val="00C85B85"/>
    <w:rsid w:val="00C8792D"/>
    <w:rsid w:val="00C90932"/>
    <w:rsid w:val="00C919B6"/>
    <w:rsid w:val="00C928E9"/>
    <w:rsid w:val="00C941C2"/>
    <w:rsid w:val="00C95442"/>
    <w:rsid w:val="00C95F2D"/>
    <w:rsid w:val="00C96A88"/>
    <w:rsid w:val="00C97542"/>
    <w:rsid w:val="00CA0038"/>
    <w:rsid w:val="00CA1300"/>
    <w:rsid w:val="00CA137F"/>
    <w:rsid w:val="00CA3236"/>
    <w:rsid w:val="00CA42BC"/>
    <w:rsid w:val="00CA4EC4"/>
    <w:rsid w:val="00CA5256"/>
    <w:rsid w:val="00CA58AF"/>
    <w:rsid w:val="00CA6895"/>
    <w:rsid w:val="00CA6E3E"/>
    <w:rsid w:val="00CA7059"/>
    <w:rsid w:val="00CA748C"/>
    <w:rsid w:val="00CB00F8"/>
    <w:rsid w:val="00CB03D3"/>
    <w:rsid w:val="00CB1043"/>
    <w:rsid w:val="00CB1565"/>
    <w:rsid w:val="00CB20CA"/>
    <w:rsid w:val="00CB2EE0"/>
    <w:rsid w:val="00CB3664"/>
    <w:rsid w:val="00CB3B50"/>
    <w:rsid w:val="00CB60DC"/>
    <w:rsid w:val="00CB60EB"/>
    <w:rsid w:val="00CB624A"/>
    <w:rsid w:val="00CB71F5"/>
    <w:rsid w:val="00CB7B07"/>
    <w:rsid w:val="00CC04A0"/>
    <w:rsid w:val="00CC18AF"/>
    <w:rsid w:val="00CC2ED5"/>
    <w:rsid w:val="00CC377A"/>
    <w:rsid w:val="00CC38D9"/>
    <w:rsid w:val="00CC3BC8"/>
    <w:rsid w:val="00CC3C15"/>
    <w:rsid w:val="00CC3F70"/>
    <w:rsid w:val="00CC468A"/>
    <w:rsid w:val="00CC4DCB"/>
    <w:rsid w:val="00CC4FC0"/>
    <w:rsid w:val="00CC5EAF"/>
    <w:rsid w:val="00CC7533"/>
    <w:rsid w:val="00CC7E10"/>
    <w:rsid w:val="00CD16BB"/>
    <w:rsid w:val="00CD1E39"/>
    <w:rsid w:val="00CD3601"/>
    <w:rsid w:val="00CD372D"/>
    <w:rsid w:val="00CD496D"/>
    <w:rsid w:val="00CD4BC8"/>
    <w:rsid w:val="00CD4D64"/>
    <w:rsid w:val="00CD6CA7"/>
    <w:rsid w:val="00CD6DD9"/>
    <w:rsid w:val="00CD6FEB"/>
    <w:rsid w:val="00CD74C2"/>
    <w:rsid w:val="00CD7F15"/>
    <w:rsid w:val="00CE0F4F"/>
    <w:rsid w:val="00CE3E6D"/>
    <w:rsid w:val="00CE3F5A"/>
    <w:rsid w:val="00CE42FF"/>
    <w:rsid w:val="00CE4F12"/>
    <w:rsid w:val="00CE52A2"/>
    <w:rsid w:val="00CE630C"/>
    <w:rsid w:val="00CE6E01"/>
    <w:rsid w:val="00CE7AB8"/>
    <w:rsid w:val="00CE7FE3"/>
    <w:rsid w:val="00CF236C"/>
    <w:rsid w:val="00CF2525"/>
    <w:rsid w:val="00CF29BC"/>
    <w:rsid w:val="00CF300E"/>
    <w:rsid w:val="00CF3682"/>
    <w:rsid w:val="00CF3B52"/>
    <w:rsid w:val="00CF5392"/>
    <w:rsid w:val="00CF57FB"/>
    <w:rsid w:val="00CF5D38"/>
    <w:rsid w:val="00CF6E8A"/>
    <w:rsid w:val="00CF7559"/>
    <w:rsid w:val="00CF7A5F"/>
    <w:rsid w:val="00D00913"/>
    <w:rsid w:val="00D016B5"/>
    <w:rsid w:val="00D0376D"/>
    <w:rsid w:val="00D04289"/>
    <w:rsid w:val="00D042CB"/>
    <w:rsid w:val="00D054D6"/>
    <w:rsid w:val="00D05FB0"/>
    <w:rsid w:val="00D10341"/>
    <w:rsid w:val="00D1175F"/>
    <w:rsid w:val="00D14852"/>
    <w:rsid w:val="00D15CB9"/>
    <w:rsid w:val="00D16AEE"/>
    <w:rsid w:val="00D20122"/>
    <w:rsid w:val="00D20BC5"/>
    <w:rsid w:val="00D213F3"/>
    <w:rsid w:val="00D21586"/>
    <w:rsid w:val="00D22533"/>
    <w:rsid w:val="00D22D0F"/>
    <w:rsid w:val="00D23062"/>
    <w:rsid w:val="00D268A1"/>
    <w:rsid w:val="00D27485"/>
    <w:rsid w:val="00D33299"/>
    <w:rsid w:val="00D3367B"/>
    <w:rsid w:val="00D33F5C"/>
    <w:rsid w:val="00D3494C"/>
    <w:rsid w:val="00D376D2"/>
    <w:rsid w:val="00D40424"/>
    <w:rsid w:val="00D416BD"/>
    <w:rsid w:val="00D43C94"/>
    <w:rsid w:val="00D44048"/>
    <w:rsid w:val="00D4482C"/>
    <w:rsid w:val="00D44EAC"/>
    <w:rsid w:val="00D460DF"/>
    <w:rsid w:val="00D467C0"/>
    <w:rsid w:val="00D46CF0"/>
    <w:rsid w:val="00D47D50"/>
    <w:rsid w:val="00D47F3A"/>
    <w:rsid w:val="00D50817"/>
    <w:rsid w:val="00D519AF"/>
    <w:rsid w:val="00D519D7"/>
    <w:rsid w:val="00D51F0A"/>
    <w:rsid w:val="00D528EC"/>
    <w:rsid w:val="00D52CA5"/>
    <w:rsid w:val="00D53DC3"/>
    <w:rsid w:val="00D55022"/>
    <w:rsid w:val="00D553E0"/>
    <w:rsid w:val="00D55B8C"/>
    <w:rsid w:val="00D57160"/>
    <w:rsid w:val="00D57B11"/>
    <w:rsid w:val="00D57EE6"/>
    <w:rsid w:val="00D61799"/>
    <w:rsid w:val="00D6369C"/>
    <w:rsid w:val="00D641D0"/>
    <w:rsid w:val="00D643CA"/>
    <w:rsid w:val="00D64A6B"/>
    <w:rsid w:val="00D64C73"/>
    <w:rsid w:val="00D662FF"/>
    <w:rsid w:val="00D6673C"/>
    <w:rsid w:val="00D67781"/>
    <w:rsid w:val="00D71F27"/>
    <w:rsid w:val="00D72412"/>
    <w:rsid w:val="00D72626"/>
    <w:rsid w:val="00D72AA2"/>
    <w:rsid w:val="00D72BB7"/>
    <w:rsid w:val="00D7319F"/>
    <w:rsid w:val="00D7561A"/>
    <w:rsid w:val="00D76A19"/>
    <w:rsid w:val="00D812FC"/>
    <w:rsid w:val="00D81E1B"/>
    <w:rsid w:val="00D84ABF"/>
    <w:rsid w:val="00D856C0"/>
    <w:rsid w:val="00D9000D"/>
    <w:rsid w:val="00D90088"/>
    <w:rsid w:val="00D904D5"/>
    <w:rsid w:val="00D91376"/>
    <w:rsid w:val="00D9151B"/>
    <w:rsid w:val="00D91AA1"/>
    <w:rsid w:val="00D946E6"/>
    <w:rsid w:val="00D958E2"/>
    <w:rsid w:val="00D96F88"/>
    <w:rsid w:val="00D97897"/>
    <w:rsid w:val="00DA1531"/>
    <w:rsid w:val="00DA376D"/>
    <w:rsid w:val="00DA4D2D"/>
    <w:rsid w:val="00DA5310"/>
    <w:rsid w:val="00DA7963"/>
    <w:rsid w:val="00DA7FDE"/>
    <w:rsid w:val="00DB07D2"/>
    <w:rsid w:val="00DB0AD3"/>
    <w:rsid w:val="00DB0E33"/>
    <w:rsid w:val="00DB0FAA"/>
    <w:rsid w:val="00DB2223"/>
    <w:rsid w:val="00DB49F5"/>
    <w:rsid w:val="00DB6769"/>
    <w:rsid w:val="00DB67AE"/>
    <w:rsid w:val="00DB687F"/>
    <w:rsid w:val="00DB6B90"/>
    <w:rsid w:val="00DB7416"/>
    <w:rsid w:val="00DC1426"/>
    <w:rsid w:val="00DC2BC1"/>
    <w:rsid w:val="00DC2E68"/>
    <w:rsid w:val="00DC2E93"/>
    <w:rsid w:val="00DC3394"/>
    <w:rsid w:val="00DC446B"/>
    <w:rsid w:val="00DC7DEC"/>
    <w:rsid w:val="00DD029A"/>
    <w:rsid w:val="00DD1643"/>
    <w:rsid w:val="00DD171B"/>
    <w:rsid w:val="00DD21D6"/>
    <w:rsid w:val="00DD256D"/>
    <w:rsid w:val="00DD2BF3"/>
    <w:rsid w:val="00DD3373"/>
    <w:rsid w:val="00DD4EE5"/>
    <w:rsid w:val="00DD530F"/>
    <w:rsid w:val="00DD5735"/>
    <w:rsid w:val="00DD69B5"/>
    <w:rsid w:val="00DD71F9"/>
    <w:rsid w:val="00DD76D0"/>
    <w:rsid w:val="00DD7CFC"/>
    <w:rsid w:val="00DE1A31"/>
    <w:rsid w:val="00DE2440"/>
    <w:rsid w:val="00DE3307"/>
    <w:rsid w:val="00DE46CD"/>
    <w:rsid w:val="00DE5BE1"/>
    <w:rsid w:val="00DE670F"/>
    <w:rsid w:val="00DE71C2"/>
    <w:rsid w:val="00DE72F6"/>
    <w:rsid w:val="00DE755F"/>
    <w:rsid w:val="00DF04AE"/>
    <w:rsid w:val="00DF2636"/>
    <w:rsid w:val="00DF4402"/>
    <w:rsid w:val="00DF5BE9"/>
    <w:rsid w:val="00DF66A3"/>
    <w:rsid w:val="00DF777C"/>
    <w:rsid w:val="00E0075B"/>
    <w:rsid w:val="00E00D54"/>
    <w:rsid w:val="00E025A3"/>
    <w:rsid w:val="00E02B22"/>
    <w:rsid w:val="00E03DDD"/>
    <w:rsid w:val="00E04E24"/>
    <w:rsid w:val="00E0581A"/>
    <w:rsid w:val="00E058E7"/>
    <w:rsid w:val="00E078E3"/>
    <w:rsid w:val="00E110A7"/>
    <w:rsid w:val="00E12E69"/>
    <w:rsid w:val="00E15E3D"/>
    <w:rsid w:val="00E1632E"/>
    <w:rsid w:val="00E1733B"/>
    <w:rsid w:val="00E206EC"/>
    <w:rsid w:val="00E213A3"/>
    <w:rsid w:val="00E2176D"/>
    <w:rsid w:val="00E23B68"/>
    <w:rsid w:val="00E24077"/>
    <w:rsid w:val="00E25409"/>
    <w:rsid w:val="00E26269"/>
    <w:rsid w:val="00E26E85"/>
    <w:rsid w:val="00E30873"/>
    <w:rsid w:val="00E309AD"/>
    <w:rsid w:val="00E32400"/>
    <w:rsid w:val="00E32B02"/>
    <w:rsid w:val="00E33056"/>
    <w:rsid w:val="00E34E26"/>
    <w:rsid w:val="00E363AC"/>
    <w:rsid w:val="00E412AE"/>
    <w:rsid w:val="00E41872"/>
    <w:rsid w:val="00E418D8"/>
    <w:rsid w:val="00E45A09"/>
    <w:rsid w:val="00E45B27"/>
    <w:rsid w:val="00E4654B"/>
    <w:rsid w:val="00E46E17"/>
    <w:rsid w:val="00E47D7B"/>
    <w:rsid w:val="00E47F4A"/>
    <w:rsid w:val="00E50E08"/>
    <w:rsid w:val="00E5147D"/>
    <w:rsid w:val="00E51AA3"/>
    <w:rsid w:val="00E52755"/>
    <w:rsid w:val="00E55D1C"/>
    <w:rsid w:val="00E5702D"/>
    <w:rsid w:val="00E57098"/>
    <w:rsid w:val="00E57650"/>
    <w:rsid w:val="00E57EED"/>
    <w:rsid w:val="00E6114B"/>
    <w:rsid w:val="00E6120E"/>
    <w:rsid w:val="00E6179C"/>
    <w:rsid w:val="00E64267"/>
    <w:rsid w:val="00E65E6B"/>
    <w:rsid w:val="00E666C0"/>
    <w:rsid w:val="00E72CC5"/>
    <w:rsid w:val="00E7308D"/>
    <w:rsid w:val="00E75057"/>
    <w:rsid w:val="00E76342"/>
    <w:rsid w:val="00E76457"/>
    <w:rsid w:val="00E77A3C"/>
    <w:rsid w:val="00E828D1"/>
    <w:rsid w:val="00E82F7F"/>
    <w:rsid w:val="00E83A83"/>
    <w:rsid w:val="00E84B8D"/>
    <w:rsid w:val="00E84F49"/>
    <w:rsid w:val="00E86544"/>
    <w:rsid w:val="00E86A78"/>
    <w:rsid w:val="00E87FEA"/>
    <w:rsid w:val="00E902B1"/>
    <w:rsid w:val="00E9042B"/>
    <w:rsid w:val="00E90A61"/>
    <w:rsid w:val="00E90F5E"/>
    <w:rsid w:val="00E92C55"/>
    <w:rsid w:val="00E92E2C"/>
    <w:rsid w:val="00E9325D"/>
    <w:rsid w:val="00E93BD1"/>
    <w:rsid w:val="00E94620"/>
    <w:rsid w:val="00E94C0B"/>
    <w:rsid w:val="00E955EC"/>
    <w:rsid w:val="00E97737"/>
    <w:rsid w:val="00EA090F"/>
    <w:rsid w:val="00EA1283"/>
    <w:rsid w:val="00EA16D7"/>
    <w:rsid w:val="00EA1A19"/>
    <w:rsid w:val="00EA1E4B"/>
    <w:rsid w:val="00EA27A2"/>
    <w:rsid w:val="00EA2CA4"/>
    <w:rsid w:val="00EA3776"/>
    <w:rsid w:val="00EA40FA"/>
    <w:rsid w:val="00EA51EB"/>
    <w:rsid w:val="00EA5420"/>
    <w:rsid w:val="00EA5837"/>
    <w:rsid w:val="00EA58EC"/>
    <w:rsid w:val="00EA5BE1"/>
    <w:rsid w:val="00EA6009"/>
    <w:rsid w:val="00EA624D"/>
    <w:rsid w:val="00EA6E8D"/>
    <w:rsid w:val="00EA76F6"/>
    <w:rsid w:val="00EA77CD"/>
    <w:rsid w:val="00EB1F7B"/>
    <w:rsid w:val="00EB3368"/>
    <w:rsid w:val="00EB3675"/>
    <w:rsid w:val="00EB3DAB"/>
    <w:rsid w:val="00EB3F56"/>
    <w:rsid w:val="00EB4A11"/>
    <w:rsid w:val="00EB4ADC"/>
    <w:rsid w:val="00EB4DA3"/>
    <w:rsid w:val="00EB5375"/>
    <w:rsid w:val="00EB6533"/>
    <w:rsid w:val="00EB72CD"/>
    <w:rsid w:val="00EB7DDD"/>
    <w:rsid w:val="00EC0101"/>
    <w:rsid w:val="00EC08A7"/>
    <w:rsid w:val="00EC2C8C"/>
    <w:rsid w:val="00EC2F32"/>
    <w:rsid w:val="00EC6056"/>
    <w:rsid w:val="00EC6FCD"/>
    <w:rsid w:val="00ED0003"/>
    <w:rsid w:val="00ED033F"/>
    <w:rsid w:val="00ED0FF9"/>
    <w:rsid w:val="00ED12C3"/>
    <w:rsid w:val="00ED388A"/>
    <w:rsid w:val="00ED441B"/>
    <w:rsid w:val="00ED5085"/>
    <w:rsid w:val="00ED5752"/>
    <w:rsid w:val="00ED6C0E"/>
    <w:rsid w:val="00EE02E4"/>
    <w:rsid w:val="00EE22D6"/>
    <w:rsid w:val="00EE29C5"/>
    <w:rsid w:val="00EE2CD1"/>
    <w:rsid w:val="00EE303F"/>
    <w:rsid w:val="00EE549D"/>
    <w:rsid w:val="00EE68B4"/>
    <w:rsid w:val="00EE68E6"/>
    <w:rsid w:val="00EF09D8"/>
    <w:rsid w:val="00EF16F1"/>
    <w:rsid w:val="00EF304A"/>
    <w:rsid w:val="00EF3E48"/>
    <w:rsid w:val="00EF47D5"/>
    <w:rsid w:val="00EF4BE7"/>
    <w:rsid w:val="00EF5D46"/>
    <w:rsid w:val="00EF5DD0"/>
    <w:rsid w:val="00EF6766"/>
    <w:rsid w:val="00EF7AE8"/>
    <w:rsid w:val="00F003EC"/>
    <w:rsid w:val="00F00CDB"/>
    <w:rsid w:val="00F0116C"/>
    <w:rsid w:val="00F0311C"/>
    <w:rsid w:val="00F0429A"/>
    <w:rsid w:val="00F04B65"/>
    <w:rsid w:val="00F05079"/>
    <w:rsid w:val="00F06336"/>
    <w:rsid w:val="00F06C1C"/>
    <w:rsid w:val="00F076BC"/>
    <w:rsid w:val="00F1339A"/>
    <w:rsid w:val="00F138BA"/>
    <w:rsid w:val="00F13EE9"/>
    <w:rsid w:val="00F15110"/>
    <w:rsid w:val="00F15A6A"/>
    <w:rsid w:val="00F15E42"/>
    <w:rsid w:val="00F206EB"/>
    <w:rsid w:val="00F208A8"/>
    <w:rsid w:val="00F20F42"/>
    <w:rsid w:val="00F2136B"/>
    <w:rsid w:val="00F216EF"/>
    <w:rsid w:val="00F21759"/>
    <w:rsid w:val="00F219ED"/>
    <w:rsid w:val="00F21D50"/>
    <w:rsid w:val="00F21F7B"/>
    <w:rsid w:val="00F235A6"/>
    <w:rsid w:val="00F23E4C"/>
    <w:rsid w:val="00F243C1"/>
    <w:rsid w:val="00F24C06"/>
    <w:rsid w:val="00F25046"/>
    <w:rsid w:val="00F26D48"/>
    <w:rsid w:val="00F3017B"/>
    <w:rsid w:val="00F30AAB"/>
    <w:rsid w:val="00F31A1B"/>
    <w:rsid w:val="00F31C2A"/>
    <w:rsid w:val="00F328E2"/>
    <w:rsid w:val="00F33137"/>
    <w:rsid w:val="00F353E9"/>
    <w:rsid w:val="00F35D82"/>
    <w:rsid w:val="00F367D4"/>
    <w:rsid w:val="00F368A0"/>
    <w:rsid w:val="00F37B94"/>
    <w:rsid w:val="00F411C2"/>
    <w:rsid w:val="00F42196"/>
    <w:rsid w:val="00F430CD"/>
    <w:rsid w:val="00F43C51"/>
    <w:rsid w:val="00F44332"/>
    <w:rsid w:val="00F44343"/>
    <w:rsid w:val="00F44EDB"/>
    <w:rsid w:val="00F45011"/>
    <w:rsid w:val="00F473B2"/>
    <w:rsid w:val="00F47A86"/>
    <w:rsid w:val="00F50F05"/>
    <w:rsid w:val="00F532C5"/>
    <w:rsid w:val="00F5356D"/>
    <w:rsid w:val="00F53F8F"/>
    <w:rsid w:val="00F54C58"/>
    <w:rsid w:val="00F55CB7"/>
    <w:rsid w:val="00F56295"/>
    <w:rsid w:val="00F57B3B"/>
    <w:rsid w:val="00F6038E"/>
    <w:rsid w:val="00F6040D"/>
    <w:rsid w:val="00F60656"/>
    <w:rsid w:val="00F60C6B"/>
    <w:rsid w:val="00F61410"/>
    <w:rsid w:val="00F61ED3"/>
    <w:rsid w:val="00F62953"/>
    <w:rsid w:val="00F636E3"/>
    <w:rsid w:val="00F67508"/>
    <w:rsid w:val="00F67734"/>
    <w:rsid w:val="00F7092A"/>
    <w:rsid w:val="00F70DB4"/>
    <w:rsid w:val="00F70E3C"/>
    <w:rsid w:val="00F7210F"/>
    <w:rsid w:val="00F72F7C"/>
    <w:rsid w:val="00F737B7"/>
    <w:rsid w:val="00F73B5F"/>
    <w:rsid w:val="00F74EBB"/>
    <w:rsid w:val="00F75147"/>
    <w:rsid w:val="00F75906"/>
    <w:rsid w:val="00F75C66"/>
    <w:rsid w:val="00F76695"/>
    <w:rsid w:val="00F77394"/>
    <w:rsid w:val="00F77606"/>
    <w:rsid w:val="00F77F76"/>
    <w:rsid w:val="00F8152F"/>
    <w:rsid w:val="00F81DA1"/>
    <w:rsid w:val="00F84245"/>
    <w:rsid w:val="00F84AAE"/>
    <w:rsid w:val="00F855EF"/>
    <w:rsid w:val="00F864C1"/>
    <w:rsid w:val="00F86626"/>
    <w:rsid w:val="00F868F0"/>
    <w:rsid w:val="00F87EE2"/>
    <w:rsid w:val="00F92567"/>
    <w:rsid w:val="00F92B81"/>
    <w:rsid w:val="00F92BB5"/>
    <w:rsid w:val="00F934AF"/>
    <w:rsid w:val="00F942FF"/>
    <w:rsid w:val="00F94EBD"/>
    <w:rsid w:val="00F96296"/>
    <w:rsid w:val="00F963D2"/>
    <w:rsid w:val="00F96738"/>
    <w:rsid w:val="00F97C86"/>
    <w:rsid w:val="00FA021A"/>
    <w:rsid w:val="00FA0726"/>
    <w:rsid w:val="00FA1860"/>
    <w:rsid w:val="00FA30FB"/>
    <w:rsid w:val="00FA37A6"/>
    <w:rsid w:val="00FA404E"/>
    <w:rsid w:val="00FA4193"/>
    <w:rsid w:val="00FA47F2"/>
    <w:rsid w:val="00FA4CA1"/>
    <w:rsid w:val="00FA5746"/>
    <w:rsid w:val="00FB0FBE"/>
    <w:rsid w:val="00FB1DF8"/>
    <w:rsid w:val="00FB2C83"/>
    <w:rsid w:val="00FB321A"/>
    <w:rsid w:val="00FB34FF"/>
    <w:rsid w:val="00FB4643"/>
    <w:rsid w:val="00FB5C27"/>
    <w:rsid w:val="00FC0404"/>
    <w:rsid w:val="00FC172C"/>
    <w:rsid w:val="00FC2081"/>
    <w:rsid w:val="00FC285D"/>
    <w:rsid w:val="00FC4F4E"/>
    <w:rsid w:val="00FC5A90"/>
    <w:rsid w:val="00FC692F"/>
    <w:rsid w:val="00FC77A2"/>
    <w:rsid w:val="00FC7950"/>
    <w:rsid w:val="00FC7BB9"/>
    <w:rsid w:val="00FD01A9"/>
    <w:rsid w:val="00FD062D"/>
    <w:rsid w:val="00FD122C"/>
    <w:rsid w:val="00FD2050"/>
    <w:rsid w:val="00FD33B6"/>
    <w:rsid w:val="00FD3C17"/>
    <w:rsid w:val="00FD4D77"/>
    <w:rsid w:val="00FD53C4"/>
    <w:rsid w:val="00FD5CE6"/>
    <w:rsid w:val="00FE1BDF"/>
    <w:rsid w:val="00FE1C68"/>
    <w:rsid w:val="00FE2B88"/>
    <w:rsid w:val="00FE317D"/>
    <w:rsid w:val="00FE6267"/>
    <w:rsid w:val="00FF1E12"/>
    <w:rsid w:val="00FF21E4"/>
    <w:rsid w:val="00FF325A"/>
    <w:rsid w:val="00FF3CAA"/>
    <w:rsid w:val="00FF5025"/>
    <w:rsid w:val="00FF60E7"/>
    <w:rsid w:val="00FF67D3"/>
    <w:rsid w:val="00FF7511"/>
    <w:rsid w:val="00FF75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71567"/>
  </w:style>
  <w:style w:type="paragraph" w:styleId="Nadpis1">
    <w:name w:val="heading 1"/>
    <w:basedOn w:val="Normlny"/>
    <w:next w:val="Normlny"/>
    <w:link w:val="Nadpis1Char"/>
    <w:uiPriority w:val="9"/>
    <w:qFormat/>
    <w:rsid w:val="0017156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171567"/>
    <w:pPr>
      <w:keepNext/>
      <w:spacing w:before="240" w:after="60"/>
      <w:outlineLvl w:val="1"/>
    </w:pPr>
    <w:rPr>
      <w:rFonts w:ascii="Arial" w:hAnsi="Arial"/>
      <w:b/>
      <w:bCs/>
      <w:i/>
      <w:iCs/>
      <w:sz w:val="28"/>
      <w:szCs w:val="28"/>
    </w:rPr>
  </w:style>
  <w:style w:type="paragraph" w:styleId="Nadpis3">
    <w:name w:val="heading 3"/>
    <w:basedOn w:val="Normlny"/>
    <w:next w:val="Normlny"/>
    <w:link w:val="Nadpis3Char"/>
    <w:uiPriority w:val="9"/>
    <w:qFormat/>
    <w:rsid w:val="00951304"/>
    <w:pPr>
      <w:keepNext/>
      <w:spacing w:before="240" w:after="60"/>
      <w:outlineLvl w:val="2"/>
    </w:pPr>
    <w:rPr>
      <w:rFonts w:ascii="Arial" w:hAnsi="Arial"/>
      <w:b/>
      <w:bCs/>
      <w:sz w:val="26"/>
      <w:szCs w:val="26"/>
    </w:rPr>
  </w:style>
  <w:style w:type="paragraph" w:styleId="Nadpis4">
    <w:name w:val="heading 4"/>
    <w:basedOn w:val="Normlny"/>
    <w:next w:val="Normlny"/>
    <w:link w:val="Nadpis4Char"/>
    <w:uiPriority w:val="9"/>
    <w:qFormat/>
    <w:rsid w:val="000F1AAB"/>
    <w:pPr>
      <w:keepNext/>
      <w:jc w:val="both"/>
      <w:outlineLvl w:val="3"/>
    </w:pPr>
    <w:rPr>
      <w:rFonts w:ascii="Arial" w:hAnsi="Arial"/>
      <w:b/>
      <w:sz w:val="20"/>
    </w:rPr>
  </w:style>
  <w:style w:type="character" w:default="1" w:styleId="Predvolenpsmoodseku">
    <w:name w:val="Default Paragraph Font"/>
    <w:aliases w:val="Char Char Char Char Char Char Char Char Char Char Char Char Char Char Char Char Char Char Char Char Char Char Char Char Char Char Char Char Char Char Char Char Char Char Char Char Char Char Char Char Char Char"/>
    <w:uiPriority w:val="1"/>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A35031"/>
    <w:rPr>
      <w:rFonts w:ascii="Arial" w:hAnsi="Arial" w:cs="Times New Roman"/>
      <w:b/>
      <w:kern w:val="32"/>
      <w:sz w:val="32"/>
      <w:lang w:val="x-none" w:eastAsia="cs-CZ"/>
    </w:rPr>
  </w:style>
  <w:style w:type="character" w:customStyle="1" w:styleId="Nadpis2Char">
    <w:name w:val="Nadpis 2 Char"/>
    <w:basedOn w:val="Predvolenpsmoodseku"/>
    <w:link w:val="Nadpis2"/>
    <w:uiPriority w:val="9"/>
    <w:locked/>
    <w:rsid w:val="00A35031"/>
    <w:rPr>
      <w:rFonts w:ascii="Arial" w:hAnsi="Arial" w:cs="Times New Roman"/>
      <w:b/>
      <w:i/>
      <w:sz w:val="28"/>
      <w:lang w:val="x-none" w:eastAsia="cs-CZ"/>
    </w:rPr>
  </w:style>
  <w:style w:type="character" w:customStyle="1" w:styleId="Nadpis3Char">
    <w:name w:val="Nadpis 3 Char"/>
    <w:basedOn w:val="Predvolenpsmoodseku"/>
    <w:link w:val="Nadpis3"/>
    <w:uiPriority w:val="9"/>
    <w:locked/>
    <w:rsid w:val="00A35031"/>
    <w:rPr>
      <w:rFonts w:ascii="Arial" w:hAnsi="Arial" w:cs="Times New Roman"/>
      <w:b/>
      <w:sz w:val="26"/>
      <w:lang w:val="x-none" w:eastAsia="cs-CZ"/>
    </w:rPr>
  </w:style>
  <w:style w:type="character" w:customStyle="1" w:styleId="Nadpis4Char">
    <w:name w:val="Nadpis 4 Char"/>
    <w:basedOn w:val="Predvolenpsmoodseku"/>
    <w:link w:val="Nadpis4"/>
    <w:uiPriority w:val="9"/>
    <w:locked/>
    <w:rsid w:val="00A35031"/>
    <w:rPr>
      <w:rFonts w:ascii="Arial" w:hAnsi="Arial" w:cs="Times New Roman"/>
      <w:b/>
      <w:sz w:val="24"/>
    </w:rPr>
  </w:style>
  <w:style w:type="paragraph" w:customStyle="1" w:styleId="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w:basedOn w:val="Normlny"/>
    <w:rsid w:val="00313FFD"/>
    <w:pPr>
      <w:spacing w:after="160" w:line="240" w:lineRule="exact"/>
    </w:pPr>
    <w:rPr>
      <w:rFonts w:ascii="Tahoma" w:hAnsi="Tahoma"/>
      <w:sz w:val="20"/>
      <w:lang w:val="en-US" w:eastAsia="en-US"/>
    </w:rPr>
  </w:style>
  <w:style w:type="paragraph" w:customStyle="1" w:styleId="tl2">
    <w:name w:val="Štýl2"/>
    <w:basedOn w:val="Nadpis3"/>
    <w:rsid w:val="00951304"/>
    <w:pPr>
      <w:spacing w:before="100" w:beforeAutospacing="1" w:after="100" w:afterAutospacing="1"/>
    </w:pPr>
    <w:rPr>
      <w:rFonts w:ascii="Book Antiqua" w:hAnsi="Book Antiqua"/>
      <w:sz w:val="22"/>
      <w:szCs w:val="22"/>
    </w:rPr>
  </w:style>
  <w:style w:type="paragraph" w:customStyle="1" w:styleId="tl3">
    <w:name w:val="Štýl3"/>
    <w:basedOn w:val="Nadpis3"/>
    <w:autoRedefine/>
    <w:rsid w:val="00951304"/>
    <w:pPr>
      <w:numPr>
        <w:ilvl w:val="2"/>
        <w:numId w:val="2"/>
      </w:numPr>
      <w:spacing w:before="100" w:beforeAutospacing="1" w:after="100" w:afterAutospacing="1"/>
    </w:pPr>
    <w:rPr>
      <w:rFonts w:ascii="Book Antiqua" w:hAnsi="Book Antiqua"/>
      <w:sz w:val="22"/>
      <w:szCs w:val="22"/>
    </w:rPr>
  </w:style>
  <w:style w:type="paragraph" w:styleId="Hlavika">
    <w:name w:val="header"/>
    <w:basedOn w:val="Normlny"/>
    <w:link w:val="HlavikaChar"/>
    <w:uiPriority w:val="99"/>
    <w:rsid w:val="00171567"/>
    <w:pPr>
      <w:tabs>
        <w:tab w:val="center" w:pos="4536"/>
        <w:tab w:val="right" w:pos="9072"/>
      </w:tabs>
    </w:pPr>
  </w:style>
  <w:style w:type="character" w:customStyle="1" w:styleId="HlavikaChar">
    <w:name w:val="Hlavička Char"/>
    <w:basedOn w:val="Predvolenpsmoodseku"/>
    <w:link w:val="Hlavika"/>
    <w:uiPriority w:val="99"/>
    <w:locked/>
    <w:rsid w:val="00B92076"/>
    <w:rPr>
      <w:rFonts w:ascii="Courier" w:hAnsi="Courier" w:cs="Times New Roman"/>
      <w:sz w:val="24"/>
      <w:lang w:val="x-none" w:eastAsia="cs-CZ"/>
    </w:rPr>
  </w:style>
  <w:style w:type="paragraph" w:styleId="Pta">
    <w:name w:val="footer"/>
    <w:basedOn w:val="Normlny"/>
    <w:link w:val="PtaChar"/>
    <w:uiPriority w:val="99"/>
    <w:rsid w:val="00171567"/>
    <w:pPr>
      <w:tabs>
        <w:tab w:val="center" w:pos="4536"/>
        <w:tab w:val="right" w:pos="9072"/>
      </w:tabs>
    </w:pPr>
  </w:style>
  <w:style w:type="character" w:customStyle="1" w:styleId="PtaChar">
    <w:name w:val="Päta Char"/>
    <w:basedOn w:val="Predvolenpsmoodseku"/>
    <w:link w:val="Pta"/>
    <w:uiPriority w:val="99"/>
    <w:locked/>
    <w:rsid w:val="00B92076"/>
    <w:rPr>
      <w:rFonts w:ascii="Courier" w:hAnsi="Courier" w:cs="Times New Roman"/>
      <w:sz w:val="24"/>
      <w:lang w:val="x-none" w:eastAsia="cs-CZ"/>
    </w:rPr>
  </w:style>
  <w:style w:type="paragraph" w:styleId="Zkladntext">
    <w:name w:val="Body Text"/>
    <w:basedOn w:val="Normlny"/>
    <w:link w:val="ZkladntextChar"/>
    <w:uiPriority w:val="99"/>
    <w:rsid w:val="00171567"/>
    <w:pPr>
      <w:spacing w:after="120"/>
    </w:pPr>
  </w:style>
  <w:style w:type="character" w:customStyle="1" w:styleId="ZkladntextChar">
    <w:name w:val="Základný text Char"/>
    <w:basedOn w:val="Predvolenpsmoodseku"/>
    <w:link w:val="Zkladntext"/>
    <w:uiPriority w:val="99"/>
    <w:locked/>
    <w:rsid w:val="00A35031"/>
    <w:rPr>
      <w:rFonts w:ascii="Courier" w:hAnsi="Courier" w:cs="Times New Roman"/>
      <w:sz w:val="24"/>
      <w:lang w:val="x-none" w:eastAsia="cs-CZ"/>
    </w:rPr>
  </w:style>
  <w:style w:type="paragraph" w:styleId="Zarkazkladnhotextu">
    <w:name w:val="Body Text Indent"/>
    <w:basedOn w:val="Normlny"/>
    <w:link w:val="ZarkazkladnhotextuChar"/>
    <w:uiPriority w:val="99"/>
    <w:rsid w:val="00171567"/>
    <w:pPr>
      <w:spacing w:after="120"/>
      <w:ind w:left="283"/>
    </w:pPr>
  </w:style>
  <w:style w:type="character" w:customStyle="1" w:styleId="ZarkazkladnhotextuChar">
    <w:name w:val="Zarážka základného textu Char"/>
    <w:basedOn w:val="Predvolenpsmoodseku"/>
    <w:link w:val="Zarkazkladnhotextu"/>
    <w:uiPriority w:val="99"/>
    <w:semiHidden/>
    <w:locked/>
    <w:rPr>
      <w:rFonts w:ascii="Courier" w:hAnsi="Courier" w:cs="Times New Roman"/>
      <w:sz w:val="24"/>
      <w:lang w:val="x-none" w:eastAsia="cs-CZ"/>
    </w:rPr>
  </w:style>
  <w:style w:type="paragraph" w:customStyle="1" w:styleId="Zkladntext0">
    <w:name w:val="Základní text"/>
    <w:rsid w:val="00171567"/>
    <w:pPr>
      <w:widowControl w:val="0"/>
    </w:pPr>
    <w:rPr>
      <w:color w:val="000000"/>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f"/>
    <w:basedOn w:val="Normlny"/>
    <w:link w:val="TextpoznmkypodiarouChar"/>
    <w:uiPriority w:val="99"/>
    <w:qFormat/>
    <w:rsid w:val="00171567"/>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f Char"/>
    <w:basedOn w:val="Predvolenpsmoodseku"/>
    <w:link w:val="Textpoznmkypodiarou"/>
    <w:uiPriority w:val="99"/>
    <w:locked/>
    <w:rsid w:val="00EF4BE7"/>
    <w:rPr>
      <w:rFonts w:cs="Times New Roman"/>
      <w:sz w:val="24"/>
      <w:lang w:val="x-none" w:eastAsia="cs-CZ"/>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uiPriority w:val="99"/>
    <w:rsid w:val="00171567"/>
    <w:rPr>
      <w:rFonts w:cs="Times New Roman"/>
      <w:vertAlign w:val="superscript"/>
    </w:rPr>
  </w:style>
  <w:style w:type="paragraph" w:styleId="Textbubliny">
    <w:name w:val="Balloon Text"/>
    <w:basedOn w:val="Normlny"/>
    <w:link w:val="TextbublinyChar"/>
    <w:uiPriority w:val="99"/>
    <w:semiHidden/>
    <w:rsid w:val="00097CE1"/>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cs-CZ"/>
    </w:rPr>
  </w:style>
  <w:style w:type="paragraph" w:customStyle="1" w:styleId="xl35">
    <w:name w:val="xl35"/>
    <w:basedOn w:val="Normlny"/>
    <w:rsid w:val="00EA090F"/>
    <w:pPr>
      <w:spacing w:before="100" w:beforeAutospacing="1" w:after="100" w:afterAutospacing="1"/>
      <w:jc w:val="right"/>
    </w:pPr>
    <w:rPr>
      <w:rFonts w:ascii="Garamond" w:hAnsi="Garamond"/>
      <w:i/>
      <w:iCs/>
      <w:sz w:val="16"/>
      <w:szCs w:val="16"/>
    </w:rPr>
  </w:style>
  <w:style w:type="paragraph" w:customStyle="1" w:styleId="CharCharChar2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w:basedOn w:val="Normlny"/>
    <w:rsid w:val="001B3DD8"/>
    <w:pPr>
      <w:spacing w:after="160" w:line="240" w:lineRule="exact"/>
    </w:pPr>
    <w:rPr>
      <w:rFonts w:ascii="Tahoma" w:hAnsi="Tahoma"/>
      <w:sz w:val="20"/>
      <w:lang w:val="en-US" w:eastAsia="en-US"/>
    </w:rPr>
  </w:style>
  <w:style w:type="paragraph" w:customStyle="1" w:styleId="CharChar">
    <w:name w:val="Char Char"/>
    <w:basedOn w:val="Normlny"/>
    <w:rsid w:val="00842443"/>
    <w:pPr>
      <w:spacing w:after="160" w:line="240" w:lineRule="exact"/>
    </w:pPr>
    <w:rPr>
      <w:rFonts w:ascii="Tahoma" w:hAnsi="Tahoma"/>
      <w:sz w:val="20"/>
      <w:lang w:val="en-US" w:eastAsia="en-US"/>
    </w:rPr>
  </w:style>
  <w:style w:type="paragraph" w:styleId="Zkladntext3">
    <w:name w:val="Body Text 3"/>
    <w:basedOn w:val="Normlny"/>
    <w:link w:val="Zkladntext3Char"/>
    <w:uiPriority w:val="99"/>
    <w:rsid w:val="00ED5752"/>
    <w:pPr>
      <w:spacing w:after="120"/>
    </w:pPr>
    <w:rPr>
      <w:sz w:val="16"/>
      <w:szCs w:val="16"/>
    </w:rPr>
  </w:style>
  <w:style w:type="character" w:customStyle="1" w:styleId="Zkladntext3Char">
    <w:name w:val="Základný text 3 Char"/>
    <w:basedOn w:val="Predvolenpsmoodseku"/>
    <w:link w:val="Zkladntext3"/>
    <w:uiPriority w:val="99"/>
    <w:semiHidden/>
    <w:locked/>
    <w:rPr>
      <w:rFonts w:ascii="Courier" w:hAnsi="Courier" w:cs="Times New Roman"/>
      <w:sz w:val="16"/>
      <w:szCs w:val="16"/>
      <w:lang w:val="x-none" w:eastAsia="cs-CZ"/>
    </w:rPr>
  </w:style>
  <w:style w:type="paragraph" w:customStyle="1" w:styleId="CharCharCharCharCharCharCharChar">
    <w:name w:val="Char Char Char Char Char Char Char Char"/>
    <w:basedOn w:val="Normlny"/>
    <w:rsid w:val="00037C42"/>
    <w:pPr>
      <w:spacing w:after="160" w:line="240" w:lineRule="exact"/>
    </w:pPr>
    <w:rPr>
      <w:rFonts w:ascii="Tahoma" w:hAnsi="Tahoma"/>
      <w:sz w:val="20"/>
      <w:lang w:val="en-US" w:eastAsia="en-US"/>
    </w:rPr>
  </w:style>
  <w:style w:type="character" w:styleId="Odkaznakomentr">
    <w:name w:val="annotation reference"/>
    <w:basedOn w:val="Predvolenpsmoodseku"/>
    <w:uiPriority w:val="99"/>
    <w:semiHidden/>
    <w:rsid w:val="00D553E0"/>
    <w:rPr>
      <w:rFonts w:cs="Times New Roman"/>
      <w:sz w:val="16"/>
    </w:rPr>
  </w:style>
  <w:style w:type="paragraph" w:styleId="Textkomentra">
    <w:name w:val="annotation text"/>
    <w:basedOn w:val="Normlny"/>
    <w:link w:val="TextkomentraChar"/>
    <w:uiPriority w:val="99"/>
    <w:semiHidden/>
    <w:rsid w:val="00D553E0"/>
    <w:rPr>
      <w:sz w:val="20"/>
    </w:rPr>
  </w:style>
  <w:style w:type="character" w:customStyle="1" w:styleId="TextkomentraChar">
    <w:name w:val="Text komentára Char"/>
    <w:basedOn w:val="Predvolenpsmoodseku"/>
    <w:link w:val="Textkomentra"/>
    <w:uiPriority w:val="99"/>
    <w:semiHidden/>
    <w:locked/>
    <w:rPr>
      <w:rFonts w:ascii="Courier" w:hAnsi="Courier" w:cs="Times New Roman"/>
      <w:lang w:val="x-none" w:eastAsia="cs-CZ"/>
    </w:rPr>
  </w:style>
  <w:style w:type="paragraph" w:styleId="Predmetkomentra">
    <w:name w:val="annotation subject"/>
    <w:basedOn w:val="Textkomentra"/>
    <w:next w:val="Textkomentra"/>
    <w:link w:val="PredmetkomentraChar"/>
    <w:uiPriority w:val="99"/>
    <w:semiHidden/>
    <w:rsid w:val="00D553E0"/>
    <w:rPr>
      <w:b/>
      <w:bCs/>
    </w:rPr>
  </w:style>
  <w:style w:type="character" w:customStyle="1" w:styleId="PredmetkomentraChar">
    <w:name w:val="Predmet komentára Char"/>
    <w:basedOn w:val="TextkomentraChar"/>
    <w:link w:val="Predmetkomentra"/>
    <w:uiPriority w:val="99"/>
    <w:semiHidden/>
    <w:locked/>
    <w:rPr>
      <w:rFonts w:ascii="Courier" w:hAnsi="Courier" w:cs="Times New Roman"/>
      <w:b/>
      <w:bCs/>
      <w:lang w:val="x-none" w:eastAsia="cs-CZ"/>
    </w:rPr>
  </w:style>
  <w:style w:type="paragraph" w:customStyle="1" w:styleId="INGBodyText">
    <w:name w:val="ING Body Text"/>
    <w:basedOn w:val="Normlny"/>
    <w:rsid w:val="00C35EFE"/>
    <w:pPr>
      <w:spacing w:after="160" w:line="280" w:lineRule="exact"/>
      <w:jc w:val="both"/>
    </w:pPr>
    <w:rPr>
      <w:rFonts w:ascii="Arial" w:hAnsi="Arial"/>
      <w:color w:val="000000"/>
      <w:sz w:val="19"/>
      <w:lang w:val="en-GB" w:eastAsia="en-US"/>
    </w:rPr>
  </w:style>
  <w:style w:type="paragraph" w:customStyle="1" w:styleId="CharCharCharCharCharCharCharCharCharCharCharCharCharCharCharCharChar">
    <w:name w:val="Char Char Char Char Char Char Char Char Char Char Char Char Char Char Char Char Char"/>
    <w:basedOn w:val="Normlny"/>
    <w:rsid w:val="008F338D"/>
    <w:pPr>
      <w:spacing w:after="160" w:line="240" w:lineRule="exact"/>
    </w:pPr>
    <w:rPr>
      <w:rFonts w:ascii="Tahoma" w:hAnsi="Tahoma"/>
      <w:sz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rsid w:val="008830EE"/>
    <w:pPr>
      <w:spacing w:after="160" w:line="240" w:lineRule="exact"/>
    </w:pPr>
    <w:rPr>
      <w:rFonts w:ascii="Tahoma" w:hAnsi="Tahoma"/>
      <w:sz w:val="20"/>
      <w:lang w:val="en-US" w:eastAsia="en-US"/>
    </w:rPr>
  </w:style>
  <w:style w:type="character" w:styleId="slostrany">
    <w:name w:val="page number"/>
    <w:basedOn w:val="Predvolenpsmoodseku"/>
    <w:uiPriority w:val="99"/>
    <w:rsid w:val="001722DA"/>
    <w:rPr>
      <w:rFonts w:cs="Times New Roman"/>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rsid w:val="00EF6766"/>
    <w:pPr>
      <w:spacing w:after="160" w:line="240" w:lineRule="exact"/>
    </w:pPr>
    <w:rPr>
      <w:rFonts w:ascii="Tahoma" w:hAnsi="Tahoma"/>
      <w:sz w:val="20"/>
      <w:lang w:val="en-US" w:eastAsia="en-US"/>
    </w:rPr>
  </w:style>
  <w:style w:type="paragraph" w:customStyle="1" w:styleId="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w:basedOn w:val="Normlny"/>
    <w:rsid w:val="008D1995"/>
    <w:pPr>
      <w:spacing w:after="160" w:line="240" w:lineRule="exact"/>
    </w:pPr>
    <w:rPr>
      <w:rFonts w:ascii="Tahoma" w:hAnsi="Tahoma"/>
      <w:sz w:val="20"/>
      <w:lang w:val="en-US" w:eastAsia="en-US"/>
    </w:rPr>
  </w:style>
  <w:style w:type="paragraph" w:styleId="Zarkazkladnhotextu2">
    <w:name w:val="Body Text Indent 2"/>
    <w:basedOn w:val="Normlny"/>
    <w:link w:val="Zarkazkladnhotextu2Char"/>
    <w:uiPriority w:val="99"/>
    <w:rsid w:val="000F1AA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Pr>
      <w:rFonts w:ascii="Courier" w:hAnsi="Courier" w:cs="Times New Roman"/>
      <w:sz w:val="24"/>
      <w:lang w:val="x-none" w:eastAsia="cs-CZ"/>
    </w:rPr>
  </w:style>
  <w:style w:type="paragraph" w:styleId="Zkladntext2">
    <w:name w:val="Body Text 2"/>
    <w:basedOn w:val="Normlny"/>
    <w:link w:val="Zkladntext2Char"/>
    <w:uiPriority w:val="99"/>
    <w:rsid w:val="000F1AAB"/>
    <w:pPr>
      <w:spacing w:after="120" w:line="480" w:lineRule="auto"/>
    </w:pPr>
  </w:style>
  <w:style w:type="character" w:customStyle="1" w:styleId="Zkladntext2Char">
    <w:name w:val="Základný text 2 Char"/>
    <w:basedOn w:val="Predvolenpsmoodseku"/>
    <w:link w:val="Zkladntext2"/>
    <w:uiPriority w:val="99"/>
    <w:locked/>
    <w:rsid w:val="00A35031"/>
    <w:rPr>
      <w:rFonts w:cs="Times New Roman"/>
      <w:sz w:val="24"/>
    </w:rPr>
  </w:style>
  <w:style w:type="paragraph" w:customStyle="1" w:styleId="CharCharCharCharCharCharCharCharCharCharCharCharCharCharCharCharCharCharCharCharCharCharChar1CharCharCharCharChar">
    <w:name w:val="Char Char Char Char Char Char Char Char Char Char Char Char Char Char Char Char Char Char Char Char Char Char Char1 Char Char Char Char Char"/>
    <w:basedOn w:val="Normlny"/>
    <w:rsid w:val="000F1AAB"/>
    <w:pPr>
      <w:spacing w:after="160" w:line="240" w:lineRule="exact"/>
    </w:pPr>
    <w:rPr>
      <w:rFonts w:ascii="Tahoma" w:hAnsi="Tahoma" w:cs="Tahoma"/>
      <w:sz w:val="20"/>
      <w:lang w:val="en-US" w:eastAsia="en-US"/>
    </w:rPr>
  </w:style>
  <w:style w:type="paragraph" w:customStyle="1" w:styleId="CharCharChar2CharCharCharCharCharCharCharCharCharCharChar">
    <w:name w:val="Char Char Char2 Char Char Char Char Char Char Char Char Char Char Char"/>
    <w:basedOn w:val="Normlny"/>
    <w:rsid w:val="000F1AAB"/>
    <w:pPr>
      <w:spacing w:after="160" w:line="240" w:lineRule="exact"/>
    </w:pPr>
    <w:rPr>
      <w:rFonts w:ascii="Tahoma" w:hAnsi="Tahoma"/>
      <w:sz w:val="20"/>
      <w:lang w:val="en-US" w:eastAsia="en-US"/>
    </w:rPr>
  </w:style>
  <w:style w:type="paragraph" w:customStyle="1" w:styleId="CharCharChar2CharCharCharCharCharChar">
    <w:name w:val="Char Char Char2 Char Char Char Char Char Char"/>
    <w:basedOn w:val="Normlny"/>
    <w:rsid w:val="000F1AAB"/>
    <w:pPr>
      <w:spacing w:after="160" w:line="240" w:lineRule="exact"/>
    </w:pPr>
    <w:rPr>
      <w:rFonts w:ascii="Tahoma" w:hAnsi="Tahoma" w:cs="Tahoma"/>
      <w:sz w:val="20"/>
      <w:lang w:val="en-US" w:eastAsia="en-US"/>
    </w:rPr>
  </w:style>
  <w:style w:type="paragraph" w:customStyle="1" w:styleId="CharCharCharCharCharCharCharCharChar">
    <w:name w:val="Char Char Char Char Char Char Char Char Char"/>
    <w:basedOn w:val="Normlny"/>
    <w:rsid w:val="000F1AAB"/>
    <w:pPr>
      <w:spacing w:after="160" w:line="240" w:lineRule="exact"/>
    </w:pPr>
    <w:rPr>
      <w:rFonts w:ascii="Tahoma" w:hAnsi="Tahoma"/>
      <w:sz w:val="20"/>
      <w:lang w:val="en-US" w:eastAsia="en-US"/>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lny"/>
    <w:rsid w:val="000F1AAB"/>
    <w:pPr>
      <w:spacing w:after="160" w:line="240" w:lineRule="exact"/>
    </w:pPr>
    <w:rPr>
      <w:rFonts w:ascii="Tahoma" w:hAnsi="Tahoma" w:cs="Tahoma"/>
      <w:sz w:val="20"/>
      <w:lang w:val="en-US" w:eastAsia="en-US"/>
    </w:rPr>
  </w:style>
  <w:style w:type="paragraph" w:customStyle="1" w:styleId="CharCharCharChar">
    <w:name w:val="Char Char Char Char"/>
    <w:basedOn w:val="Normlny"/>
    <w:rsid w:val="000F1AAB"/>
    <w:pPr>
      <w:spacing w:after="160" w:line="240" w:lineRule="exact"/>
    </w:pPr>
    <w:rPr>
      <w:rFonts w:ascii="Tahoma" w:hAnsi="Tahoma" w:cs="Tahoma"/>
      <w:sz w:val="20"/>
      <w:lang w:val="en-US" w:eastAsia="en-US"/>
    </w:rPr>
  </w:style>
  <w:style w:type="paragraph" w:customStyle="1" w:styleId="CharCharCharCharCharCharCharCharCharCharCharCharCharCharChar">
    <w:name w:val="Char Char Char Char Char Char Char Char Char Char Char Char Char Char Char"/>
    <w:basedOn w:val="Normlny"/>
    <w:rsid w:val="000F1AAB"/>
    <w:pPr>
      <w:spacing w:after="160" w:line="240" w:lineRule="exact"/>
    </w:pPr>
    <w:rPr>
      <w:rFonts w:ascii="Tahoma" w:hAnsi="Tahoma"/>
      <w:sz w:val="20"/>
      <w:lang w:val="en-US" w:eastAsia="en-US"/>
    </w:rPr>
  </w:style>
  <w:style w:type="paragraph" w:customStyle="1" w:styleId="CharCharCharCharCharCharCharCharCharCharCharCharCharChar">
    <w:name w:val="Char Char Char Char Char Char Char Char Char Char Char Char Char Char"/>
    <w:basedOn w:val="Normlny"/>
    <w:rsid w:val="00986156"/>
    <w:pPr>
      <w:spacing w:after="160" w:line="240" w:lineRule="exact"/>
    </w:pPr>
    <w:rPr>
      <w:rFonts w:ascii="Tahoma" w:hAnsi="Tahoma"/>
      <w:sz w:val="20"/>
      <w:lang w:val="en-US" w:eastAsia="en-US"/>
    </w:rPr>
  </w:style>
  <w:style w:type="paragraph" w:customStyle="1" w:styleId="CharCharChar2CharCharCharCharChar">
    <w:name w:val="Char Char Char2 Char Char Char Char Char"/>
    <w:basedOn w:val="Normlny"/>
    <w:rsid w:val="008451E2"/>
    <w:pPr>
      <w:spacing w:after="160" w:line="240" w:lineRule="exact"/>
    </w:pPr>
    <w:rPr>
      <w:rFonts w:ascii="Tahoma" w:hAnsi="Tahoma"/>
      <w:sz w:val="20"/>
      <w:lang w:val="en-US" w:eastAsia="en-US"/>
    </w:rPr>
  </w:style>
  <w:style w:type="paragraph" w:styleId="Odsekzoznamu">
    <w:name w:val="List Paragraph"/>
    <w:basedOn w:val="Normlny"/>
    <w:uiPriority w:val="34"/>
    <w:qFormat/>
    <w:rsid w:val="00901D11"/>
    <w:pPr>
      <w:ind w:left="720"/>
      <w:contextualSpacing/>
    </w:pPr>
  </w:style>
  <w:style w:type="paragraph" w:styleId="Obyajntext">
    <w:name w:val="Plain Text"/>
    <w:basedOn w:val="Normlny"/>
    <w:link w:val="ObyajntextChar"/>
    <w:uiPriority w:val="99"/>
    <w:semiHidden/>
    <w:unhideWhenUsed/>
    <w:rsid w:val="00187CC7"/>
    <w:rPr>
      <w:rFonts w:ascii="Calibri" w:hAnsi="Calibri"/>
      <w:sz w:val="22"/>
      <w:szCs w:val="21"/>
      <w:lang w:eastAsia="en-US"/>
    </w:rPr>
  </w:style>
  <w:style w:type="character" w:customStyle="1" w:styleId="ObyajntextChar">
    <w:name w:val="Obyčajný text Char"/>
    <w:basedOn w:val="Predvolenpsmoodseku"/>
    <w:link w:val="Obyajntext"/>
    <w:uiPriority w:val="99"/>
    <w:semiHidden/>
    <w:locked/>
    <w:rsid w:val="00187CC7"/>
    <w:rPr>
      <w:rFonts w:ascii="Calibri" w:hAnsi="Calibri" w:cs="Times New Roman"/>
      <w:sz w:val="21"/>
      <w:lang w:val="x-none" w:eastAsia="en-US"/>
    </w:rPr>
  </w:style>
  <w:style w:type="paragraph" w:customStyle="1" w:styleId="Default">
    <w:name w:val="Default"/>
    <w:rsid w:val="0055665E"/>
    <w:pPr>
      <w:autoSpaceDE w:val="0"/>
      <w:autoSpaceDN w:val="0"/>
      <w:adjustRightInd w:val="0"/>
    </w:pPr>
    <w:rPr>
      <w:rFonts w:ascii="Arial" w:hAnsi="Arial" w:cs="Arial"/>
      <w:color w:val="000000"/>
    </w:rPr>
  </w:style>
  <w:style w:type="paragraph" w:styleId="Normlnywebov">
    <w:name w:val="Normal (Web)"/>
    <w:basedOn w:val="Normlny"/>
    <w:uiPriority w:val="99"/>
    <w:semiHidden/>
    <w:unhideWhenUsed/>
    <w:rsid w:val="008A20F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71567"/>
  </w:style>
  <w:style w:type="paragraph" w:styleId="Nadpis1">
    <w:name w:val="heading 1"/>
    <w:basedOn w:val="Normlny"/>
    <w:next w:val="Normlny"/>
    <w:link w:val="Nadpis1Char"/>
    <w:uiPriority w:val="9"/>
    <w:qFormat/>
    <w:rsid w:val="0017156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171567"/>
    <w:pPr>
      <w:keepNext/>
      <w:spacing w:before="240" w:after="60"/>
      <w:outlineLvl w:val="1"/>
    </w:pPr>
    <w:rPr>
      <w:rFonts w:ascii="Arial" w:hAnsi="Arial"/>
      <w:b/>
      <w:bCs/>
      <w:i/>
      <w:iCs/>
      <w:sz w:val="28"/>
      <w:szCs w:val="28"/>
    </w:rPr>
  </w:style>
  <w:style w:type="paragraph" w:styleId="Nadpis3">
    <w:name w:val="heading 3"/>
    <w:basedOn w:val="Normlny"/>
    <w:next w:val="Normlny"/>
    <w:link w:val="Nadpis3Char"/>
    <w:uiPriority w:val="9"/>
    <w:qFormat/>
    <w:rsid w:val="00951304"/>
    <w:pPr>
      <w:keepNext/>
      <w:spacing w:before="240" w:after="60"/>
      <w:outlineLvl w:val="2"/>
    </w:pPr>
    <w:rPr>
      <w:rFonts w:ascii="Arial" w:hAnsi="Arial"/>
      <w:b/>
      <w:bCs/>
      <w:sz w:val="26"/>
      <w:szCs w:val="26"/>
    </w:rPr>
  </w:style>
  <w:style w:type="paragraph" w:styleId="Nadpis4">
    <w:name w:val="heading 4"/>
    <w:basedOn w:val="Normlny"/>
    <w:next w:val="Normlny"/>
    <w:link w:val="Nadpis4Char"/>
    <w:uiPriority w:val="9"/>
    <w:qFormat/>
    <w:rsid w:val="000F1AAB"/>
    <w:pPr>
      <w:keepNext/>
      <w:jc w:val="both"/>
      <w:outlineLvl w:val="3"/>
    </w:pPr>
    <w:rPr>
      <w:rFonts w:ascii="Arial" w:hAnsi="Arial"/>
      <w:b/>
      <w:sz w:val="20"/>
    </w:rPr>
  </w:style>
  <w:style w:type="character" w:default="1" w:styleId="Predvolenpsmoodseku">
    <w:name w:val="Default Paragraph Font"/>
    <w:aliases w:val="Char Char Char Char Char Char Char Char Char Char Char Char Char Char Char Char Char Char Char Char Char Char Char Char Char Char Char Char Char Char Char Char Char Char Char Char Char Char Char Char Char Char"/>
    <w:uiPriority w:val="1"/>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A35031"/>
    <w:rPr>
      <w:rFonts w:ascii="Arial" w:hAnsi="Arial" w:cs="Times New Roman"/>
      <w:b/>
      <w:kern w:val="32"/>
      <w:sz w:val="32"/>
      <w:lang w:val="x-none" w:eastAsia="cs-CZ"/>
    </w:rPr>
  </w:style>
  <w:style w:type="character" w:customStyle="1" w:styleId="Nadpis2Char">
    <w:name w:val="Nadpis 2 Char"/>
    <w:basedOn w:val="Predvolenpsmoodseku"/>
    <w:link w:val="Nadpis2"/>
    <w:uiPriority w:val="9"/>
    <w:locked/>
    <w:rsid w:val="00A35031"/>
    <w:rPr>
      <w:rFonts w:ascii="Arial" w:hAnsi="Arial" w:cs="Times New Roman"/>
      <w:b/>
      <w:i/>
      <w:sz w:val="28"/>
      <w:lang w:val="x-none" w:eastAsia="cs-CZ"/>
    </w:rPr>
  </w:style>
  <w:style w:type="character" w:customStyle="1" w:styleId="Nadpis3Char">
    <w:name w:val="Nadpis 3 Char"/>
    <w:basedOn w:val="Predvolenpsmoodseku"/>
    <w:link w:val="Nadpis3"/>
    <w:uiPriority w:val="9"/>
    <w:locked/>
    <w:rsid w:val="00A35031"/>
    <w:rPr>
      <w:rFonts w:ascii="Arial" w:hAnsi="Arial" w:cs="Times New Roman"/>
      <w:b/>
      <w:sz w:val="26"/>
      <w:lang w:val="x-none" w:eastAsia="cs-CZ"/>
    </w:rPr>
  </w:style>
  <w:style w:type="character" w:customStyle="1" w:styleId="Nadpis4Char">
    <w:name w:val="Nadpis 4 Char"/>
    <w:basedOn w:val="Predvolenpsmoodseku"/>
    <w:link w:val="Nadpis4"/>
    <w:uiPriority w:val="9"/>
    <w:locked/>
    <w:rsid w:val="00A35031"/>
    <w:rPr>
      <w:rFonts w:ascii="Arial" w:hAnsi="Arial" w:cs="Times New Roman"/>
      <w:b/>
      <w:sz w:val="24"/>
    </w:rPr>
  </w:style>
  <w:style w:type="paragraph" w:customStyle="1" w:styleId="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w:basedOn w:val="Normlny"/>
    <w:rsid w:val="00313FFD"/>
    <w:pPr>
      <w:spacing w:after="160" w:line="240" w:lineRule="exact"/>
    </w:pPr>
    <w:rPr>
      <w:rFonts w:ascii="Tahoma" w:hAnsi="Tahoma"/>
      <w:sz w:val="20"/>
      <w:lang w:val="en-US" w:eastAsia="en-US"/>
    </w:rPr>
  </w:style>
  <w:style w:type="paragraph" w:customStyle="1" w:styleId="tl2">
    <w:name w:val="Štýl2"/>
    <w:basedOn w:val="Nadpis3"/>
    <w:rsid w:val="00951304"/>
    <w:pPr>
      <w:spacing w:before="100" w:beforeAutospacing="1" w:after="100" w:afterAutospacing="1"/>
    </w:pPr>
    <w:rPr>
      <w:rFonts w:ascii="Book Antiqua" w:hAnsi="Book Antiqua"/>
      <w:sz w:val="22"/>
      <w:szCs w:val="22"/>
    </w:rPr>
  </w:style>
  <w:style w:type="paragraph" w:customStyle="1" w:styleId="tl3">
    <w:name w:val="Štýl3"/>
    <w:basedOn w:val="Nadpis3"/>
    <w:autoRedefine/>
    <w:rsid w:val="00951304"/>
    <w:pPr>
      <w:numPr>
        <w:ilvl w:val="2"/>
        <w:numId w:val="2"/>
      </w:numPr>
      <w:spacing w:before="100" w:beforeAutospacing="1" w:after="100" w:afterAutospacing="1"/>
    </w:pPr>
    <w:rPr>
      <w:rFonts w:ascii="Book Antiqua" w:hAnsi="Book Antiqua"/>
      <w:sz w:val="22"/>
      <w:szCs w:val="22"/>
    </w:rPr>
  </w:style>
  <w:style w:type="paragraph" w:styleId="Hlavika">
    <w:name w:val="header"/>
    <w:basedOn w:val="Normlny"/>
    <w:link w:val="HlavikaChar"/>
    <w:uiPriority w:val="99"/>
    <w:rsid w:val="00171567"/>
    <w:pPr>
      <w:tabs>
        <w:tab w:val="center" w:pos="4536"/>
        <w:tab w:val="right" w:pos="9072"/>
      </w:tabs>
    </w:pPr>
  </w:style>
  <w:style w:type="character" w:customStyle="1" w:styleId="HlavikaChar">
    <w:name w:val="Hlavička Char"/>
    <w:basedOn w:val="Predvolenpsmoodseku"/>
    <w:link w:val="Hlavika"/>
    <w:uiPriority w:val="99"/>
    <w:locked/>
    <w:rsid w:val="00B92076"/>
    <w:rPr>
      <w:rFonts w:ascii="Courier" w:hAnsi="Courier" w:cs="Times New Roman"/>
      <w:sz w:val="24"/>
      <w:lang w:val="x-none" w:eastAsia="cs-CZ"/>
    </w:rPr>
  </w:style>
  <w:style w:type="paragraph" w:styleId="Pta">
    <w:name w:val="footer"/>
    <w:basedOn w:val="Normlny"/>
    <w:link w:val="PtaChar"/>
    <w:uiPriority w:val="99"/>
    <w:rsid w:val="00171567"/>
    <w:pPr>
      <w:tabs>
        <w:tab w:val="center" w:pos="4536"/>
        <w:tab w:val="right" w:pos="9072"/>
      </w:tabs>
    </w:pPr>
  </w:style>
  <w:style w:type="character" w:customStyle="1" w:styleId="PtaChar">
    <w:name w:val="Päta Char"/>
    <w:basedOn w:val="Predvolenpsmoodseku"/>
    <w:link w:val="Pta"/>
    <w:uiPriority w:val="99"/>
    <w:locked/>
    <w:rsid w:val="00B92076"/>
    <w:rPr>
      <w:rFonts w:ascii="Courier" w:hAnsi="Courier" w:cs="Times New Roman"/>
      <w:sz w:val="24"/>
      <w:lang w:val="x-none" w:eastAsia="cs-CZ"/>
    </w:rPr>
  </w:style>
  <w:style w:type="paragraph" w:styleId="Zkladntext">
    <w:name w:val="Body Text"/>
    <w:basedOn w:val="Normlny"/>
    <w:link w:val="ZkladntextChar"/>
    <w:uiPriority w:val="99"/>
    <w:rsid w:val="00171567"/>
    <w:pPr>
      <w:spacing w:after="120"/>
    </w:pPr>
  </w:style>
  <w:style w:type="character" w:customStyle="1" w:styleId="ZkladntextChar">
    <w:name w:val="Základný text Char"/>
    <w:basedOn w:val="Predvolenpsmoodseku"/>
    <w:link w:val="Zkladntext"/>
    <w:uiPriority w:val="99"/>
    <w:locked/>
    <w:rsid w:val="00A35031"/>
    <w:rPr>
      <w:rFonts w:ascii="Courier" w:hAnsi="Courier" w:cs="Times New Roman"/>
      <w:sz w:val="24"/>
      <w:lang w:val="x-none" w:eastAsia="cs-CZ"/>
    </w:rPr>
  </w:style>
  <w:style w:type="paragraph" w:styleId="Zarkazkladnhotextu">
    <w:name w:val="Body Text Indent"/>
    <w:basedOn w:val="Normlny"/>
    <w:link w:val="ZarkazkladnhotextuChar"/>
    <w:uiPriority w:val="99"/>
    <w:rsid w:val="00171567"/>
    <w:pPr>
      <w:spacing w:after="120"/>
      <w:ind w:left="283"/>
    </w:pPr>
  </w:style>
  <w:style w:type="character" w:customStyle="1" w:styleId="ZarkazkladnhotextuChar">
    <w:name w:val="Zarážka základného textu Char"/>
    <w:basedOn w:val="Predvolenpsmoodseku"/>
    <w:link w:val="Zarkazkladnhotextu"/>
    <w:uiPriority w:val="99"/>
    <w:semiHidden/>
    <w:locked/>
    <w:rPr>
      <w:rFonts w:ascii="Courier" w:hAnsi="Courier" w:cs="Times New Roman"/>
      <w:sz w:val="24"/>
      <w:lang w:val="x-none" w:eastAsia="cs-CZ"/>
    </w:rPr>
  </w:style>
  <w:style w:type="paragraph" w:customStyle="1" w:styleId="Zkladntext0">
    <w:name w:val="Základní text"/>
    <w:rsid w:val="00171567"/>
    <w:pPr>
      <w:widowControl w:val="0"/>
    </w:pPr>
    <w:rPr>
      <w:color w:val="000000"/>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f"/>
    <w:basedOn w:val="Normlny"/>
    <w:link w:val="TextpoznmkypodiarouChar"/>
    <w:uiPriority w:val="99"/>
    <w:qFormat/>
    <w:rsid w:val="00171567"/>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f Char"/>
    <w:basedOn w:val="Predvolenpsmoodseku"/>
    <w:link w:val="Textpoznmkypodiarou"/>
    <w:uiPriority w:val="99"/>
    <w:locked/>
    <w:rsid w:val="00EF4BE7"/>
    <w:rPr>
      <w:rFonts w:cs="Times New Roman"/>
      <w:sz w:val="24"/>
      <w:lang w:val="x-none" w:eastAsia="cs-CZ"/>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uiPriority w:val="99"/>
    <w:rsid w:val="00171567"/>
    <w:rPr>
      <w:rFonts w:cs="Times New Roman"/>
      <w:vertAlign w:val="superscript"/>
    </w:rPr>
  </w:style>
  <w:style w:type="paragraph" w:styleId="Textbubliny">
    <w:name w:val="Balloon Text"/>
    <w:basedOn w:val="Normlny"/>
    <w:link w:val="TextbublinyChar"/>
    <w:uiPriority w:val="99"/>
    <w:semiHidden/>
    <w:rsid w:val="00097CE1"/>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cs-CZ"/>
    </w:rPr>
  </w:style>
  <w:style w:type="paragraph" w:customStyle="1" w:styleId="xl35">
    <w:name w:val="xl35"/>
    <w:basedOn w:val="Normlny"/>
    <w:rsid w:val="00EA090F"/>
    <w:pPr>
      <w:spacing w:before="100" w:beforeAutospacing="1" w:after="100" w:afterAutospacing="1"/>
      <w:jc w:val="right"/>
    </w:pPr>
    <w:rPr>
      <w:rFonts w:ascii="Garamond" w:hAnsi="Garamond"/>
      <w:i/>
      <w:iCs/>
      <w:sz w:val="16"/>
      <w:szCs w:val="16"/>
    </w:rPr>
  </w:style>
  <w:style w:type="paragraph" w:customStyle="1" w:styleId="CharCharChar2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w:basedOn w:val="Normlny"/>
    <w:rsid w:val="001B3DD8"/>
    <w:pPr>
      <w:spacing w:after="160" w:line="240" w:lineRule="exact"/>
    </w:pPr>
    <w:rPr>
      <w:rFonts w:ascii="Tahoma" w:hAnsi="Tahoma"/>
      <w:sz w:val="20"/>
      <w:lang w:val="en-US" w:eastAsia="en-US"/>
    </w:rPr>
  </w:style>
  <w:style w:type="paragraph" w:customStyle="1" w:styleId="CharChar">
    <w:name w:val="Char Char"/>
    <w:basedOn w:val="Normlny"/>
    <w:rsid w:val="00842443"/>
    <w:pPr>
      <w:spacing w:after="160" w:line="240" w:lineRule="exact"/>
    </w:pPr>
    <w:rPr>
      <w:rFonts w:ascii="Tahoma" w:hAnsi="Tahoma"/>
      <w:sz w:val="20"/>
      <w:lang w:val="en-US" w:eastAsia="en-US"/>
    </w:rPr>
  </w:style>
  <w:style w:type="paragraph" w:styleId="Zkladntext3">
    <w:name w:val="Body Text 3"/>
    <w:basedOn w:val="Normlny"/>
    <w:link w:val="Zkladntext3Char"/>
    <w:uiPriority w:val="99"/>
    <w:rsid w:val="00ED5752"/>
    <w:pPr>
      <w:spacing w:after="120"/>
    </w:pPr>
    <w:rPr>
      <w:sz w:val="16"/>
      <w:szCs w:val="16"/>
    </w:rPr>
  </w:style>
  <w:style w:type="character" w:customStyle="1" w:styleId="Zkladntext3Char">
    <w:name w:val="Základný text 3 Char"/>
    <w:basedOn w:val="Predvolenpsmoodseku"/>
    <w:link w:val="Zkladntext3"/>
    <w:uiPriority w:val="99"/>
    <w:semiHidden/>
    <w:locked/>
    <w:rPr>
      <w:rFonts w:ascii="Courier" w:hAnsi="Courier" w:cs="Times New Roman"/>
      <w:sz w:val="16"/>
      <w:szCs w:val="16"/>
      <w:lang w:val="x-none" w:eastAsia="cs-CZ"/>
    </w:rPr>
  </w:style>
  <w:style w:type="paragraph" w:customStyle="1" w:styleId="CharCharCharCharCharCharCharChar">
    <w:name w:val="Char Char Char Char Char Char Char Char"/>
    <w:basedOn w:val="Normlny"/>
    <w:rsid w:val="00037C42"/>
    <w:pPr>
      <w:spacing w:after="160" w:line="240" w:lineRule="exact"/>
    </w:pPr>
    <w:rPr>
      <w:rFonts w:ascii="Tahoma" w:hAnsi="Tahoma"/>
      <w:sz w:val="20"/>
      <w:lang w:val="en-US" w:eastAsia="en-US"/>
    </w:rPr>
  </w:style>
  <w:style w:type="character" w:styleId="Odkaznakomentr">
    <w:name w:val="annotation reference"/>
    <w:basedOn w:val="Predvolenpsmoodseku"/>
    <w:uiPriority w:val="99"/>
    <w:semiHidden/>
    <w:rsid w:val="00D553E0"/>
    <w:rPr>
      <w:rFonts w:cs="Times New Roman"/>
      <w:sz w:val="16"/>
    </w:rPr>
  </w:style>
  <w:style w:type="paragraph" w:styleId="Textkomentra">
    <w:name w:val="annotation text"/>
    <w:basedOn w:val="Normlny"/>
    <w:link w:val="TextkomentraChar"/>
    <w:uiPriority w:val="99"/>
    <w:semiHidden/>
    <w:rsid w:val="00D553E0"/>
    <w:rPr>
      <w:sz w:val="20"/>
    </w:rPr>
  </w:style>
  <w:style w:type="character" w:customStyle="1" w:styleId="TextkomentraChar">
    <w:name w:val="Text komentára Char"/>
    <w:basedOn w:val="Predvolenpsmoodseku"/>
    <w:link w:val="Textkomentra"/>
    <w:uiPriority w:val="99"/>
    <w:semiHidden/>
    <w:locked/>
    <w:rPr>
      <w:rFonts w:ascii="Courier" w:hAnsi="Courier" w:cs="Times New Roman"/>
      <w:lang w:val="x-none" w:eastAsia="cs-CZ"/>
    </w:rPr>
  </w:style>
  <w:style w:type="paragraph" w:styleId="Predmetkomentra">
    <w:name w:val="annotation subject"/>
    <w:basedOn w:val="Textkomentra"/>
    <w:next w:val="Textkomentra"/>
    <w:link w:val="PredmetkomentraChar"/>
    <w:uiPriority w:val="99"/>
    <w:semiHidden/>
    <w:rsid w:val="00D553E0"/>
    <w:rPr>
      <w:b/>
      <w:bCs/>
    </w:rPr>
  </w:style>
  <w:style w:type="character" w:customStyle="1" w:styleId="PredmetkomentraChar">
    <w:name w:val="Predmet komentára Char"/>
    <w:basedOn w:val="TextkomentraChar"/>
    <w:link w:val="Predmetkomentra"/>
    <w:uiPriority w:val="99"/>
    <w:semiHidden/>
    <w:locked/>
    <w:rPr>
      <w:rFonts w:ascii="Courier" w:hAnsi="Courier" w:cs="Times New Roman"/>
      <w:b/>
      <w:bCs/>
      <w:lang w:val="x-none" w:eastAsia="cs-CZ"/>
    </w:rPr>
  </w:style>
  <w:style w:type="paragraph" w:customStyle="1" w:styleId="INGBodyText">
    <w:name w:val="ING Body Text"/>
    <w:basedOn w:val="Normlny"/>
    <w:rsid w:val="00C35EFE"/>
    <w:pPr>
      <w:spacing w:after="160" w:line="280" w:lineRule="exact"/>
      <w:jc w:val="both"/>
    </w:pPr>
    <w:rPr>
      <w:rFonts w:ascii="Arial" w:hAnsi="Arial"/>
      <w:color w:val="000000"/>
      <w:sz w:val="19"/>
      <w:lang w:val="en-GB" w:eastAsia="en-US"/>
    </w:rPr>
  </w:style>
  <w:style w:type="paragraph" w:customStyle="1" w:styleId="CharCharCharCharCharCharCharCharCharCharCharCharCharCharCharCharChar">
    <w:name w:val="Char Char Char Char Char Char Char Char Char Char Char Char Char Char Char Char Char"/>
    <w:basedOn w:val="Normlny"/>
    <w:rsid w:val="008F338D"/>
    <w:pPr>
      <w:spacing w:after="160" w:line="240" w:lineRule="exact"/>
    </w:pPr>
    <w:rPr>
      <w:rFonts w:ascii="Tahoma" w:hAnsi="Tahoma"/>
      <w:sz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rsid w:val="008830EE"/>
    <w:pPr>
      <w:spacing w:after="160" w:line="240" w:lineRule="exact"/>
    </w:pPr>
    <w:rPr>
      <w:rFonts w:ascii="Tahoma" w:hAnsi="Tahoma"/>
      <w:sz w:val="20"/>
      <w:lang w:val="en-US" w:eastAsia="en-US"/>
    </w:rPr>
  </w:style>
  <w:style w:type="character" w:styleId="slostrany">
    <w:name w:val="page number"/>
    <w:basedOn w:val="Predvolenpsmoodseku"/>
    <w:uiPriority w:val="99"/>
    <w:rsid w:val="001722DA"/>
    <w:rPr>
      <w:rFonts w:cs="Times New Roman"/>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rsid w:val="00EF6766"/>
    <w:pPr>
      <w:spacing w:after="160" w:line="240" w:lineRule="exact"/>
    </w:pPr>
    <w:rPr>
      <w:rFonts w:ascii="Tahoma" w:hAnsi="Tahoma"/>
      <w:sz w:val="20"/>
      <w:lang w:val="en-US" w:eastAsia="en-US"/>
    </w:rPr>
  </w:style>
  <w:style w:type="paragraph" w:customStyle="1" w:styleId="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w:basedOn w:val="Normlny"/>
    <w:rsid w:val="008D1995"/>
    <w:pPr>
      <w:spacing w:after="160" w:line="240" w:lineRule="exact"/>
    </w:pPr>
    <w:rPr>
      <w:rFonts w:ascii="Tahoma" w:hAnsi="Tahoma"/>
      <w:sz w:val="20"/>
      <w:lang w:val="en-US" w:eastAsia="en-US"/>
    </w:rPr>
  </w:style>
  <w:style w:type="paragraph" w:styleId="Zarkazkladnhotextu2">
    <w:name w:val="Body Text Indent 2"/>
    <w:basedOn w:val="Normlny"/>
    <w:link w:val="Zarkazkladnhotextu2Char"/>
    <w:uiPriority w:val="99"/>
    <w:rsid w:val="000F1AA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Pr>
      <w:rFonts w:ascii="Courier" w:hAnsi="Courier" w:cs="Times New Roman"/>
      <w:sz w:val="24"/>
      <w:lang w:val="x-none" w:eastAsia="cs-CZ"/>
    </w:rPr>
  </w:style>
  <w:style w:type="paragraph" w:styleId="Zkladntext2">
    <w:name w:val="Body Text 2"/>
    <w:basedOn w:val="Normlny"/>
    <w:link w:val="Zkladntext2Char"/>
    <w:uiPriority w:val="99"/>
    <w:rsid w:val="000F1AAB"/>
    <w:pPr>
      <w:spacing w:after="120" w:line="480" w:lineRule="auto"/>
    </w:pPr>
  </w:style>
  <w:style w:type="character" w:customStyle="1" w:styleId="Zkladntext2Char">
    <w:name w:val="Základný text 2 Char"/>
    <w:basedOn w:val="Predvolenpsmoodseku"/>
    <w:link w:val="Zkladntext2"/>
    <w:uiPriority w:val="99"/>
    <w:locked/>
    <w:rsid w:val="00A35031"/>
    <w:rPr>
      <w:rFonts w:cs="Times New Roman"/>
      <w:sz w:val="24"/>
    </w:rPr>
  </w:style>
  <w:style w:type="paragraph" w:customStyle="1" w:styleId="CharCharCharCharCharCharCharCharCharCharCharCharCharCharCharCharCharCharCharCharCharCharChar1CharCharCharCharChar">
    <w:name w:val="Char Char Char Char Char Char Char Char Char Char Char Char Char Char Char Char Char Char Char Char Char Char Char1 Char Char Char Char Char"/>
    <w:basedOn w:val="Normlny"/>
    <w:rsid w:val="000F1AAB"/>
    <w:pPr>
      <w:spacing w:after="160" w:line="240" w:lineRule="exact"/>
    </w:pPr>
    <w:rPr>
      <w:rFonts w:ascii="Tahoma" w:hAnsi="Tahoma" w:cs="Tahoma"/>
      <w:sz w:val="20"/>
      <w:lang w:val="en-US" w:eastAsia="en-US"/>
    </w:rPr>
  </w:style>
  <w:style w:type="paragraph" w:customStyle="1" w:styleId="CharCharChar2CharCharCharCharCharCharCharCharCharCharChar">
    <w:name w:val="Char Char Char2 Char Char Char Char Char Char Char Char Char Char Char"/>
    <w:basedOn w:val="Normlny"/>
    <w:rsid w:val="000F1AAB"/>
    <w:pPr>
      <w:spacing w:after="160" w:line="240" w:lineRule="exact"/>
    </w:pPr>
    <w:rPr>
      <w:rFonts w:ascii="Tahoma" w:hAnsi="Tahoma"/>
      <w:sz w:val="20"/>
      <w:lang w:val="en-US" w:eastAsia="en-US"/>
    </w:rPr>
  </w:style>
  <w:style w:type="paragraph" w:customStyle="1" w:styleId="CharCharChar2CharCharCharCharCharChar">
    <w:name w:val="Char Char Char2 Char Char Char Char Char Char"/>
    <w:basedOn w:val="Normlny"/>
    <w:rsid w:val="000F1AAB"/>
    <w:pPr>
      <w:spacing w:after="160" w:line="240" w:lineRule="exact"/>
    </w:pPr>
    <w:rPr>
      <w:rFonts w:ascii="Tahoma" w:hAnsi="Tahoma" w:cs="Tahoma"/>
      <w:sz w:val="20"/>
      <w:lang w:val="en-US" w:eastAsia="en-US"/>
    </w:rPr>
  </w:style>
  <w:style w:type="paragraph" w:customStyle="1" w:styleId="CharCharCharCharCharCharCharCharChar">
    <w:name w:val="Char Char Char Char Char Char Char Char Char"/>
    <w:basedOn w:val="Normlny"/>
    <w:rsid w:val="000F1AAB"/>
    <w:pPr>
      <w:spacing w:after="160" w:line="240" w:lineRule="exact"/>
    </w:pPr>
    <w:rPr>
      <w:rFonts w:ascii="Tahoma" w:hAnsi="Tahoma"/>
      <w:sz w:val="20"/>
      <w:lang w:val="en-US" w:eastAsia="en-US"/>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lny"/>
    <w:rsid w:val="000F1AAB"/>
    <w:pPr>
      <w:spacing w:after="160" w:line="240" w:lineRule="exact"/>
    </w:pPr>
    <w:rPr>
      <w:rFonts w:ascii="Tahoma" w:hAnsi="Tahoma" w:cs="Tahoma"/>
      <w:sz w:val="20"/>
      <w:lang w:val="en-US" w:eastAsia="en-US"/>
    </w:rPr>
  </w:style>
  <w:style w:type="paragraph" w:customStyle="1" w:styleId="CharCharCharChar">
    <w:name w:val="Char Char Char Char"/>
    <w:basedOn w:val="Normlny"/>
    <w:rsid w:val="000F1AAB"/>
    <w:pPr>
      <w:spacing w:after="160" w:line="240" w:lineRule="exact"/>
    </w:pPr>
    <w:rPr>
      <w:rFonts w:ascii="Tahoma" w:hAnsi="Tahoma" w:cs="Tahoma"/>
      <w:sz w:val="20"/>
      <w:lang w:val="en-US" w:eastAsia="en-US"/>
    </w:rPr>
  </w:style>
  <w:style w:type="paragraph" w:customStyle="1" w:styleId="CharCharCharCharCharCharCharCharCharCharCharCharCharCharChar">
    <w:name w:val="Char Char Char Char Char Char Char Char Char Char Char Char Char Char Char"/>
    <w:basedOn w:val="Normlny"/>
    <w:rsid w:val="000F1AAB"/>
    <w:pPr>
      <w:spacing w:after="160" w:line="240" w:lineRule="exact"/>
    </w:pPr>
    <w:rPr>
      <w:rFonts w:ascii="Tahoma" w:hAnsi="Tahoma"/>
      <w:sz w:val="20"/>
      <w:lang w:val="en-US" w:eastAsia="en-US"/>
    </w:rPr>
  </w:style>
  <w:style w:type="paragraph" w:customStyle="1" w:styleId="CharCharCharCharCharCharCharCharCharCharCharCharCharChar">
    <w:name w:val="Char Char Char Char Char Char Char Char Char Char Char Char Char Char"/>
    <w:basedOn w:val="Normlny"/>
    <w:rsid w:val="00986156"/>
    <w:pPr>
      <w:spacing w:after="160" w:line="240" w:lineRule="exact"/>
    </w:pPr>
    <w:rPr>
      <w:rFonts w:ascii="Tahoma" w:hAnsi="Tahoma"/>
      <w:sz w:val="20"/>
      <w:lang w:val="en-US" w:eastAsia="en-US"/>
    </w:rPr>
  </w:style>
  <w:style w:type="paragraph" w:customStyle="1" w:styleId="CharCharChar2CharCharCharCharChar">
    <w:name w:val="Char Char Char2 Char Char Char Char Char"/>
    <w:basedOn w:val="Normlny"/>
    <w:rsid w:val="008451E2"/>
    <w:pPr>
      <w:spacing w:after="160" w:line="240" w:lineRule="exact"/>
    </w:pPr>
    <w:rPr>
      <w:rFonts w:ascii="Tahoma" w:hAnsi="Tahoma"/>
      <w:sz w:val="20"/>
      <w:lang w:val="en-US" w:eastAsia="en-US"/>
    </w:rPr>
  </w:style>
  <w:style w:type="paragraph" w:styleId="Odsekzoznamu">
    <w:name w:val="List Paragraph"/>
    <w:basedOn w:val="Normlny"/>
    <w:uiPriority w:val="34"/>
    <w:qFormat/>
    <w:rsid w:val="00901D11"/>
    <w:pPr>
      <w:ind w:left="720"/>
      <w:contextualSpacing/>
    </w:pPr>
  </w:style>
  <w:style w:type="paragraph" w:styleId="Obyajntext">
    <w:name w:val="Plain Text"/>
    <w:basedOn w:val="Normlny"/>
    <w:link w:val="ObyajntextChar"/>
    <w:uiPriority w:val="99"/>
    <w:semiHidden/>
    <w:unhideWhenUsed/>
    <w:rsid w:val="00187CC7"/>
    <w:rPr>
      <w:rFonts w:ascii="Calibri" w:hAnsi="Calibri"/>
      <w:sz w:val="22"/>
      <w:szCs w:val="21"/>
      <w:lang w:eastAsia="en-US"/>
    </w:rPr>
  </w:style>
  <w:style w:type="character" w:customStyle="1" w:styleId="ObyajntextChar">
    <w:name w:val="Obyčajný text Char"/>
    <w:basedOn w:val="Predvolenpsmoodseku"/>
    <w:link w:val="Obyajntext"/>
    <w:uiPriority w:val="99"/>
    <w:semiHidden/>
    <w:locked/>
    <w:rsid w:val="00187CC7"/>
    <w:rPr>
      <w:rFonts w:ascii="Calibri" w:hAnsi="Calibri" w:cs="Times New Roman"/>
      <w:sz w:val="21"/>
      <w:lang w:val="x-none" w:eastAsia="en-US"/>
    </w:rPr>
  </w:style>
  <w:style w:type="paragraph" w:customStyle="1" w:styleId="Default">
    <w:name w:val="Default"/>
    <w:rsid w:val="0055665E"/>
    <w:pPr>
      <w:autoSpaceDE w:val="0"/>
      <w:autoSpaceDN w:val="0"/>
      <w:adjustRightInd w:val="0"/>
    </w:pPr>
    <w:rPr>
      <w:rFonts w:ascii="Arial" w:hAnsi="Arial" w:cs="Arial"/>
      <w:color w:val="000000"/>
    </w:rPr>
  </w:style>
  <w:style w:type="paragraph" w:styleId="Normlnywebov">
    <w:name w:val="Normal (Web)"/>
    <w:basedOn w:val="Normlny"/>
    <w:uiPriority w:val="99"/>
    <w:semiHidden/>
    <w:unhideWhenUsed/>
    <w:rsid w:val="008A20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79421">
      <w:marLeft w:val="0"/>
      <w:marRight w:val="0"/>
      <w:marTop w:val="0"/>
      <w:marBottom w:val="0"/>
      <w:divBdr>
        <w:top w:val="none" w:sz="0" w:space="0" w:color="auto"/>
        <w:left w:val="none" w:sz="0" w:space="0" w:color="auto"/>
        <w:bottom w:val="none" w:sz="0" w:space="0" w:color="auto"/>
        <w:right w:val="none" w:sz="0" w:space="0" w:color="auto"/>
      </w:divBdr>
    </w:div>
    <w:div w:id="1528179422">
      <w:marLeft w:val="0"/>
      <w:marRight w:val="0"/>
      <w:marTop w:val="0"/>
      <w:marBottom w:val="0"/>
      <w:divBdr>
        <w:top w:val="none" w:sz="0" w:space="0" w:color="auto"/>
        <w:left w:val="none" w:sz="0" w:space="0" w:color="auto"/>
        <w:bottom w:val="none" w:sz="0" w:space="0" w:color="auto"/>
        <w:right w:val="none" w:sz="0" w:space="0" w:color="auto"/>
      </w:divBdr>
    </w:div>
    <w:div w:id="1528179423">
      <w:marLeft w:val="0"/>
      <w:marRight w:val="0"/>
      <w:marTop w:val="0"/>
      <w:marBottom w:val="0"/>
      <w:divBdr>
        <w:top w:val="none" w:sz="0" w:space="0" w:color="auto"/>
        <w:left w:val="none" w:sz="0" w:space="0" w:color="auto"/>
        <w:bottom w:val="none" w:sz="0" w:space="0" w:color="auto"/>
        <w:right w:val="none" w:sz="0" w:space="0" w:color="auto"/>
      </w:divBdr>
    </w:div>
    <w:div w:id="1528179424">
      <w:marLeft w:val="0"/>
      <w:marRight w:val="0"/>
      <w:marTop w:val="0"/>
      <w:marBottom w:val="0"/>
      <w:divBdr>
        <w:top w:val="none" w:sz="0" w:space="0" w:color="auto"/>
        <w:left w:val="none" w:sz="0" w:space="0" w:color="auto"/>
        <w:bottom w:val="none" w:sz="0" w:space="0" w:color="auto"/>
        <w:right w:val="none" w:sz="0" w:space="0" w:color="auto"/>
      </w:divBdr>
    </w:div>
    <w:div w:id="1528179425">
      <w:marLeft w:val="0"/>
      <w:marRight w:val="0"/>
      <w:marTop w:val="0"/>
      <w:marBottom w:val="0"/>
      <w:divBdr>
        <w:top w:val="none" w:sz="0" w:space="0" w:color="auto"/>
        <w:left w:val="none" w:sz="0" w:space="0" w:color="auto"/>
        <w:bottom w:val="none" w:sz="0" w:space="0" w:color="auto"/>
        <w:right w:val="none" w:sz="0" w:space="0" w:color="auto"/>
      </w:divBdr>
    </w:div>
    <w:div w:id="1528179426">
      <w:marLeft w:val="0"/>
      <w:marRight w:val="0"/>
      <w:marTop w:val="0"/>
      <w:marBottom w:val="0"/>
      <w:divBdr>
        <w:top w:val="none" w:sz="0" w:space="0" w:color="auto"/>
        <w:left w:val="none" w:sz="0" w:space="0" w:color="auto"/>
        <w:bottom w:val="none" w:sz="0" w:space="0" w:color="auto"/>
        <w:right w:val="none" w:sz="0" w:space="0" w:color="auto"/>
      </w:divBdr>
    </w:div>
    <w:div w:id="1528179427">
      <w:marLeft w:val="0"/>
      <w:marRight w:val="0"/>
      <w:marTop w:val="0"/>
      <w:marBottom w:val="0"/>
      <w:divBdr>
        <w:top w:val="none" w:sz="0" w:space="0" w:color="auto"/>
        <w:left w:val="none" w:sz="0" w:space="0" w:color="auto"/>
        <w:bottom w:val="none" w:sz="0" w:space="0" w:color="auto"/>
        <w:right w:val="none" w:sz="0" w:space="0" w:color="auto"/>
      </w:divBdr>
    </w:div>
    <w:div w:id="1528179428">
      <w:marLeft w:val="0"/>
      <w:marRight w:val="0"/>
      <w:marTop w:val="0"/>
      <w:marBottom w:val="0"/>
      <w:divBdr>
        <w:top w:val="none" w:sz="0" w:space="0" w:color="auto"/>
        <w:left w:val="none" w:sz="0" w:space="0" w:color="auto"/>
        <w:bottom w:val="none" w:sz="0" w:space="0" w:color="auto"/>
        <w:right w:val="none" w:sz="0" w:space="0" w:color="auto"/>
      </w:divBdr>
    </w:div>
    <w:div w:id="1528179429">
      <w:marLeft w:val="0"/>
      <w:marRight w:val="0"/>
      <w:marTop w:val="0"/>
      <w:marBottom w:val="0"/>
      <w:divBdr>
        <w:top w:val="none" w:sz="0" w:space="0" w:color="auto"/>
        <w:left w:val="none" w:sz="0" w:space="0" w:color="auto"/>
        <w:bottom w:val="none" w:sz="0" w:space="0" w:color="auto"/>
        <w:right w:val="none" w:sz="0" w:space="0" w:color="auto"/>
      </w:divBdr>
    </w:div>
    <w:div w:id="1528179430">
      <w:marLeft w:val="0"/>
      <w:marRight w:val="0"/>
      <w:marTop w:val="0"/>
      <w:marBottom w:val="0"/>
      <w:divBdr>
        <w:top w:val="none" w:sz="0" w:space="0" w:color="auto"/>
        <w:left w:val="none" w:sz="0" w:space="0" w:color="auto"/>
        <w:bottom w:val="none" w:sz="0" w:space="0" w:color="auto"/>
        <w:right w:val="none" w:sz="0" w:space="0" w:color="auto"/>
      </w:divBdr>
    </w:div>
    <w:div w:id="1528179431">
      <w:marLeft w:val="0"/>
      <w:marRight w:val="0"/>
      <w:marTop w:val="0"/>
      <w:marBottom w:val="0"/>
      <w:divBdr>
        <w:top w:val="none" w:sz="0" w:space="0" w:color="auto"/>
        <w:left w:val="none" w:sz="0" w:space="0" w:color="auto"/>
        <w:bottom w:val="none" w:sz="0" w:space="0" w:color="auto"/>
        <w:right w:val="none" w:sz="0" w:space="0" w:color="auto"/>
      </w:divBdr>
    </w:div>
    <w:div w:id="1528179432">
      <w:marLeft w:val="0"/>
      <w:marRight w:val="0"/>
      <w:marTop w:val="0"/>
      <w:marBottom w:val="0"/>
      <w:divBdr>
        <w:top w:val="none" w:sz="0" w:space="0" w:color="auto"/>
        <w:left w:val="none" w:sz="0" w:space="0" w:color="auto"/>
        <w:bottom w:val="none" w:sz="0" w:space="0" w:color="auto"/>
        <w:right w:val="none" w:sz="0" w:space="0" w:color="auto"/>
      </w:divBdr>
    </w:div>
    <w:div w:id="1528179433">
      <w:marLeft w:val="0"/>
      <w:marRight w:val="0"/>
      <w:marTop w:val="0"/>
      <w:marBottom w:val="0"/>
      <w:divBdr>
        <w:top w:val="none" w:sz="0" w:space="0" w:color="auto"/>
        <w:left w:val="none" w:sz="0" w:space="0" w:color="auto"/>
        <w:bottom w:val="none" w:sz="0" w:space="0" w:color="auto"/>
        <w:right w:val="none" w:sz="0" w:space="0" w:color="auto"/>
      </w:divBdr>
    </w:div>
    <w:div w:id="1528179434">
      <w:marLeft w:val="0"/>
      <w:marRight w:val="0"/>
      <w:marTop w:val="0"/>
      <w:marBottom w:val="0"/>
      <w:divBdr>
        <w:top w:val="none" w:sz="0" w:space="0" w:color="auto"/>
        <w:left w:val="none" w:sz="0" w:space="0" w:color="auto"/>
        <w:bottom w:val="none" w:sz="0" w:space="0" w:color="auto"/>
        <w:right w:val="none" w:sz="0" w:space="0" w:color="auto"/>
      </w:divBdr>
    </w:div>
    <w:div w:id="1528179435">
      <w:marLeft w:val="0"/>
      <w:marRight w:val="0"/>
      <w:marTop w:val="0"/>
      <w:marBottom w:val="0"/>
      <w:divBdr>
        <w:top w:val="none" w:sz="0" w:space="0" w:color="auto"/>
        <w:left w:val="none" w:sz="0" w:space="0" w:color="auto"/>
        <w:bottom w:val="none" w:sz="0" w:space="0" w:color="auto"/>
        <w:right w:val="none" w:sz="0" w:space="0" w:color="auto"/>
      </w:divBdr>
    </w:div>
    <w:div w:id="1528179436">
      <w:marLeft w:val="0"/>
      <w:marRight w:val="0"/>
      <w:marTop w:val="0"/>
      <w:marBottom w:val="0"/>
      <w:divBdr>
        <w:top w:val="none" w:sz="0" w:space="0" w:color="auto"/>
        <w:left w:val="none" w:sz="0" w:space="0" w:color="auto"/>
        <w:bottom w:val="none" w:sz="0" w:space="0" w:color="auto"/>
        <w:right w:val="none" w:sz="0" w:space="0" w:color="auto"/>
      </w:divBdr>
    </w:div>
    <w:div w:id="1528179437">
      <w:marLeft w:val="0"/>
      <w:marRight w:val="0"/>
      <w:marTop w:val="0"/>
      <w:marBottom w:val="0"/>
      <w:divBdr>
        <w:top w:val="none" w:sz="0" w:space="0" w:color="auto"/>
        <w:left w:val="none" w:sz="0" w:space="0" w:color="auto"/>
        <w:bottom w:val="none" w:sz="0" w:space="0" w:color="auto"/>
        <w:right w:val="none" w:sz="0" w:space="0" w:color="auto"/>
      </w:divBdr>
    </w:div>
    <w:div w:id="1528179438">
      <w:marLeft w:val="0"/>
      <w:marRight w:val="0"/>
      <w:marTop w:val="0"/>
      <w:marBottom w:val="0"/>
      <w:divBdr>
        <w:top w:val="none" w:sz="0" w:space="0" w:color="auto"/>
        <w:left w:val="none" w:sz="0" w:space="0" w:color="auto"/>
        <w:bottom w:val="none" w:sz="0" w:space="0" w:color="auto"/>
        <w:right w:val="none" w:sz="0" w:space="0" w:color="auto"/>
      </w:divBdr>
    </w:div>
    <w:div w:id="1528179439">
      <w:marLeft w:val="0"/>
      <w:marRight w:val="0"/>
      <w:marTop w:val="0"/>
      <w:marBottom w:val="0"/>
      <w:divBdr>
        <w:top w:val="none" w:sz="0" w:space="0" w:color="auto"/>
        <w:left w:val="none" w:sz="0" w:space="0" w:color="auto"/>
        <w:bottom w:val="none" w:sz="0" w:space="0" w:color="auto"/>
        <w:right w:val="none" w:sz="0" w:space="0" w:color="auto"/>
      </w:divBdr>
    </w:div>
    <w:div w:id="1528179440">
      <w:marLeft w:val="0"/>
      <w:marRight w:val="0"/>
      <w:marTop w:val="0"/>
      <w:marBottom w:val="0"/>
      <w:divBdr>
        <w:top w:val="none" w:sz="0" w:space="0" w:color="auto"/>
        <w:left w:val="none" w:sz="0" w:space="0" w:color="auto"/>
        <w:bottom w:val="none" w:sz="0" w:space="0" w:color="auto"/>
        <w:right w:val="none" w:sz="0" w:space="0" w:color="auto"/>
      </w:divBdr>
    </w:div>
    <w:div w:id="1528179441">
      <w:marLeft w:val="0"/>
      <w:marRight w:val="0"/>
      <w:marTop w:val="0"/>
      <w:marBottom w:val="0"/>
      <w:divBdr>
        <w:top w:val="none" w:sz="0" w:space="0" w:color="auto"/>
        <w:left w:val="none" w:sz="0" w:space="0" w:color="auto"/>
        <w:bottom w:val="none" w:sz="0" w:space="0" w:color="auto"/>
        <w:right w:val="none" w:sz="0" w:space="0" w:color="auto"/>
      </w:divBdr>
    </w:div>
    <w:div w:id="1528179442">
      <w:marLeft w:val="0"/>
      <w:marRight w:val="0"/>
      <w:marTop w:val="0"/>
      <w:marBottom w:val="0"/>
      <w:divBdr>
        <w:top w:val="none" w:sz="0" w:space="0" w:color="auto"/>
        <w:left w:val="none" w:sz="0" w:space="0" w:color="auto"/>
        <w:bottom w:val="none" w:sz="0" w:space="0" w:color="auto"/>
        <w:right w:val="none" w:sz="0" w:space="0" w:color="auto"/>
      </w:divBdr>
    </w:div>
    <w:div w:id="1528179443">
      <w:marLeft w:val="0"/>
      <w:marRight w:val="0"/>
      <w:marTop w:val="0"/>
      <w:marBottom w:val="0"/>
      <w:divBdr>
        <w:top w:val="none" w:sz="0" w:space="0" w:color="auto"/>
        <w:left w:val="none" w:sz="0" w:space="0" w:color="auto"/>
        <w:bottom w:val="none" w:sz="0" w:space="0" w:color="auto"/>
        <w:right w:val="none" w:sz="0" w:space="0" w:color="auto"/>
      </w:divBdr>
    </w:div>
    <w:div w:id="1528179444">
      <w:marLeft w:val="0"/>
      <w:marRight w:val="0"/>
      <w:marTop w:val="0"/>
      <w:marBottom w:val="0"/>
      <w:divBdr>
        <w:top w:val="none" w:sz="0" w:space="0" w:color="auto"/>
        <w:left w:val="none" w:sz="0" w:space="0" w:color="auto"/>
        <w:bottom w:val="none" w:sz="0" w:space="0" w:color="auto"/>
        <w:right w:val="none" w:sz="0" w:space="0" w:color="auto"/>
      </w:divBdr>
    </w:div>
    <w:div w:id="1528179445">
      <w:marLeft w:val="0"/>
      <w:marRight w:val="0"/>
      <w:marTop w:val="0"/>
      <w:marBottom w:val="0"/>
      <w:divBdr>
        <w:top w:val="none" w:sz="0" w:space="0" w:color="auto"/>
        <w:left w:val="none" w:sz="0" w:space="0" w:color="auto"/>
        <w:bottom w:val="none" w:sz="0" w:space="0" w:color="auto"/>
        <w:right w:val="none" w:sz="0" w:space="0" w:color="auto"/>
      </w:divBdr>
    </w:div>
    <w:div w:id="1528179446">
      <w:marLeft w:val="0"/>
      <w:marRight w:val="0"/>
      <w:marTop w:val="0"/>
      <w:marBottom w:val="0"/>
      <w:divBdr>
        <w:top w:val="none" w:sz="0" w:space="0" w:color="auto"/>
        <w:left w:val="none" w:sz="0" w:space="0" w:color="auto"/>
        <w:bottom w:val="none" w:sz="0" w:space="0" w:color="auto"/>
        <w:right w:val="none" w:sz="0" w:space="0" w:color="auto"/>
      </w:divBdr>
    </w:div>
    <w:div w:id="1528179447">
      <w:marLeft w:val="0"/>
      <w:marRight w:val="0"/>
      <w:marTop w:val="0"/>
      <w:marBottom w:val="0"/>
      <w:divBdr>
        <w:top w:val="none" w:sz="0" w:space="0" w:color="auto"/>
        <w:left w:val="none" w:sz="0" w:space="0" w:color="auto"/>
        <w:bottom w:val="none" w:sz="0" w:space="0" w:color="auto"/>
        <w:right w:val="none" w:sz="0" w:space="0" w:color="auto"/>
      </w:divBdr>
    </w:div>
    <w:div w:id="1528179448">
      <w:marLeft w:val="0"/>
      <w:marRight w:val="0"/>
      <w:marTop w:val="0"/>
      <w:marBottom w:val="0"/>
      <w:divBdr>
        <w:top w:val="none" w:sz="0" w:space="0" w:color="auto"/>
        <w:left w:val="none" w:sz="0" w:space="0" w:color="auto"/>
        <w:bottom w:val="none" w:sz="0" w:space="0" w:color="auto"/>
        <w:right w:val="none" w:sz="0" w:space="0" w:color="auto"/>
      </w:divBdr>
    </w:div>
    <w:div w:id="1528179449">
      <w:marLeft w:val="0"/>
      <w:marRight w:val="0"/>
      <w:marTop w:val="0"/>
      <w:marBottom w:val="0"/>
      <w:divBdr>
        <w:top w:val="none" w:sz="0" w:space="0" w:color="auto"/>
        <w:left w:val="none" w:sz="0" w:space="0" w:color="auto"/>
        <w:bottom w:val="none" w:sz="0" w:space="0" w:color="auto"/>
        <w:right w:val="none" w:sz="0" w:space="0" w:color="auto"/>
      </w:divBdr>
    </w:div>
    <w:div w:id="1528179450">
      <w:marLeft w:val="0"/>
      <w:marRight w:val="0"/>
      <w:marTop w:val="0"/>
      <w:marBottom w:val="0"/>
      <w:divBdr>
        <w:top w:val="none" w:sz="0" w:space="0" w:color="auto"/>
        <w:left w:val="none" w:sz="0" w:space="0" w:color="auto"/>
        <w:bottom w:val="none" w:sz="0" w:space="0" w:color="auto"/>
        <w:right w:val="none" w:sz="0" w:space="0" w:color="auto"/>
      </w:divBdr>
    </w:div>
    <w:div w:id="1528179451">
      <w:marLeft w:val="0"/>
      <w:marRight w:val="0"/>
      <w:marTop w:val="0"/>
      <w:marBottom w:val="0"/>
      <w:divBdr>
        <w:top w:val="none" w:sz="0" w:space="0" w:color="auto"/>
        <w:left w:val="none" w:sz="0" w:space="0" w:color="auto"/>
        <w:bottom w:val="none" w:sz="0" w:space="0" w:color="auto"/>
        <w:right w:val="none" w:sz="0" w:space="0" w:color="auto"/>
      </w:divBdr>
    </w:div>
    <w:div w:id="1528179452">
      <w:marLeft w:val="0"/>
      <w:marRight w:val="0"/>
      <w:marTop w:val="0"/>
      <w:marBottom w:val="0"/>
      <w:divBdr>
        <w:top w:val="none" w:sz="0" w:space="0" w:color="auto"/>
        <w:left w:val="none" w:sz="0" w:space="0" w:color="auto"/>
        <w:bottom w:val="none" w:sz="0" w:space="0" w:color="auto"/>
        <w:right w:val="none" w:sz="0" w:space="0" w:color="auto"/>
      </w:divBdr>
    </w:div>
    <w:div w:id="1528179453">
      <w:marLeft w:val="0"/>
      <w:marRight w:val="0"/>
      <w:marTop w:val="0"/>
      <w:marBottom w:val="0"/>
      <w:divBdr>
        <w:top w:val="none" w:sz="0" w:space="0" w:color="auto"/>
        <w:left w:val="none" w:sz="0" w:space="0" w:color="auto"/>
        <w:bottom w:val="none" w:sz="0" w:space="0" w:color="auto"/>
        <w:right w:val="none" w:sz="0" w:space="0" w:color="auto"/>
      </w:divBdr>
    </w:div>
    <w:div w:id="1528179454">
      <w:marLeft w:val="0"/>
      <w:marRight w:val="0"/>
      <w:marTop w:val="0"/>
      <w:marBottom w:val="0"/>
      <w:divBdr>
        <w:top w:val="none" w:sz="0" w:space="0" w:color="auto"/>
        <w:left w:val="none" w:sz="0" w:space="0" w:color="auto"/>
        <w:bottom w:val="none" w:sz="0" w:space="0" w:color="auto"/>
        <w:right w:val="none" w:sz="0" w:space="0" w:color="auto"/>
      </w:divBdr>
    </w:div>
    <w:div w:id="1528179455">
      <w:marLeft w:val="0"/>
      <w:marRight w:val="0"/>
      <w:marTop w:val="0"/>
      <w:marBottom w:val="0"/>
      <w:divBdr>
        <w:top w:val="none" w:sz="0" w:space="0" w:color="auto"/>
        <w:left w:val="none" w:sz="0" w:space="0" w:color="auto"/>
        <w:bottom w:val="none" w:sz="0" w:space="0" w:color="auto"/>
        <w:right w:val="none" w:sz="0" w:space="0" w:color="auto"/>
      </w:divBdr>
    </w:div>
    <w:div w:id="1528179456">
      <w:marLeft w:val="0"/>
      <w:marRight w:val="0"/>
      <w:marTop w:val="0"/>
      <w:marBottom w:val="0"/>
      <w:divBdr>
        <w:top w:val="none" w:sz="0" w:space="0" w:color="auto"/>
        <w:left w:val="none" w:sz="0" w:space="0" w:color="auto"/>
        <w:bottom w:val="none" w:sz="0" w:space="0" w:color="auto"/>
        <w:right w:val="none" w:sz="0" w:space="0" w:color="auto"/>
      </w:divBdr>
    </w:div>
    <w:div w:id="1528179457">
      <w:marLeft w:val="0"/>
      <w:marRight w:val="0"/>
      <w:marTop w:val="0"/>
      <w:marBottom w:val="0"/>
      <w:divBdr>
        <w:top w:val="none" w:sz="0" w:space="0" w:color="auto"/>
        <w:left w:val="none" w:sz="0" w:space="0" w:color="auto"/>
        <w:bottom w:val="none" w:sz="0" w:space="0" w:color="auto"/>
        <w:right w:val="none" w:sz="0" w:space="0" w:color="auto"/>
      </w:divBdr>
    </w:div>
    <w:div w:id="1528179458">
      <w:marLeft w:val="0"/>
      <w:marRight w:val="0"/>
      <w:marTop w:val="0"/>
      <w:marBottom w:val="0"/>
      <w:divBdr>
        <w:top w:val="none" w:sz="0" w:space="0" w:color="auto"/>
        <w:left w:val="none" w:sz="0" w:space="0" w:color="auto"/>
        <w:bottom w:val="none" w:sz="0" w:space="0" w:color="auto"/>
        <w:right w:val="none" w:sz="0" w:space="0" w:color="auto"/>
      </w:divBdr>
    </w:div>
    <w:div w:id="1528179459">
      <w:marLeft w:val="0"/>
      <w:marRight w:val="0"/>
      <w:marTop w:val="0"/>
      <w:marBottom w:val="0"/>
      <w:divBdr>
        <w:top w:val="none" w:sz="0" w:space="0" w:color="auto"/>
        <w:left w:val="none" w:sz="0" w:space="0" w:color="auto"/>
        <w:bottom w:val="none" w:sz="0" w:space="0" w:color="auto"/>
        <w:right w:val="none" w:sz="0" w:space="0" w:color="auto"/>
      </w:divBdr>
    </w:div>
    <w:div w:id="1528179460">
      <w:marLeft w:val="0"/>
      <w:marRight w:val="0"/>
      <w:marTop w:val="0"/>
      <w:marBottom w:val="0"/>
      <w:divBdr>
        <w:top w:val="none" w:sz="0" w:space="0" w:color="auto"/>
        <w:left w:val="none" w:sz="0" w:space="0" w:color="auto"/>
        <w:bottom w:val="none" w:sz="0" w:space="0" w:color="auto"/>
        <w:right w:val="none" w:sz="0" w:space="0" w:color="auto"/>
      </w:divBdr>
    </w:div>
    <w:div w:id="1528179461">
      <w:marLeft w:val="0"/>
      <w:marRight w:val="0"/>
      <w:marTop w:val="0"/>
      <w:marBottom w:val="0"/>
      <w:divBdr>
        <w:top w:val="none" w:sz="0" w:space="0" w:color="auto"/>
        <w:left w:val="none" w:sz="0" w:space="0" w:color="auto"/>
        <w:bottom w:val="none" w:sz="0" w:space="0" w:color="auto"/>
        <w:right w:val="none" w:sz="0" w:space="0" w:color="auto"/>
      </w:divBdr>
    </w:div>
    <w:div w:id="1528179462">
      <w:marLeft w:val="0"/>
      <w:marRight w:val="0"/>
      <w:marTop w:val="0"/>
      <w:marBottom w:val="0"/>
      <w:divBdr>
        <w:top w:val="none" w:sz="0" w:space="0" w:color="auto"/>
        <w:left w:val="none" w:sz="0" w:space="0" w:color="auto"/>
        <w:bottom w:val="none" w:sz="0" w:space="0" w:color="auto"/>
        <w:right w:val="none" w:sz="0" w:space="0" w:color="auto"/>
      </w:divBdr>
    </w:div>
    <w:div w:id="1528179463">
      <w:marLeft w:val="0"/>
      <w:marRight w:val="0"/>
      <w:marTop w:val="0"/>
      <w:marBottom w:val="0"/>
      <w:divBdr>
        <w:top w:val="none" w:sz="0" w:space="0" w:color="auto"/>
        <w:left w:val="none" w:sz="0" w:space="0" w:color="auto"/>
        <w:bottom w:val="none" w:sz="0" w:space="0" w:color="auto"/>
        <w:right w:val="none" w:sz="0" w:space="0" w:color="auto"/>
      </w:divBdr>
    </w:div>
    <w:div w:id="1528179464">
      <w:marLeft w:val="0"/>
      <w:marRight w:val="0"/>
      <w:marTop w:val="0"/>
      <w:marBottom w:val="0"/>
      <w:divBdr>
        <w:top w:val="none" w:sz="0" w:space="0" w:color="auto"/>
        <w:left w:val="none" w:sz="0" w:space="0" w:color="auto"/>
        <w:bottom w:val="none" w:sz="0" w:space="0" w:color="auto"/>
        <w:right w:val="none" w:sz="0" w:space="0" w:color="auto"/>
      </w:divBdr>
    </w:div>
    <w:div w:id="1528179465">
      <w:marLeft w:val="0"/>
      <w:marRight w:val="0"/>
      <w:marTop w:val="0"/>
      <w:marBottom w:val="0"/>
      <w:divBdr>
        <w:top w:val="none" w:sz="0" w:space="0" w:color="auto"/>
        <w:left w:val="none" w:sz="0" w:space="0" w:color="auto"/>
        <w:bottom w:val="none" w:sz="0" w:space="0" w:color="auto"/>
        <w:right w:val="none" w:sz="0" w:space="0" w:color="auto"/>
      </w:divBdr>
    </w:div>
    <w:div w:id="1528179466">
      <w:marLeft w:val="0"/>
      <w:marRight w:val="0"/>
      <w:marTop w:val="0"/>
      <w:marBottom w:val="0"/>
      <w:divBdr>
        <w:top w:val="none" w:sz="0" w:space="0" w:color="auto"/>
        <w:left w:val="none" w:sz="0" w:space="0" w:color="auto"/>
        <w:bottom w:val="none" w:sz="0" w:space="0" w:color="auto"/>
        <w:right w:val="none" w:sz="0" w:space="0" w:color="auto"/>
      </w:divBdr>
    </w:div>
    <w:div w:id="1528179468">
      <w:marLeft w:val="0"/>
      <w:marRight w:val="0"/>
      <w:marTop w:val="0"/>
      <w:marBottom w:val="0"/>
      <w:divBdr>
        <w:top w:val="none" w:sz="0" w:space="0" w:color="auto"/>
        <w:left w:val="none" w:sz="0" w:space="0" w:color="auto"/>
        <w:bottom w:val="none" w:sz="0" w:space="0" w:color="auto"/>
        <w:right w:val="none" w:sz="0" w:space="0" w:color="auto"/>
      </w:divBdr>
    </w:div>
    <w:div w:id="1528179469">
      <w:marLeft w:val="0"/>
      <w:marRight w:val="0"/>
      <w:marTop w:val="0"/>
      <w:marBottom w:val="0"/>
      <w:divBdr>
        <w:top w:val="none" w:sz="0" w:space="0" w:color="auto"/>
        <w:left w:val="none" w:sz="0" w:space="0" w:color="auto"/>
        <w:bottom w:val="none" w:sz="0" w:space="0" w:color="auto"/>
        <w:right w:val="none" w:sz="0" w:space="0" w:color="auto"/>
      </w:divBdr>
    </w:div>
    <w:div w:id="1528179470">
      <w:marLeft w:val="0"/>
      <w:marRight w:val="0"/>
      <w:marTop w:val="0"/>
      <w:marBottom w:val="0"/>
      <w:divBdr>
        <w:top w:val="none" w:sz="0" w:space="0" w:color="auto"/>
        <w:left w:val="none" w:sz="0" w:space="0" w:color="auto"/>
        <w:bottom w:val="none" w:sz="0" w:space="0" w:color="auto"/>
        <w:right w:val="none" w:sz="0" w:space="0" w:color="auto"/>
      </w:divBdr>
    </w:div>
    <w:div w:id="1528179472">
      <w:marLeft w:val="0"/>
      <w:marRight w:val="0"/>
      <w:marTop w:val="0"/>
      <w:marBottom w:val="0"/>
      <w:divBdr>
        <w:top w:val="none" w:sz="0" w:space="0" w:color="auto"/>
        <w:left w:val="none" w:sz="0" w:space="0" w:color="auto"/>
        <w:bottom w:val="none" w:sz="0" w:space="0" w:color="auto"/>
        <w:right w:val="none" w:sz="0" w:space="0" w:color="auto"/>
      </w:divBdr>
    </w:div>
    <w:div w:id="1528179473">
      <w:marLeft w:val="0"/>
      <w:marRight w:val="0"/>
      <w:marTop w:val="0"/>
      <w:marBottom w:val="0"/>
      <w:divBdr>
        <w:top w:val="none" w:sz="0" w:space="0" w:color="auto"/>
        <w:left w:val="none" w:sz="0" w:space="0" w:color="auto"/>
        <w:bottom w:val="none" w:sz="0" w:space="0" w:color="auto"/>
        <w:right w:val="none" w:sz="0" w:space="0" w:color="auto"/>
      </w:divBdr>
    </w:div>
    <w:div w:id="1528179474">
      <w:marLeft w:val="0"/>
      <w:marRight w:val="0"/>
      <w:marTop w:val="0"/>
      <w:marBottom w:val="0"/>
      <w:divBdr>
        <w:top w:val="none" w:sz="0" w:space="0" w:color="auto"/>
        <w:left w:val="none" w:sz="0" w:space="0" w:color="auto"/>
        <w:bottom w:val="none" w:sz="0" w:space="0" w:color="auto"/>
        <w:right w:val="none" w:sz="0" w:space="0" w:color="auto"/>
      </w:divBdr>
    </w:div>
    <w:div w:id="1528179475">
      <w:marLeft w:val="0"/>
      <w:marRight w:val="0"/>
      <w:marTop w:val="0"/>
      <w:marBottom w:val="0"/>
      <w:divBdr>
        <w:top w:val="none" w:sz="0" w:space="0" w:color="auto"/>
        <w:left w:val="none" w:sz="0" w:space="0" w:color="auto"/>
        <w:bottom w:val="none" w:sz="0" w:space="0" w:color="auto"/>
        <w:right w:val="none" w:sz="0" w:space="0" w:color="auto"/>
      </w:divBdr>
    </w:div>
    <w:div w:id="1528179477">
      <w:marLeft w:val="0"/>
      <w:marRight w:val="0"/>
      <w:marTop w:val="0"/>
      <w:marBottom w:val="0"/>
      <w:divBdr>
        <w:top w:val="none" w:sz="0" w:space="0" w:color="auto"/>
        <w:left w:val="none" w:sz="0" w:space="0" w:color="auto"/>
        <w:bottom w:val="none" w:sz="0" w:space="0" w:color="auto"/>
        <w:right w:val="none" w:sz="0" w:space="0" w:color="auto"/>
      </w:divBdr>
    </w:div>
    <w:div w:id="1528179478">
      <w:marLeft w:val="0"/>
      <w:marRight w:val="0"/>
      <w:marTop w:val="0"/>
      <w:marBottom w:val="0"/>
      <w:divBdr>
        <w:top w:val="none" w:sz="0" w:space="0" w:color="auto"/>
        <w:left w:val="none" w:sz="0" w:space="0" w:color="auto"/>
        <w:bottom w:val="none" w:sz="0" w:space="0" w:color="auto"/>
        <w:right w:val="none" w:sz="0" w:space="0" w:color="auto"/>
      </w:divBdr>
      <w:divsChild>
        <w:div w:id="1528179476">
          <w:marLeft w:val="0"/>
          <w:marRight w:val="0"/>
          <w:marTop w:val="0"/>
          <w:marBottom w:val="0"/>
          <w:divBdr>
            <w:top w:val="none" w:sz="0" w:space="0" w:color="auto"/>
            <w:left w:val="none" w:sz="0" w:space="0" w:color="auto"/>
            <w:bottom w:val="none" w:sz="0" w:space="0" w:color="auto"/>
            <w:right w:val="none" w:sz="0" w:space="0" w:color="auto"/>
          </w:divBdr>
          <w:divsChild>
            <w:div w:id="1528179467">
              <w:marLeft w:val="0"/>
              <w:marRight w:val="0"/>
              <w:marTop w:val="0"/>
              <w:marBottom w:val="0"/>
              <w:divBdr>
                <w:top w:val="none" w:sz="0" w:space="0" w:color="auto"/>
                <w:left w:val="none" w:sz="0" w:space="0" w:color="auto"/>
                <w:bottom w:val="none" w:sz="0" w:space="0" w:color="auto"/>
                <w:right w:val="none" w:sz="0" w:space="0" w:color="auto"/>
              </w:divBdr>
            </w:div>
            <w:div w:id="15281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79479">
      <w:marLeft w:val="0"/>
      <w:marRight w:val="0"/>
      <w:marTop w:val="0"/>
      <w:marBottom w:val="0"/>
      <w:divBdr>
        <w:top w:val="none" w:sz="0" w:space="0" w:color="auto"/>
        <w:left w:val="none" w:sz="0" w:space="0" w:color="auto"/>
        <w:bottom w:val="none" w:sz="0" w:space="0" w:color="auto"/>
        <w:right w:val="none" w:sz="0" w:space="0" w:color="auto"/>
      </w:divBdr>
    </w:div>
    <w:div w:id="1528179480">
      <w:marLeft w:val="0"/>
      <w:marRight w:val="0"/>
      <w:marTop w:val="0"/>
      <w:marBottom w:val="0"/>
      <w:divBdr>
        <w:top w:val="none" w:sz="0" w:space="0" w:color="auto"/>
        <w:left w:val="none" w:sz="0" w:space="0" w:color="auto"/>
        <w:bottom w:val="none" w:sz="0" w:space="0" w:color="auto"/>
        <w:right w:val="none" w:sz="0" w:space="0" w:color="auto"/>
      </w:divBdr>
    </w:div>
    <w:div w:id="1528179481">
      <w:marLeft w:val="0"/>
      <w:marRight w:val="0"/>
      <w:marTop w:val="0"/>
      <w:marBottom w:val="0"/>
      <w:divBdr>
        <w:top w:val="none" w:sz="0" w:space="0" w:color="auto"/>
        <w:left w:val="none" w:sz="0" w:space="0" w:color="auto"/>
        <w:bottom w:val="none" w:sz="0" w:space="0" w:color="auto"/>
        <w:right w:val="none" w:sz="0" w:space="0" w:color="auto"/>
      </w:divBdr>
    </w:div>
    <w:div w:id="1528179482">
      <w:marLeft w:val="0"/>
      <w:marRight w:val="0"/>
      <w:marTop w:val="0"/>
      <w:marBottom w:val="0"/>
      <w:divBdr>
        <w:top w:val="none" w:sz="0" w:space="0" w:color="auto"/>
        <w:left w:val="none" w:sz="0" w:space="0" w:color="auto"/>
        <w:bottom w:val="none" w:sz="0" w:space="0" w:color="auto"/>
        <w:right w:val="none" w:sz="0" w:space="0" w:color="auto"/>
      </w:divBdr>
    </w:div>
    <w:div w:id="1528179483">
      <w:marLeft w:val="0"/>
      <w:marRight w:val="0"/>
      <w:marTop w:val="0"/>
      <w:marBottom w:val="0"/>
      <w:divBdr>
        <w:top w:val="none" w:sz="0" w:space="0" w:color="auto"/>
        <w:left w:val="none" w:sz="0" w:space="0" w:color="auto"/>
        <w:bottom w:val="none" w:sz="0" w:space="0" w:color="auto"/>
        <w:right w:val="none" w:sz="0" w:space="0" w:color="auto"/>
      </w:divBdr>
    </w:div>
    <w:div w:id="1528179484">
      <w:marLeft w:val="0"/>
      <w:marRight w:val="0"/>
      <w:marTop w:val="0"/>
      <w:marBottom w:val="0"/>
      <w:divBdr>
        <w:top w:val="none" w:sz="0" w:space="0" w:color="auto"/>
        <w:left w:val="none" w:sz="0" w:space="0" w:color="auto"/>
        <w:bottom w:val="none" w:sz="0" w:space="0" w:color="auto"/>
        <w:right w:val="none" w:sz="0" w:space="0" w:color="auto"/>
      </w:divBdr>
    </w:div>
    <w:div w:id="1528179485">
      <w:marLeft w:val="0"/>
      <w:marRight w:val="0"/>
      <w:marTop w:val="0"/>
      <w:marBottom w:val="0"/>
      <w:divBdr>
        <w:top w:val="none" w:sz="0" w:space="0" w:color="auto"/>
        <w:left w:val="none" w:sz="0" w:space="0" w:color="auto"/>
        <w:bottom w:val="none" w:sz="0" w:space="0" w:color="auto"/>
        <w:right w:val="none" w:sz="0" w:space="0" w:color="auto"/>
      </w:divBdr>
    </w:div>
    <w:div w:id="1528179486">
      <w:marLeft w:val="0"/>
      <w:marRight w:val="0"/>
      <w:marTop w:val="0"/>
      <w:marBottom w:val="0"/>
      <w:divBdr>
        <w:top w:val="none" w:sz="0" w:space="0" w:color="auto"/>
        <w:left w:val="none" w:sz="0" w:space="0" w:color="auto"/>
        <w:bottom w:val="none" w:sz="0" w:space="0" w:color="auto"/>
        <w:right w:val="none" w:sz="0" w:space="0" w:color="auto"/>
      </w:divBdr>
    </w:div>
    <w:div w:id="1528179487">
      <w:marLeft w:val="0"/>
      <w:marRight w:val="0"/>
      <w:marTop w:val="0"/>
      <w:marBottom w:val="0"/>
      <w:divBdr>
        <w:top w:val="none" w:sz="0" w:space="0" w:color="auto"/>
        <w:left w:val="none" w:sz="0" w:space="0" w:color="auto"/>
        <w:bottom w:val="none" w:sz="0" w:space="0" w:color="auto"/>
        <w:right w:val="none" w:sz="0" w:space="0" w:color="auto"/>
      </w:divBdr>
    </w:div>
    <w:div w:id="1528179488">
      <w:marLeft w:val="0"/>
      <w:marRight w:val="0"/>
      <w:marTop w:val="0"/>
      <w:marBottom w:val="0"/>
      <w:divBdr>
        <w:top w:val="none" w:sz="0" w:space="0" w:color="auto"/>
        <w:left w:val="none" w:sz="0" w:space="0" w:color="auto"/>
        <w:bottom w:val="none" w:sz="0" w:space="0" w:color="auto"/>
        <w:right w:val="none" w:sz="0" w:space="0" w:color="auto"/>
      </w:divBdr>
    </w:div>
    <w:div w:id="1528179489">
      <w:marLeft w:val="0"/>
      <w:marRight w:val="0"/>
      <w:marTop w:val="0"/>
      <w:marBottom w:val="0"/>
      <w:divBdr>
        <w:top w:val="none" w:sz="0" w:space="0" w:color="auto"/>
        <w:left w:val="none" w:sz="0" w:space="0" w:color="auto"/>
        <w:bottom w:val="none" w:sz="0" w:space="0" w:color="auto"/>
        <w:right w:val="none" w:sz="0" w:space="0" w:color="auto"/>
      </w:divBdr>
    </w:div>
    <w:div w:id="1528179490">
      <w:marLeft w:val="0"/>
      <w:marRight w:val="0"/>
      <w:marTop w:val="0"/>
      <w:marBottom w:val="0"/>
      <w:divBdr>
        <w:top w:val="none" w:sz="0" w:space="0" w:color="auto"/>
        <w:left w:val="none" w:sz="0" w:space="0" w:color="auto"/>
        <w:bottom w:val="none" w:sz="0" w:space="0" w:color="auto"/>
        <w:right w:val="none" w:sz="0" w:space="0" w:color="auto"/>
      </w:divBdr>
    </w:div>
    <w:div w:id="1528179491">
      <w:marLeft w:val="0"/>
      <w:marRight w:val="0"/>
      <w:marTop w:val="0"/>
      <w:marBottom w:val="0"/>
      <w:divBdr>
        <w:top w:val="none" w:sz="0" w:space="0" w:color="auto"/>
        <w:left w:val="none" w:sz="0" w:space="0" w:color="auto"/>
        <w:bottom w:val="none" w:sz="0" w:space="0" w:color="auto"/>
        <w:right w:val="none" w:sz="0" w:space="0" w:color="auto"/>
      </w:divBdr>
    </w:div>
    <w:div w:id="1528179492">
      <w:marLeft w:val="0"/>
      <w:marRight w:val="0"/>
      <w:marTop w:val="0"/>
      <w:marBottom w:val="0"/>
      <w:divBdr>
        <w:top w:val="none" w:sz="0" w:space="0" w:color="auto"/>
        <w:left w:val="none" w:sz="0" w:space="0" w:color="auto"/>
        <w:bottom w:val="none" w:sz="0" w:space="0" w:color="auto"/>
        <w:right w:val="none" w:sz="0" w:space="0" w:color="auto"/>
      </w:divBdr>
    </w:div>
    <w:div w:id="1528179493">
      <w:marLeft w:val="0"/>
      <w:marRight w:val="0"/>
      <w:marTop w:val="0"/>
      <w:marBottom w:val="0"/>
      <w:divBdr>
        <w:top w:val="none" w:sz="0" w:space="0" w:color="auto"/>
        <w:left w:val="none" w:sz="0" w:space="0" w:color="auto"/>
        <w:bottom w:val="none" w:sz="0" w:space="0" w:color="auto"/>
        <w:right w:val="none" w:sz="0" w:space="0" w:color="auto"/>
      </w:divBdr>
    </w:div>
    <w:div w:id="1528179494">
      <w:marLeft w:val="0"/>
      <w:marRight w:val="0"/>
      <w:marTop w:val="0"/>
      <w:marBottom w:val="0"/>
      <w:divBdr>
        <w:top w:val="none" w:sz="0" w:space="0" w:color="auto"/>
        <w:left w:val="none" w:sz="0" w:space="0" w:color="auto"/>
        <w:bottom w:val="none" w:sz="0" w:space="0" w:color="auto"/>
        <w:right w:val="none" w:sz="0" w:space="0" w:color="auto"/>
      </w:divBdr>
    </w:div>
    <w:div w:id="1528179495">
      <w:marLeft w:val="0"/>
      <w:marRight w:val="0"/>
      <w:marTop w:val="0"/>
      <w:marBottom w:val="0"/>
      <w:divBdr>
        <w:top w:val="none" w:sz="0" w:space="0" w:color="auto"/>
        <w:left w:val="none" w:sz="0" w:space="0" w:color="auto"/>
        <w:bottom w:val="none" w:sz="0" w:space="0" w:color="auto"/>
        <w:right w:val="none" w:sz="0" w:space="0" w:color="auto"/>
      </w:divBdr>
    </w:div>
    <w:div w:id="1528179496">
      <w:marLeft w:val="0"/>
      <w:marRight w:val="0"/>
      <w:marTop w:val="0"/>
      <w:marBottom w:val="0"/>
      <w:divBdr>
        <w:top w:val="none" w:sz="0" w:space="0" w:color="auto"/>
        <w:left w:val="none" w:sz="0" w:space="0" w:color="auto"/>
        <w:bottom w:val="none" w:sz="0" w:space="0" w:color="auto"/>
        <w:right w:val="none" w:sz="0" w:space="0" w:color="auto"/>
      </w:divBdr>
    </w:div>
    <w:div w:id="1528179497">
      <w:marLeft w:val="0"/>
      <w:marRight w:val="0"/>
      <w:marTop w:val="0"/>
      <w:marBottom w:val="0"/>
      <w:divBdr>
        <w:top w:val="none" w:sz="0" w:space="0" w:color="auto"/>
        <w:left w:val="none" w:sz="0" w:space="0" w:color="auto"/>
        <w:bottom w:val="none" w:sz="0" w:space="0" w:color="auto"/>
        <w:right w:val="none" w:sz="0" w:space="0" w:color="auto"/>
      </w:divBdr>
    </w:div>
    <w:div w:id="1528179498">
      <w:marLeft w:val="0"/>
      <w:marRight w:val="0"/>
      <w:marTop w:val="0"/>
      <w:marBottom w:val="0"/>
      <w:divBdr>
        <w:top w:val="none" w:sz="0" w:space="0" w:color="auto"/>
        <w:left w:val="none" w:sz="0" w:space="0" w:color="auto"/>
        <w:bottom w:val="none" w:sz="0" w:space="0" w:color="auto"/>
        <w:right w:val="none" w:sz="0" w:space="0" w:color="auto"/>
      </w:divBdr>
    </w:div>
    <w:div w:id="1528179499">
      <w:marLeft w:val="0"/>
      <w:marRight w:val="0"/>
      <w:marTop w:val="0"/>
      <w:marBottom w:val="0"/>
      <w:divBdr>
        <w:top w:val="none" w:sz="0" w:space="0" w:color="auto"/>
        <w:left w:val="none" w:sz="0" w:space="0" w:color="auto"/>
        <w:bottom w:val="none" w:sz="0" w:space="0" w:color="auto"/>
        <w:right w:val="none" w:sz="0" w:space="0" w:color="auto"/>
      </w:divBdr>
    </w:div>
    <w:div w:id="1528179500">
      <w:marLeft w:val="0"/>
      <w:marRight w:val="0"/>
      <w:marTop w:val="0"/>
      <w:marBottom w:val="0"/>
      <w:divBdr>
        <w:top w:val="none" w:sz="0" w:space="0" w:color="auto"/>
        <w:left w:val="none" w:sz="0" w:space="0" w:color="auto"/>
        <w:bottom w:val="none" w:sz="0" w:space="0" w:color="auto"/>
        <w:right w:val="none" w:sz="0" w:space="0" w:color="auto"/>
      </w:divBdr>
    </w:div>
    <w:div w:id="1528179501">
      <w:marLeft w:val="0"/>
      <w:marRight w:val="0"/>
      <w:marTop w:val="0"/>
      <w:marBottom w:val="0"/>
      <w:divBdr>
        <w:top w:val="none" w:sz="0" w:space="0" w:color="auto"/>
        <w:left w:val="none" w:sz="0" w:space="0" w:color="auto"/>
        <w:bottom w:val="none" w:sz="0" w:space="0" w:color="auto"/>
        <w:right w:val="none" w:sz="0" w:space="0" w:color="auto"/>
      </w:divBdr>
    </w:div>
    <w:div w:id="1528179502">
      <w:marLeft w:val="0"/>
      <w:marRight w:val="0"/>
      <w:marTop w:val="0"/>
      <w:marBottom w:val="0"/>
      <w:divBdr>
        <w:top w:val="none" w:sz="0" w:space="0" w:color="auto"/>
        <w:left w:val="none" w:sz="0" w:space="0" w:color="auto"/>
        <w:bottom w:val="none" w:sz="0" w:space="0" w:color="auto"/>
        <w:right w:val="none" w:sz="0" w:space="0" w:color="auto"/>
      </w:divBdr>
    </w:div>
    <w:div w:id="1528179503">
      <w:marLeft w:val="0"/>
      <w:marRight w:val="0"/>
      <w:marTop w:val="0"/>
      <w:marBottom w:val="0"/>
      <w:divBdr>
        <w:top w:val="none" w:sz="0" w:space="0" w:color="auto"/>
        <w:left w:val="none" w:sz="0" w:space="0" w:color="auto"/>
        <w:bottom w:val="none" w:sz="0" w:space="0" w:color="auto"/>
        <w:right w:val="none" w:sz="0" w:space="0" w:color="auto"/>
      </w:divBdr>
    </w:div>
    <w:div w:id="1528179504">
      <w:marLeft w:val="0"/>
      <w:marRight w:val="0"/>
      <w:marTop w:val="0"/>
      <w:marBottom w:val="0"/>
      <w:divBdr>
        <w:top w:val="none" w:sz="0" w:space="0" w:color="auto"/>
        <w:left w:val="none" w:sz="0" w:space="0" w:color="auto"/>
        <w:bottom w:val="none" w:sz="0" w:space="0" w:color="auto"/>
        <w:right w:val="none" w:sz="0" w:space="0" w:color="auto"/>
      </w:divBdr>
    </w:div>
    <w:div w:id="1528179505">
      <w:marLeft w:val="0"/>
      <w:marRight w:val="0"/>
      <w:marTop w:val="0"/>
      <w:marBottom w:val="0"/>
      <w:divBdr>
        <w:top w:val="none" w:sz="0" w:space="0" w:color="auto"/>
        <w:left w:val="none" w:sz="0" w:space="0" w:color="auto"/>
        <w:bottom w:val="none" w:sz="0" w:space="0" w:color="auto"/>
        <w:right w:val="none" w:sz="0" w:space="0" w:color="auto"/>
      </w:divBdr>
    </w:div>
    <w:div w:id="1528179506">
      <w:marLeft w:val="0"/>
      <w:marRight w:val="0"/>
      <w:marTop w:val="0"/>
      <w:marBottom w:val="0"/>
      <w:divBdr>
        <w:top w:val="none" w:sz="0" w:space="0" w:color="auto"/>
        <w:left w:val="none" w:sz="0" w:space="0" w:color="auto"/>
        <w:bottom w:val="none" w:sz="0" w:space="0" w:color="auto"/>
        <w:right w:val="none" w:sz="0" w:space="0" w:color="auto"/>
      </w:divBdr>
    </w:div>
    <w:div w:id="1528179507">
      <w:marLeft w:val="0"/>
      <w:marRight w:val="0"/>
      <w:marTop w:val="0"/>
      <w:marBottom w:val="0"/>
      <w:divBdr>
        <w:top w:val="none" w:sz="0" w:space="0" w:color="auto"/>
        <w:left w:val="none" w:sz="0" w:space="0" w:color="auto"/>
        <w:bottom w:val="none" w:sz="0" w:space="0" w:color="auto"/>
        <w:right w:val="none" w:sz="0" w:space="0" w:color="auto"/>
      </w:divBdr>
    </w:div>
    <w:div w:id="1528179508">
      <w:marLeft w:val="0"/>
      <w:marRight w:val="0"/>
      <w:marTop w:val="0"/>
      <w:marBottom w:val="0"/>
      <w:divBdr>
        <w:top w:val="none" w:sz="0" w:space="0" w:color="auto"/>
        <w:left w:val="none" w:sz="0" w:space="0" w:color="auto"/>
        <w:bottom w:val="none" w:sz="0" w:space="0" w:color="auto"/>
        <w:right w:val="none" w:sz="0" w:space="0" w:color="auto"/>
      </w:divBdr>
    </w:div>
    <w:div w:id="1528179509">
      <w:marLeft w:val="0"/>
      <w:marRight w:val="0"/>
      <w:marTop w:val="0"/>
      <w:marBottom w:val="0"/>
      <w:divBdr>
        <w:top w:val="none" w:sz="0" w:space="0" w:color="auto"/>
        <w:left w:val="none" w:sz="0" w:space="0" w:color="auto"/>
        <w:bottom w:val="none" w:sz="0" w:space="0" w:color="auto"/>
        <w:right w:val="none" w:sz="0" w:space="0" w:color="auto"/>
      </w:divBdr>
    </w:div>
    <w:div w:id="1528179510">
      <w:marLeft w:val="0"/>
      <w:marRight w:val="0"/>
      <w:marTop w:val="0"/>
      <w:marBottom w:val="0"/>
      <w:divBdr>
        <w:top w:val="none" w:sz="0" w:space="0" w:color="auto"/>
        <w:left w:val="none" w:sz="0" w:space="0" w:color="auto"/>
        <w:bottom w:val="none" w:sz="0" w:space="0" w:color="auto"/>
        <w:right w:val="none" w:sz="0" w:space="0" w:color="auto"/>
      </w:divBdr>
    </w:div>
    <w:div w:id="1528179511">
      <w:marLeft w:val="0"/>
      <w:marRight w:val="0"/>
      <w:marTop w:val="0"/>
      <w:marBottom w:val="0"/>
      <w:divBdr>
        <w:top w:val="none" w:sz="0" w:space="0" w:color="auto"/>
        <w:left w:val="none" w:sz="0" w:space="0" w:color="auto"/>
        <w:bottom w:val="none" w:sz="0" w:space="0" w:color="auto"/>
        <w:right w:val="none" w:sz="0" w:space="0" w:color="auto"/>
      </w:divBdr>
    </w:div>
    <w:div w:id="15281795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WKX3UHSAJ2R6-2-408356</_dlc_DocId>
    <_dlc_DocIdUrl xmlns="e60a29af-d413-48d4-bd90-fe9d2a897e4b">
      <Url>https://ovdmasv601/sites/DMS/_layouts/15/DocIdRedir.aspx?ID=WKX3UHSAJ2R6-2-408356</Url>
      <Description>WKX3UHSAJ2R6-2-408356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768A9-6B11-484D-8FAE-DD1EEE40B457}"/>
</file>

<file path=customXml/itemProps2.xml><?xml version="1.0" encoding="utf-8"?>
<ds:datastoreItem xmlns:ds="http://schemas.openxmlformats.org/officeDocument/2006/customXml" ds:itemID="{23F36894-3BBF-494D-8C61-4BB73238A253}"/>
</file>

<file path=customXml/itemProps3.xml><?xml version="1.0" encoding="utf-8"?>
<ds:datastoreItem xmlns:ds="http://schemas.openxmlformats.org/officeDocument/2006/customXml" ds:itemID="{3A007ADE-164F-4222-8076-D4CD684BD064}"/>
</file>

<file path=customXml/itemProps4.xml><?xml version="1.0" encoding="utf-8"?>
<ds:datastoreItem xmlns:ds="http://schemas.openxmlformats.org/officeDocument/2006/customXml" ds:itemID="{0FE9A0FA-CDAF-4137-8FF7-704FB3B52B6C}"/>
</file>

<file path=customXml/itemProps5.xml><?xml version="1.0" encoding="utf-8"?>
<ds:datastoreItem xmlns:ds="http://schemas.openxmlformats.org/officeDocument/2006/customXml" ds:itemID="{F8F2C5D9-CB51-49C0-961F-1F8D21D96542}"/>
</file>

<file path=docProps/app.xml><?xml version="1.0" encoding="utf-8"?>
<Properties xmlns="http://schemas.openxmlformats.org/officeDocument/2006/extended-properties" xmlns:vt="http://schemas.openxmlformats.org/officeDocument/2006/docPropsVTypes">
  <Template>Normal</Template>
  <TotalTime>1</TotalTime>
  <Pages>15</Pages>
  <Words>6041</Words>
  <Characters>34439</Characters>
  <Application>Microsoft Office Word</Application>
  <DocSecurity>0</DocSecurity>
  <Lines>286</Lines>
  <Paragraphs>80</Paragraphs>
  <ScaleCrop>false</ScaleCrop>
  <Company>MFSR</Company>
  <LinksUpToDate>false</LinksUpToDate>
  <CharactersWithSpaces>40400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mkacurova</dc:creator>
  <cp:lastModifiedBy>Michlo Martin</cp:lastModifiedBy>
  <cp:revision>2</cp:revision>
  <cp:lastPrinted>2015-03-19T07:21:00Z</cp:lastPrinted>
  <dcterms:created xsi:type="dcterms:W3CDTF">2015-04-15T06:53:00Z</dcterms:created>
  <dcterms:modified xsi:type="dcterms:W3CDTF">2015-04-15T06:53:00Z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1f252749-28e8-47d6-a27f-a7026c5d5d57</vt:lpwstr>
  </property>
</Properties>
</file>