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E5EFAF" w14:textId="40C7E4E0" w:rsidR="00E66622" w:rsidRPr="00E66622" w:rsidRDefault="0078532E" w:rsidP="00DB2917">
      <w:pPr>
        <w:spacing w:line="276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8"/>
          <w:lang w:val="en-US"/>
        </w:rPr>
        <w:t>VZNESENÉ PRIPOMIENKY V RÁMCI PRIPOMIENKOVÉHO KONANIA</w:t>
      </w:r>
      <w:r w:rsidRPr="00E66622">
        <w:rPr>
          <w:rFonts w:ascii="Times New Roman" w:eastAsia="Times New Roman" w:hAnsi="Times New Roman" w:cs="Times New Roman"/>
          <w:b/>
          <w:sz w:val="28"/>
        </w:rPr>
        <w:br/>
      </w:r>
      <w:proofErr w:type="spellStart"/>
      <w:r w:rsidR="009D32B4" w:rsidRPr="00C13765">
        <w:rPr>
          <w:rFonts w:ascii="Times New Roman" w:eastAsia="Times New Roman" w:hAnsi="Times New Roman" w:cs="Times New Roman"/>
          <w:b/>
          <w:sz w:val="24"/>
          <w:szCs w:val="20"/>
          <w:lang w:val="en-US"/>
        </w:rPr>
        <w:t>Návrh</w:t>
      </w:r>
      <w:proofErr w:type="spellEnd"/>
      <w:r w:rsidR="009D32B4" w:rsidRPr="00C13765">
        <w:rPr>
          <w:rFonts w:ascii="Times New Roman" w:eastAsia="Times New Roman" w:hAnsi="Times New Roman" w:cs="Times New Roman"/>
          <w:b/>
          <w:sz w:val="24"/>
          <w:szCs w:val="20"/>
          <w:lang w:val="en-US"/>
        </w:rPr>
        <w:t xml:space="preserve"> </w:t>
      </w:r>
      <w:proofErr w:type="spellStart"/>
      <w:r w:rsidR="009D32B4" w:rsidRPr="00C13765">
        <w:rPr>
          <w:rFonts w:ascii="Times New Roman" w:eastAsia="Times New Roman" w:hAnsi="Times New Roman" w:cs="Times New Roman"/>
          <w:b/>
          <w:sz w:val="24"/>
          <w:szCs w:val="20"/>
          <w:lang w:val="en-US"/>
        </w:rPr>
        <w:t>poslankyne</w:t>
      </w:r>
      <w:proofErr w:type="spellEnd"/>
      <w:r w:rsidR="009D32B4" w:rsidRPr="00C13765">
        <w:rPr>
          <w:rFonts w:ascii="Times New Roman" w:eastAsia="Times New Roman" w:hAnsi="Times New Roman" w:cs="Times New Roman"/>
          <w:b/>
          <w:sz w:val="24"/>
          <w:szCs w:val="20"/>
          <w:lang w:val="en-US"/>
        </w:rPr>
        <w:t xml:space="preserve"> </w:t>
      </w:r>
      <w:proofErr w:type="spellStart"/>
      <w:r w:rsidR="009D32B4" w:rsidRPr="00C13765">
        <w:rPr>
          <w:rFonts w:ascii="Times New Roman" w:eastAsia="Times New Roman" w:hAnsi="Times New Roman" w:cs="Times New Roman"/>
          <w:b/>
          <w:sz w:val="24"/>
          <w:szCs w:val="20"/>
          <w:lang w:val="en-US"/>
        </w:rPr>
        <w:t>Národnej</w:t>
      </w:r>
      <w:proofErr w:type="spellEnd"/>
      <w:r w:rsidR="009D32B4" w:rsidRPr="00C13765">
        <w:rPr>
          <w:rFonts w:ascii="Times New Roman" w:eastAsia="Times New Roman" w:hAnsi="Times New Roman" w:cs="Times New Roman"/>
          <w:b/>
          <w:sz w:val="24"/>
          <w:szCs w:val="20"/>
          <w:lang w:val="en-US"/>
        </w:rPr>
        <w:t xml:space="preserve"> </w:t>
      </w:r>
      <w:proofErr w:type="spellStart"/>
      <w:r w:rsidR="009D32B4" w:rsidRPr="00C13765">
        <w:rPr>
          <w:rFonts w:ascii="Times New Roman" w:eastAsia="Times New Roman" w:hAnsi="Times New Roman" w:cs="Times New Roman"/>
          <w:b/>
          <w:sz w:val="24"/>
          <w:szCs w:val="20"/>
          <w:lang w:val="en-US"/>
        </w:rPr>
        <w:t>rady</w:t>
      </w:r>
      <w:proofErr w:type="spellEnd"/>
      <w:r w:rsidR="009D32B4" w:rsidRPr="00C13765">
        <w:rPr>
          <w:rFonts w:ascii="Times New Roman" w:eastAsia="Times New Roman" w:hAnsi="Times New Roman" w:cs="Times New Roman"/>
          <w:b/>
          <w:sz w:val="24"/>
          <w:szCs w:val="20"/>
          <w:lang w:val="en-US"/>
        </w:rPr>
        <w:t xml:space="preserve"> </w:t>
      </w:r>
      <w:proofErr w:type="spellStart"/>
      <w:r w:rsidR="009D32B4" w:rsidRPr="00C13765">
        <w:rPr>
          <w:rFonts w:ascii="Times New Roman" w:eastAsia="Times New Roman" w:hAnsi="Times New Roman" w:cs="Times New Roman"/>
          <w:b/>
          <w:sz w:val="24"/>
          <w:szCs w:val="20"/>
          <w:lang w:val="en-US"/>
        </w:rPr>
        <w:t>Slovenskej</w:t>
      </w:r>
      <w:proofErr w:type="spellEnd"/>
      <w:r w:rsidR="009D32B4" w:rsidRPr="00C13765">
        <w:rPr>
          <w:rFonts w:ascii="Times New Roman" w:eastAsia="Times New Roman" w:hAnsi="Times New Roman" w:cs="Times New Roman"/>
          <w:b/>
          <w:sz w:val="24"/>
          <w:szCs w:val="20"/>
          <w:lang w:val="en-US"/>
        </w:rPr>
        <w:t xml:space="preserve"> </w:t>
      </w:r>
      <w:proofErr w:type="spellStart"/>
      <w:r w:rsidR="009D32B4" w:rsidRPr="00C13765">
        <w:rPr>
          <w:rFonts w:ascii="Times New Roman" w:eastAsia="Times New Roman" w:hAnsi="Times New Roman" w:cs="Times New Roman"/>
          <w:b/>
          <w:sz w:val="24"/>
          <w:szCs w:val="20"/>
          <w:lang w:val="en-US"/>
        </w:rPr>
        <w:t>republiky</w:t>
      </w:r>
      <w:proofErr w:type="spellEnd"/>
      <w:r w:rsidR="009D32B4" w:rsidRPr="00C13765">
        <w:rPr>
          <w:rFonts w:ascii="Times New Roman" w:eastAsia="Times New Roman" w:hAnsi="Times New Roman" w:cs="Times New Roman"/>
          <w:b/>
          <w:sz w:val="24"/>
          <w:szCs w:val="20"/>
          <w:lang w:val="en-US"/>
        </w:rPr>
        <w:t xml:space="preserve"> Pauly </w:t>
      </w:r>
      <w:proofErr w:type="spellStart"/>
      <w:r w:rsidR="009D32B4" w:rsidRPr="00C13765">
        <w:rPr>
          <w:rFonts w:ascii="Times New Roman" w:eastAsia="Times New Roman" w:hAnsi="Times New Roman" w:cs="Times New Roman"/>
          <w:b/>
          <w:sz w:val="24"/>
          <w:szCs w:val="20"/>
          <w:lang w:val="en-US"/>
        </w:rPr>
        <w:t>Puškárovej</w:t>
      </w:r>
      <w:proofErr w:type="spellEnd"/>
      <w:r w:rsidR="009D32B4" w:rsidRPr="00C13765">
        <w:rPr>
          <w:rFonts w:ascii="Times New Roman" w:eastAsia="Times New Roman" w:hAnsi="Times New Roman" w:cs="Times New Roman"/>
          <w:b/>
          <w:sz w:val="24"/>
          <w:szCs w:val="20"/>
          <w:lang w:val="en-US"/>
        </w:rPr>
        <w:t xml:space="preserve"> </w:t>
      </w:r>
      <w:proofErr w:type="spellStart"/>
      <w:r w:rsidR="009D32B4" w:rsidRPr="00C13765">
        <w:rPr>
          <w:rFonts w:ascii="Times New Roman" w:eastAsia="Times New Roman" w:hAnsi="Times New Roman" w:cs="Times New Roman"/>
          <w:b/>
          <w:sz w:val="24"/>
          <w:szCs w:val="20"/>
          <w:lang w:val="en-US"/>
        </w:rPr>
        <w:t>na</w:t>
      </w:r>
      <w:proofErr w:type="spellEnd"/>
      <w:r w:rsidR="009D32B4" w:rsidRPr="00C13765">
        <w:rPr>
          <w:rFonts w:ascii="Times New Roman" w:eastAsia="Times New Roman" w:hAnsi="Times New Roman" w:cs="Times New Roman"/>
          <w:b/>
          <w:sz w:val="24"/>
          <w:szCs w:val="20"/>
          <w:lang w:val="en-US"/>
        </w:rPr>
        <w:t xml:space="preserve"> </w:t>
      </w:r>
      <w:proofErr w:type="spellStart"/>
      <w:r w:rsidR="009D32B4" w:rsidRPr="00C13765">
        <w:rPr>
          <w:rFonts w:ascii="Times New Roman" w:eastAsia="Times New Roman" w:hAnsi="Times New Roman" w:cs="Times New Roman"/>
          <w:b/>
          <w:sz w:val="24"/>
          <w:szCs w:val="20"/>
          <w:lang w:val="en-US"/>
        </w:rPr>
        <w:t>vydanie</w:t>
      </w:r>
      <w:proofErr w:type="spellEnd"/>
      <w:r w:rsidR="009D32B4" w:rsidRPr="00C13765">
        <w:rPr>
          <w:rFonts w:ascii="Times New Roman" w:eastAsia="Times New Roman" w:hAnsi="Times New Roman" w:cs="Times New Roman"/>
          <w:b/>
          <w:sz w:val="24"/>
          <w:szCs w:val="20"/>
          <w:lang w:val="en-US"/>
        </w:rPr>
        <w:t xml:space="preserve"> </w:t>
      </w:r>
      <w:proofErr w:type="spellStart"/>
      <w:r w:rsidR="009D32B4" w:rsidRPr="00C13765">
        <w:rPr>
          <w:rFonts w:ascii="Times New Roman" w:eastAsia="Times New Roman" w:hAnsi="Times New Roman" w:cs="Times New Roman"/>
          <w:b/>
          <w:sz w:val="24"/>
          <w:szCs w:val="20"/>
          <w:lang w:val="en-US"/>
        </w:rPr>
        <w:t>zákona</w:t>
      </w:r>
      <w:proofErr w:type="spellEnd"/>
      <w:r w:rsidR="009D32B4" w:rsidRPr="00C13765">
        <w:rPr>
          <w:rFonts w:ascii="Times New Roman" w:eastAsia="Times New Roman" w:hAnsi="Times New Roman" w:cs="Times New Roman"/>
          <w:b/>
          <w:sz w:val="24"/>
          <w:szCs w:val="20"/>
          <w:lang w:val="en-US"/>
        </w:rPr>
        <w:t xml:space="preserve">, </w:t>
      </w:r>
      <w:proofErr w:type="spellStart"/>
      <w:r w:rsidR="009D32B4" w:rsidRPr="00C13765">
        <w:rPr>
          <w:rFonts w:ascii="Times New Roman" w:eastAsia="Times New Roman" w:hAnsi="Times New Roman" w:cs="Times New Roman"/>
          <w:b/>
          <w:sz w:val="24"/>
          <w:szCs w:val="20"/>
          <w:lang w:val="en-US"/>
        </w:rPr>
        <w:t>ktorým</w:t>
      </w:r>
      <w:proofErr w:type="spellEnd"/>
      <w:r w:rsidR="009D32B4" w:rsidRPr="00C13765">
        <w:rPr>
          <w:rFonts w:ascii="Times New Roman" w:eastAsia="Times New Roman" w:hAnsi="Times New Roman" w:cs="Times New Roman"/>
          <w:b/>
          <w:sz w:val="24"/>
          <w:szCs w:val="20"/>
          <w:lang w:val="en-US"/>
        </w:rPr>
        <w:t xml:space="preserve"> </w:t>
      </w:r>
      <w:proofErr w:type="spellStart"/>
      <w:r w:rsidR="009D32B4" w:rsidRPr="00C13765">
        <w:rPr>
          <w:rFonts w:ascii="Times New Roman" w:eastAsia="Times New Roman" w:hAnsi="Times New Roman" w:cs="Times New Roman"/>
          <w:b/>
          <w:sz w:val="24"/>
          <w:szCs w:val="20"/>
          <w:lang w:val="en-US"/>
        </w:rPr>
        <w:t>sa</w:t>
      </w:r>
      <w:proofErr w:type="spellEnd"/>
      <w:r w:rsidR="009D32B4" w:rsidRPr="00C13765">
        <w:rPr>
          <w:rFonts w:ascii="Times New Roman" w:eastAsia="Times New Roman" w:hAnsi="Times New Roman" w:cs="Times New Roman"/>
          <w:b/>
          <w:sz w:val="24"/>
          <w:szCs w:val="20"/>
          <w:lang w:val="en-US"/>
        </w:rPr>
        <w:t xml:space="preserve"> </w:t>
      </w:r>
      <w:proofErr w:type="spellStart"/>
      <w:r w:rsidR="009D32B4" w:rsidRPr="00C13765">
        <w:rPr>
          <w:rFonts w:ascii="Times New Roman" w:eastAsia="Times New Roman" w:hAnsi="Times New Roman" w:cs="Times New Roman"/>
          <w:b/>
          <w:sz w:val="24"/>
          <w:szCs w:val="20"/>
          <w:lang w:val="en-US"/>
        </w:rPr>
        <w:t>mení</w:t>
      </w:r>
      <w:proofErr w:type="spellEnd"/>
      <w:r w:rsidR="009D32B4" w:rsidRPr="00C13765">
        <w:rPr>
          <w:rFonts w:ascii="Times New Roman" w:eastAsia="Times New Roman" w:hAnsi="Times New Roman" w:cs="Times New Roman"/>
          <w:b/>
          <w:sz w:val="24"/>
          <w:szCs w:val="20"/>
          <w:lang w:val="en-US"/>
        </w:rPr>
        <w:t xml:space="preserve"> a </w:t>
      </w:r>
      <w:proofErr w:type="spellStart"/>
      <w:r w:rsidR="009D32B4" w:rsidRPr="00C13765">
        <w:rPr>
          <w:rFonts w:ascii="Times New Roman" w:eastAsia="Times New Roman" w:hAnsi="Times New Roman" w:cs="Times New Roman"/>
          <w:b/>
          <w:sz w:val="24"/>
          <w:szCs w:val="20"/>
          <w:lang w:val="en-US"/>
        </w:rPr>
        <w:t>dopĺňa</w:t>
      </w:r>
      <w:proofErr w:type="spellEnd"/>
      <w:r w:rsidR="009D32B4" w:rsidRPr="00C13765">
        <w:rPr>
          <w:rFonts w:ascii="Times New Roman" w:eastAsia="Times New Roman" w:hAnsi="Times New Roman" w:cs="Times New Roman"/>
          <w:b/>
          <w:sz w:val="24"/>
          <w:szCs w:val="20"/>
          <w:lang w:val="en-US"/>
        </w:rPr>
        <w:t xml:space="preserve"> </w:t>
      </w:r>
      <w:proofErr w:type="spellStart"/>
      <w:r w:rsidR="009D32B4" w:rsidRPr="00C13765">
        <w:rPr>
          <w:rFonts w:ascii="Times New Roman" w:eastAsia="Times New Roman" w:hAnsi="Times New Roman" w:cs="Times New Roman"/>
          <w:b/>
          <w:sz w:val="24"/>
          <w:szCs w:val="20"/>
          <w:lang w:val="en-US"/>
        </w:rPr>
        <w:t>zákon</w:t>
      </w:r>
      <w:proofErr w:type="spellEnd"/>
      <w:r w:rsidR="009D32B4" w:rsidRPr="00C13765">
        <w:rPr>
          <w:rFonts w:ascii="Times New Roman" w:eastAsia="Times New Roman" w:hAnsi="Times New Roman" w:cs="Times New Roman"/>
          <w:b/>
          <w:sz w:val="24"/>
          <w:szCs w:val="20"/>
          <w:lang w:val="en-US"/>
        </w:rPr>
        <w:t xml:space="preserve"> č. 36/2005 Z. z. o </w:t>
      </w:r>
      <w:proofErr w:type="spellStart"/>
      <w:r w:rsidR="009D32B4" w:rsidRPr="00C13765">
        <w:rPr>
          <w:rFonts w:ascii="Times New Roman" w:eastAsia="Times New Roman" w:hAnsi="Times New Roman" w:cs="Times New Roman"/>
          <w:b/>
          <w:sz w:val="24"/>
          <w:szCs w:val="20"/>
          <w:lang w:val="en-US"/>
        </w:rPr>
        <w:t>rodine</w:t>
      </w:r>
      <w:proofErr w:type="spellEnd"/>
      <w:r w:rsidR="009D32B4" w:rsidRPr="00C13765">
        <w:rPr>
          <w:rFonts w:ascii="Times New Roman" w:eastAsia="Times New Roman" w:hAnsi="Times New Roman" w:cs="Times New Roman"/>
          <w:b/>
          <w:sz w:val="24"/>
          <w:szCs w:val="20"/>
          <w:lang w:val="en-US"/>
        </w:rPr>
        <w:t xml:space="preserve"> a o </w:t>
      </w:r>
      <w:proofErr w:type="spellStart"/>
      <w:r w:rsidR="009D32B4" w:rsidRPr="00C13765">
        <w:rPr>
          <w:rFonts w:ascii="Times New Roman" w:eastAsia="Times New Roman" w:hAnsi="Times New Roman" w:cs="Times New Roman"/>
          <w:b/>
          <w:sz w:val="24"/>
          <w:szCs w:val="20"/>
          <w:lang w:val="en-US"/>
        </w:rPr>
        <w:t>zmene</w:t>
      </w:r>
      <w:proofErr w:type="spellEnd"/>
      <w:r w:rsidR="009D32B4" w:rsidRPr="00C13765">
        <w:rPr>
          <w:rFonts w:ascii="Times New Roman" w:eastAsia="Times New Roman" w:hAnsi="Times New Roman" w:cs="Times New Roman"/>
          <w:b/>
          <w:sz w:val="24"/>
          <w:szCs w:val="20"/>
          <w:lang w:val="en-US"/>
        </w:rPr>
        <w:t xml:space="preserve"> a </w:t>
      </w:r>
      <w:proofErr w:type="spellStart"/>
      <w:r w:rsidR="009D32B4" w:rsidRPr="00C13765">
        <w:rPr>
          <w:rFonts w:ascii="Times New Roman" w:eastAsia="Times New Roman" w:hAnsi="Times New Roman" w:cs="Times New Roman"/>
          <w:b/>
          <w:sz w:val="24"/>
          <w:szCs w:val="20"/>
          <w:lang w:val="en-US"/>
        </w:rPr>
        <w:t>doplnení</w:t>
      </w:r>
      <w:proofErr w:type="spellEnd"/>
      <w:r w:rsidR="009D32B4" w:rsidRPr="00C13765">
        <w:rPr>
          <w:rFonts w:ascii="Times New Roman" w:eastAsia="Times New Roman" w:hAnsi="Times New Roman" w:cs="Times New Roman"/>
          <w:b/>
          <w:sz w:val="24"/>
          <w:szCs w:val="20"/>
          <w:lang w:val="en-US"/>
        </w:rPr>
        <w:t xml:space="preserve"> </w:t>
      </w:r>
      <w:proofErr w:type="spellStart"/>
      <w:r w:rsidR="009D32B4" w:rsidRPr="00C13765">
        <w:rPr>
          <w:rFonts w:ascii="Times New Roman" w:eastAsia="Times New Roman" w:hAnsi="Times New Roman" w:cs="Times New Roman"/>
          <w:b/>
          <w:sz w:val="24"/>
          <w:szCs w:val="20"/>
          <w:lang w:val="en-US"/>
        </w:rPr>
        <w:t>niektorých</w:t>
      </w:r>
      <w:proofErr w:type="spellEnd"/>
      <w:r w:rsidR="009D32B4" w:rsidRPr="00C13765">
        <w:rPr>
          <w:rFonts w:ascii="Times New Roman" w:eastAsia="Times New Roman" w:hAnsi="Times New Roman" w:cs="Times New Roman"/>
          <w:b/>
          <w:sz w:val="24"/>
          <w:szCs w:val="20"/>
          <w:lang w:val="en-US"/>
        </w:rPr>
        <w:t xml:space="preserve"> </w:t>
      </w:r>
      <w:proofErr w:type="spellStart"/>
      <w:r w:rsidR="009D32B4" w:rsidRPr="00C13765">
        <w:rPr>
          <w:rFonts w:ascii="Times New Roman" w:eastAsia="Times New Roman" w:hAnsi="Times New Roman" w:cs="Times New Roman"/>
          <w:b/>
          <w:sz w:val="24"/>
          <w:szCs w:val="20"/>
          <w:lang w:val="en-US"/>
        </w:rPr>
        <w:t>zákonov</w:t>
      </w:r>
      <w:proofErr w:type="spellEnd"/>
      <w:r w:rsidR="009D32B4" w:rsidRPr="00C13765">
        <w:rPr>
          <w:rFonts w:ascii="Times New Roman" w:eastAsia="Times New Roman" w:hAnsi="Times New Roman" w:cs="Times New Roman"/>
          <w:b/>
          <w:sz w:val="24"/>
          <w:szCs w:val="20"/>
          <w:lang w:val="en-US"/>
        </w:rPr>
        <w:t xml:space="preserve"> v </w:t>
      </w:r>
      <w:proofErr w:type="spellStart"/>
      <w:r w:rsidR="009D32B4" w:rsidRPr="00C13765">
        <w:rPr>
          <w:rFonts w:ascii="Times New Roman" w:eastAsia="Times New Roman" w:hAnsi="Times New Roman" w:cs="Times New Roman"/>
          <w:b/>
          <w:sz w:val="24"/>
          <w:szCs w:val="20"/>
          <w:lang w:val="en-US"/>
        </w:rPr>
        <w:t>znení</w:t>
      </w:r>
      <w:proofErr w:type="spellEnd"/>
      <w:r w:rsidR="009D32B4" w:rsidRPr="00C13765">
        <w:rPr>
          <w:rFonts w:ascii="Times New Roman" w:eastAsia="Times New Roman" w:hAnsi="Times New Roman" w:cs="Times New Roman"/>
          <w:b/>
          <w:sz w:val="24"/>
          <w:szCs w:val="20"/>
          <w:lang w:val="en-US"/>
        </w:rPr>
        <w:t xml:space="preserve"> </w:t>
      </w:r>
      <w:proofErr w:type="spellStart"/>
      <w:r w:rsidR="009D32B4" w:rsidRPr="00C13765">
        <w:rPr>
          <w:rFonts w:ascii="Times New Roman" w:eastAsia="Times New Roman" w:hAnsi="Times New Roman" w:cs="Times New Roman"/>
          <w:b/>
          <w:sz w:val="24"/>
          <w:szCs w:val="20"/>
          <w:lang w:val="en-US"/>
        </w:rPr>
        <w:t>neskorších</w:t>
      </w:r>
      <w:proofErr w:type="spellEnd"/>
      <w:r w:rsidR="009D32B4" w:rsidRPr="00C13765">
        <w:rPr>
          <w:rFonts w:ascii="Times New Roman" w:eastAsia="Times New Roman" w:hAnsi="Times New Roman" w:cs="Times New Roman"/>
          <w:b/>
          <w:sz w:val="24"/>
          <w:szCs w:val="20"/>
          <w:lang w:val="en-US"/>
        </w:rPr>
        <w:t xml:space="preserve"> </w:t>
      </w:r>
      <w:proofErr w:type="spellStart"/>
      <w:r w:rsidR="009D32B4" w:rsidRPr="00C13765">
        <w:rPr>
          <w:rFonts w:ascii="Times New Roman" w:eastAsia="Times New Roman" w:hAnsi="Times New Roman" w:cs="Times New Roman"/>
          <w:b/>
          <w:sz w:val="24"/>
          <w:szCs w:val="20"/>
          <w:lang w:val="en-US"/>
        </w:rPr>
        <w:t>predpisov</w:t>
      </w:r>
      <w:proofErr w:type="spellEnd"/>
      <w:r w:rsidR="009D32B4" w:rsidRPr="00C13765">
        <w:rPr>
          <w:rFonts w:ascii="Times New Roman" w:eastAsia="Times New Roman" w:hAnsi="Times New Roman" w:cs="Times New Roman"/>
          <w:b/>
          <w:sz w:val="24"/>
          <w:szCs w:val="20"/>
          <w:lang w:val="en-US"/>
        </w:rPr>
        <w:t xml:space="preserve"> (</w:t>
      </w:r>
      <w:proofErr w:type="spellStart"/>
      <w:r w:rsidR="009D32B4" w:rsidRPr="00C13765">
        <w:rPr>
          <w:rFonts w:ascii="Times New Roman" w:eastAsia="Times New Roman" w:hAnsi="Times New Roman" w:cs="Times New Roman"/>
          <w:b/>
          <w:sz w:val="24"/>
          <w:szCs w:val="20"/>
          <w:lang w:val="en-US"/>
        </w:rPr>
        <w:t>tlač</w:t>
      </w:r>
      <w:proofErr w:type="spellEnd"/>
      <w:r w:rsidR="009D32B4" w:rsidRPr="00C13765">
        <w:rPr>
          <w:rFonts w:ascii="Times New Roman" w:eastAsia="Times New Roman" w:hAnsi="Times New Roman" w:cs="Times New Roman"/>
          <w:b/>
          <w:sz w:val="24"/>
          <w:szCs w:val="20"/>
          <w:lang w:val="en-US"/>
        </w:rPr>
        <w:t xml:space="preserve"> 1254)</w:t>
      </w:r>
      <w:r w:rsidR="00917A99">
        <w:rPr>
          <w:rFonts w:ascii="Times New Roman" w:eastAsia="Times New Roman" w:hAnsi="Times New Roman" w:cs="Times New Roman"/>
          <w:b/>
          <w:sz w:val="28"/>
        </w:rPr>
        <w:br/>
      </w:r>
      <w:r w:rsidR="003F1216">
        <w:rPr>
          <w:rFonts w:ascii="Times New Roman" w:eastAsia="Times New Roman" w:hAnsi="Times New Roman" w:cs="Times New Roman"/>
          <w:bCs/>
          <w:sz w:val="24"/>
          <w:szCs w:val="24"/>
        </w:rPr>
        <w:t>LP/2026/255</w:t>
      </w:r>
    </w:p>
    <w:p w14:paraId="4153872D" w14:textId="77777777" w:rsidR="00DB2917" w:rsidRDefault="00000000" w:rsidP="00DB2917">
      <w:pPr>
        <w:spacing w:line="276" w:lineRule="auto"/>
        <w:rPr>
          <w:sz w:val="24"/>
          <w:szCs w:val="24"/>
        </w:rPr>
      </w:pPr>
      <w:r w:rsidRPr="00E66622">
        <w:rPr>
          <w:rFonts w:ascii="Times New Roman" w:eastAsia="Times New Roman" w:hAnsi="Times New Roman" w:cs="Times New Roman"/>
          <w:sz w:val="24"/>
          <w:szCs w:val="24"/>
        </w:rPr>
        <w:t>Vysvetlivky k použitým skratkám v tabuľke:</w:t>
      </w:r>
      <w:r w:rsidRPr="00E66622">
        <w:rPr>
          <w:rFonts w:ascii="Times New Roman" w:eastAsia="Times New Roman" w:hAnsi="Times New Roman" w:cs="Times New Roman"/>
          <w:sz w:val="24"/>
          <w:szCs w:val="24"/>
        </w:rPr>
        <w:br/>
        <w:t>O – obyčajná</w:t>
      </w:r>
      <w:r w:rsidRPr="00E66622">
        <w:rPr>
          <w:rFonts w:ascii="Times New Roman" w:eastAsia="Times New Roman" w:hAnsi="Times New Roman" w:cs="Times New Roman"/>
          <w:sz w:val="24"/>
          <w:szCs w:val="24"/>
        </w:rPr>
        <w:br/>
        <w:t>Z – zásadná</w:t>
      </w:r>
    </w:p>
    <w:p w14:paraId="23F5C21C" w14:textId="17DC67E2" w:rsidR="00F0653F" w:rsidRDefault="00000000" w:rsidP="00DB2917">
      <w:pPr>
        <w:spacing w:line="276" w:lineRule="auto"/>
        <w:rPr>
          <w:sz w:val="24"/>
          <w:szCs w:val="24"/>
        </w:rPr>
      </w:pPr>
      <w:r w:rsidRPr="00E66622">
        <w:rPr>
          <w:rFonts w:ascii="Times New Roman" w:eastAsia="Times New Roman" w:hAnsi="Times New Roman" w:cs="Times New Roman"/>
          <w:sz w:val="24"/>
          <w:szCs w:val="24"/>
        </w:rPr>
        <w:t>Po</w:t>
      </w:r>
      <w:r w:rsidR="001F777F">
        <w:rPr>
          <w:rFonts w:ascii="Times New Roman" w:eastAsia="Times New Roman" w:hAnsi="Times New Roman" w:cs="Times New Roman"/>
          <w:sz w:val="24"/>
          <w:szCs w:val="24"/>
          <w:lang w:val="en-US"/>
        </w:rPr>
        <w:t>č</w:t>
      </w:r>
      <w:r w:rsidRPr="00E66622">
        <w:rPr>
          <w:rFonts w:ascii="Times New Roman" w:eastAsia="Times New Roman" w:hAnsi="Times New Roman" w:cs="Times New Roman"/>
          <w:sz w:val="24"/>
          <w:szCs w:val="24"/>
        </w:rPr>
        <w:t xml:space="preserve">et vznesených pripomienok, z toho zásadných: </w:t>
      </w:r>
      <w:r w:rsidRPr="0053699B">
        <w:rPr>
          <w:rFonts w:ascii="Times New Roman" w:eastAsia="Times New Roman" w:hAnsi="Times New Roman" w:cs="Times New Roman"/>
          <w:sz w:val="18"/>
          <w:szCs w:val="18"/>
        </w:rPr>
        <w:tab/>
      </w:r>
      <w:r w:rsidR="00A36692">
        <w:rPr>
          <w:rFonts w:ascii="Times New Roman" w:eastAsia="Times New Roman" w:hAnsi="Times New Roman" w:cs="Times New Roman"/>
          <w:sz w:val="24"/>
          <w:szCs w:val="24"/>
          <w:lang w:val="en-US"/>
        </w:rPr>
        <w:t>17</w:t>
      </w:r>
      <w:r w:rsidR="002E3CEC">
        <w:rPr>
          <w:rFonts w:ascii="Times New Roman" w:eastAsia="Times New Roman" w:hAnsi="Times New Roman" w:cs="Times New Roman"/>
          <w:sz w:val="24"/>
          <w:szCs w:val="24"/>
          <w:lang w:val="en-US"/>
        </w:rPr>
        <w:t>/1</w:t>
      </w:r>
    </w:p>
    <w:p w14:paraId="258F0E4D" w14:textId="7818F349" w:rsidR="00E66622" w:rsidRPr="00DB2917" w:rsidRDefault="00000000" w:rsidP="00DB2917">
      <w:pPr>
        <w:spacing w:line="276" w:lineRule="auto"/>
        <w:rPr>
          <w:sz w:val="24"/>
          <w:szCs w:val="24"/>
        </w:rPr>
      </w:pPr>
      <w:r w:rsidRPr="00E66622">
        <w:rPr>
          <w:rFonts w:ascii="Times New Roman" w:eastAsia="Times New Roman" w:hAnsi="Times New Roman" w:cs="Times New Roman"/>
          <w:sz w:val="24"/>
          <w:szCs w:val="24"/>
        </w:rPr>
        <w:t>Po</w:t>
      </w:r>
      <w:r w:rsidR="001F777F">
        <w:rPr>
          <w:rFonts w:ascii="Times New Roman" w:eastAsia="Times New Roman" w:hAnsi="Times New Roman" w:cs="Times New Roman"/>
          <w:sz w:val="24"/>
          <w:szCs w:val="24"/>
        </w:rPr>
        <w:t>č</w:t>
      </w:r>
      <w:r w:rsidRPr="00E66622">
        <w:rPr>
          <w:rFonts w:ascii="Times New Roman" w:eastAsia="Times New Roman" w:hAnsi="Times New Roman" w:cs="Times New Roman"/>
          <w:sz w:val="24"/>
          <w:szCs w:val="24"/>
        </w:rPr>
        <w:t xml:space="preserve">et vznesených hromadných pripomienok: </w:t>
      </w:r>
      <w:r w:rsidRPr="00E66622">
        <w:rPr>
          <w:rFonts w:ascii="Times New Roman" w:eastAsia="Times New Roman" w:hAnsi="Times New Roman" w:cs="Times New Roman"/>
          <w:sz w:val="24"/>
          <w:szCs w:val="24"/>
        </w:rPr>
        <w:tab/>
      </w:r>
      <w:r w:rsidR="00335FFB">
        <w:rPr>
          <w:rFonts w:ascii="Times New Roman" w:eastAsia="Times New Roman" w:hAnsi="Times New Roman" w:cs="Times New Roman"/>
          <w:sz w:val="24"/>
          <w:szCs w:val="24"/>
        </w:rPr>
        <w:t>0</w:t>
      </w:r>
    </w:p>
    <w:p w14:paraId="1F0934E1" w14:textId="7C2466DA" w:rsidR="007C1A93" w:rsidRPr="00E66622" w:rsidRDefault="00E66622">
      <w:pPr>
        <w:rPr>
          <w:rFonts w:ascii="Times New Roman" w:eastAsia="Times New Roman" w:hAnsi="Times New Roman" w:cs="Times New Roman"/>
          <w:sz w:val="20"/>
        </w:rPr>
      </w:pPr>
      <w:r w:rsidRPr="00E66622">
        <w:rPr>
          <w:rFonts w:ascii="Times New Roman" w:eastAsia="Times New Roman" w:hAnsi="Times New Roman" w:cs="Times New Roman"/>
          <w:sz w:val="20"/>
        </w:rPr>
        <w:br/>
      </w:r>
      <w:r w:rsidRPr="00E66622">
        <w:rPr>
          <w:rFonts w:ascii="Times New Roman" w:eastAsia="Times New Roman" w:hAnsi="Times New Roman" w:cs="Times New Roman"/>
          <w:sz w:val="24"/>
          <w:szCs w:val="24"/>
        </w:rPr>
        <w:t>Vznesené pripomienky</w:t>
      </w:r>
    </w:p>
    <w:tbl>
      <w:tblPr>
        <w:tblW w:w="5000" w:type="pct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3001"/>
        <w:gridCol w:w="1502"/>
        <w:gridCol w:w="9455"/>
      </w:tblGrid>
      <w:tr w:rsidR="00E11D16" w14:paraId="575AAFA8" w14:textId="77777777" w:rsidTr="00CD5259">
        <w:trPr>
          <w:trHeight w:val="648"/>
        </w:trPr>
        <w:tc>
          <w:tcPr>
            <w:tcW w:w="1000" w:type="pct"/>
            <w:vAlign w:val="center"/>
          </w:tcPr>
          <w:p w14:paraId="4B4FA583" w14:textId="62ECD7CF" w:rsidR="00E11D16" w:rsidRPr="00E11D16" w:rsidRDefault="00E11D16" w:rsidP="00CB600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11D1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Subjekt</w:t>
            </w:r>
          </w:p>
        </w:tc>
        <w:tc>
          <w:tcPr>
            <w:tcW w:w="500" w:type="pct"/>
            <w:vAlign w:val="center"/>
          </w:tcPr>
          <w:p w14:paraId="498D7DF6" w14:textId="5D009C3B" w:rsidR="00E11D16" w:rsidRPr="00E11D16" w:rsidRDefault="00E11D16" w:rsidP="00CB600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11D1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Typ</w:t>
            </w:r>
          </w:p>
        </w:tc>
        <w:tc>
          <w:tcPr>
            <w:tcW w:w="3150" w:type="pct"/>
            <w:vAlign w:val="center"/>
          </w:tcPr>
          <w:p w14:paraId="54262B5F" w14:textId="62E0E806" w:rsidR="00E11D16" w:rsidRPr="00E11D16" w:rsidRDefault="00E11D16" w:rsidP="00CB600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11D1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Pripomienka</w:t>
            </w:r>
          </w:p>
        </w:tc>
      </w:tr>
      <w:tr w:rsidR="000E5CBF" w14:paraId="05FE950A" w14:textId="77777777">
        <w:trPr>
          <w:trHeight w:val="648"/>
        </w:trPr>
        <w:tc>
          <w:tcPr>
            <w:tcW w:w="0" w:type="auto"/>
          </w:tcPr>
          <w:p w14:paraId="5B3F9335" w14:textId="77777777" w:rsidR="000E5CBF" w:rsidRDefault="00000000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GPSR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Generálna prokuratúra Slovenskej republiky</w:t>
            </w:r>
          </w:p>
        </w:tc>
        <w:tc>
          <w:tcPr>
            <w:tcW w:w="0" w:type="auto"/>
            <w:vAlign w:val="center"/>
          </w:tcPr>
          <w:p w14:paraId="30FF3AC9" w14:textId="77777777" w:rsidR="000E5CBF" w:rsidRDefault="00000000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O</w:t>
            </w:r>
          </w:p>
        </w:tc>
        <w:tc>
          <w:tcPr>
            <w:tcW w:w="0" w:type="auto"/>
          </w:tcPr>
          <w:p w14:paraId="4A7F0563" w14:textId="77777777" w:rsidR="000E5CBF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2. K čl. I bodu 3 (§ 94 ods. 1) – Zásadná pripomienka: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Podľa nášho názoru navrhovaná úprava nezohľadňuje, že matka, ktorá požiadala o utajenie svojej totožnosti v súvislosti s pôrodom alebo ktorá odložila dieťa do verejne prístupného inkubátora, má právo na zachovanie anonymity. Predložený návrh žiadnym spôsobom neupravuje, že takáto matka by nemala byť účastníčkou konania a neobsahuje ani vymedzenie okruhu účastníkov konania alebo určenie, voči komu má návrh smerovať. 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br/>
              <w:t>Táto pripomienka je zásadná.</w:t>
            </w:r>
          </w:p>
        </w:tc>
      </w:tr>
      <w:tr w:rsidR="000E5CBF" w14:paraId="39517E82" w14:textId="77777777">
        <w:trPr>
          <w:trHeight w:val="648"/>
        </w:trPr>
        <w:tc>
          <w:tcPr>
            <w:tcW w:w="0" w:type="auto"/>
          </w:tcPr>
          <w:p w14:paraId="12A84D98" w14:textId="77777777" w:rsidR="000E5CBF" w:rsidRDefault="00000000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GPSR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Generálna prokuratúra Slovenskej republiky</w:t>
            </w:r>
          </w:p>
        </w:tc>
        <w:tc>
          <w:tcPr>
            <w:tcW w:w="0" w:type="auto"/>
            <w:vAlign w:val="center"/>
          </w:tcPr>
          <w:p w14:paraId="5DB57318" w14:textId="77777777" w:rsidR="000E5CBF" w:rsidRDefault="00000000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O</w:t>
            </w:r>
          </w:p>
        </w:tc>
        <w:tc>
          <w:tcPr>
            <w:tcW w:w="0" w:type="auto"/>
          </w:tcPr>
          <w:p w14:paraId="150D4660" w14:textId="77777777" w:rsidR="000E5CBF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1. K čl. I bodu 2 (§ 93 ods. 4) – Zásadná pripomienka: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Navrhovaná úprava umožňuje súdu z dôvodov hodných osobitného zreteľa začať bez návrhu (ex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offo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) konanie o zapretie otcovstva, ktoré bolo určené súhlasným vyhlásením rodičov, ak je zapretie otcovstva v záujme dieťaťa. Žiadne ďalšie zákonné podmienky (vrátane časového obmedzenia možnosti začatia takéhoto konania) predkladaný návrh nekonštituuje.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lastRenderedPageBreak/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br/>
              <w:t>Konanie o zapretie otcovstva (určeného súhlasným vyhlásením rodičov) bolo doposiaľ v zákone č. 36/2005 Z. z. o rodine a o zmene a doplnení niektorých zákonov v znení neskorších predpisov (ďalej  len  „zákon o rodine“) koncipované výlučne ako návrhové konanie. Podľa predkladacej správy k návrhu zákona aj Ministerstvo spravodlivosti Slovenskej republiky ako problematické vníma to, že podľa navrhovanej úpravy súd bude môcť začať konanie aj bez návrhu a navrhuje koncipovať úpravu konania o zapretie otcovstva v § 93 ods. 4 zákona o rodine výlučne ako návrhového konania.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br/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br/>
              <w:t xml:space="preserve">Vzhľadom na uvedené a skutočnosť, že v aplikačnej praxi prokuratúra opakovane zaznamenáva prípady, kedy dochádza k zneužívaniu druhej domnienky otcovstva, vo vzťahu k navrhovanej poslaneckej úprave alternatívne navrhujeme úpravu, ktorá pri existencii dôvodov hodných osobitného zreteľa zakotví aktívnu legitimáciu prokurátora na podanie návrhu na zapretie otcovstva, ak bolo otcovstvo určené súhlasným vyhlásením rodičov a ak je zapretie v najlepšom záujme dieťaťa.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br/>
              <w:t>Táto pripomienka je zásadná.</w:t>
            </w:r>
          </w:p>
        </w:tc>
      </w:tr>
      <w:tr w:rsidR="000E5CBF" w14:paraId="5B5FF38B" w14:textId="77777777">
        <w:trPr>
          <w:trHeight w:val="648"/>
        </w:trPr>
        <w:tc>
          <w:tcPr>
            <w:tcW w:w="0" w:type="auto"/>
          </w:tcPr>
          <w:p w14:paraId="066F0C75" w14:textId="77777777" w:rsidR="000E5CBF" w:rsidRDefault="00000000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lastRenderedPageBreak/>
              <w:t>KBS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Konferencia biskupov Slovenska</w:t>
            </w:r>
          </w:p>
        </w:tc>
        <w:tc>
          <w:tcPr>
            <w:tcW w:w="0" w:type="auto"/>
            <w:vAlign w:val="center"/>
          </w:tcPr>
          <w:p w14:paraId="6D3DA610" w14:textId="77777777" w:rsidR="000E5CBF" w:rsidRDefault="00000000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O</w:t>
            </w:r>
          </w:p>
        </w:tc>
        <w:tc>
          <w:tcPr>
            <w:tcW w:w="0" w:type="auto"/>
          </w:tcPr>
          <w:p w14:paraId="7118B18A" w14:textId="77777777" w:rsidR="000E5CBF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Čl. 1 bod 2,3,4,5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Zásadná pripomienka: Vo vlastnom materiáli navrhujeme v Čl. I vypustiť body 2, 3, 4 a 5.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br/>
              <w:t xml:space="preserve">Odôvodnenie: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br/>
              <w:t xml:space="preserve">Návrh zákona, ktorým sa mení a dopĺňa zákon č. 36/2005 Z. z. o rodine a o zmene a doplnení niektorých zákonov v znení neskorších predpisov navrhujeme v časti týkajúcej sa určovania otcovstva a zapierania otcovstva vypustiť a stiahnuť z legislatívneho procesu, nakoľko nie je zrejmé, či navrhovaná právna úprava zaručí najlepší záujem (maloletého) dieťaťa.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br/>
              <w:t xml:space="preserve">Jeho prípadné opätovné predloženie do legislatívneho procesu navrhujeme zhodnotiť až na podklade relevantných dát a uskutočnení odbornej a prípadne verejnej diskusie s relevantnými subjektami k zmenám právnej úpravy v tak citlivej oblasti. Z podkladov nevyplýva, či navrhovatelia viedli odbornú alebo verejnú diskusiu k tejto téme. 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br/>
              <w:t xml:space="preserve">Predkladaný návrh legislatívy predstavuje odborne, právne aj eticky náročnú oblasť. Zo samotného textu a sprievodných dokumentov nie je pritom zrejmé, na základe akých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lastRenderedPageBreak/>
              <w:t xml:space="preserve">podkladov, dát a dôvodov predkladatelia zvolili navrhovanú alternatívu riešenia. Domnievame sa, že návrh môže predstavovať nedostatočne komplexné riešenie danej problematiky. K uvedenému poukazujeme najmä, ale nie výlučne na tieto problematické časti: - umožnenie súdu ex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offo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aj bez návrhu začať konanie o zapretie otcovstva, - a to „z dôvodov hodných osobitného zreteľa“, čo považujeme za právne neurčitú podmienku, - možnosť iniciovať konanie ex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offo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bez určenia lehoty, čo môže ešte zhoršiť právnu neistotu vo vzťahu k dieťaťu/deťom a rodine, - možnosť arbitrárneho rozhodnutia zo strany súdu.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br/>
              <w:t>Poukazujeme na skutočnosť, že predkladatelia nepredložili relevantnú analýzu ani návrh riešenia závažných etických (morálnych) problémov, ktoré by v dôsledku prijatia návrhu mohli nastať, a to s prihliadnutím na prirodzený mravný zákon, rešpektovanie ľudskej dôstojnosti a ochrany ľudských práv a najlepší záujem dieťaťa.</w:t>
            </w:r>
          </w:p>
        </w:tc>
      </w:tr>
      <w:tr w:rsidR="000E5CBF" w14:paraId="4F84EBBC" w14:textId="77777777">
        <w:trPr>
          <w:trHeight w:val="648"/>
        </w:trPr>
        <w:tc>
          <w:tcPr>
            <w:tcW w:w="0" w:type="auto"/>
          </w:tcPr>
          <w:p w14:paraId="0B0EF171" w14:textId="77777777" w:rsidR="000E5CBF" w:rsidRDefault="00000000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lastRenderedPageBreak/>
              <w:t>MFSR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Ministerstvo financií Slovenskej republiky</w:t>
            </w:r>
          </w:p>
        </w:tc>
        <w:tc>
          <w:tcPr>
            <w:tcW w:w="0" w:type="auto"/>
            <w:vAlign w:val="center"/>
          </w:tcPr>
          <w:p w14:paraId="57513CA3" w14:textId="77777777" w:rsidR="000E5CBF" w:rsidRDefault="00000000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FF0000"/>
                <w:sz w:val="24"/>
              </w:rPr>
              <w:t>Z</w:t>
            </w:r>
          </w:p>
        </w:tc>
        <w:tc>
          <w:tcPr>
            <w:tcW w:w="0" w:type="auto"/>
          </w:tcPr>
          <w:p w14:paraId="62902915" w14:textId="77777777" w:rsidR="000E5CBF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Celému materiálu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Cieľom návrhu je posilniť ochranu práv dieťaťa. V doložke vybraných vplyvov je uvedený negatívny vplyv na rozpočet verejnej správy z dôvodu, že návrh zavádza novú možnosť konania ex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offo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čo podľa predkladateľky mierne zvyšuje personálnu a časovú záťaž súdov. Zároveň zvýšenie limitu v § 63 ods. 1 zákona na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dvadsaťpäťnásobok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životného minima z úrovne dvadsaťnásobku životného minima v platnom znení zákona môže zvýšiť administratívnu záťaž súdov a štátnu spoluúčasť pri vymáhaní pohľadávok. V súlade s § 33 zákona č. 523/2004 Z. z. o rozpočtových pravidlách verejnej správy a o zmene a doplnení niektorých zákonov žiadame v predkladacej správe uviesť návrhy na úhradu zvýšených výdavkov, resp. uvedené vplyvy na rozpočet verejnej správy žiadame zabezpečiť v rámci schválených limitov dotknutého subjektu verejnej správy na príslušný rozpočtový rok, bez dodatočných požiadaviek na rozpočet verejnej správy.</w:t>
            </w:r>
          </w:p>
        </w:tc>
      </w:tr>
      <w:tr w:rsidR="000E5CBF" w14:paraId="11B0B78A" w14:textId="77777777">
        <w:trPr>
          <w:trHeight w:val="648"/>
        </w:trPr>
        <w:tc>
          <w:tcPr>
            <w:tcW w:w="0" w:type="auto"/>
          </w:tcPr>
          <w:p w14:paraId="395474B9" w14:textId="77777777" w:rsidR="000E5CBF" w:rsidRDefault="00000000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MOSR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Ministerstvo obrany Slovenskej republiky</w:t>
            </w:r>
          </w:p>
        </w:tc>
        <w:tc>
          <w:tcPr>
            <w:tcW w:w="0" w:type="auto"/>
            <w:vAlign w:val="center"/>
          </w:tcPr>
          <w:p w14:paraId="780EA67C" w14:textId="77777777" w:rsidR="000E5CBF" w:rsidRDefault="00000000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O</w:t>
            </w:r>
          </w:p>
        </w:tc>
        <w:tc>
          <w:tcPr>
            <w:tcW w:w="0" w:type="auto"/>
          </w:tcPr>
          <w:p w14:paraId="6515D59C" w14:textId="77777777" w:rsidR="000E5CBF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K článku I návrhu zákona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V úvodnej vete článku I návrhu zákona navrhujeme za slová „zákona č. 408/2022 Z. z.“ vložiť čiarku a vypustiť spojku „a“, a za slová „zákona č. 157/2025 Z. z.“ navrhujeme vložiť slová „ a zákona č. 70/2026 Z. z.“.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br/>
              <w:t xml:space="preserve">Odôvodnenie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br/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Legislatívno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– technická pripomienka.</w:t>
            </w:r>
          </w:p>
        </w:tc>
      </w:tr>
      <w:tr w:rsidR="000E5CBF" w14:paraId="48EF9DA7" w14:textId="77777777">
        <w:trPr>
          <w:trHeight w:val="648"/>
        </w:trPr>
        <w:tc>
          <w:tcPr>
            <w:tcW w:w="0" w:type="auto"/>
          </w:tcPr>
          <w:p w14:paraId="437DD1E5" w14:textId="77777777" w:rsidR="000E5CBF" w:rsidRDefault="00000000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lastRenderedPageBreak/>
              <w:t>MPSVRSR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Ministerstvo práce, sociálnych vecí a rodiny Slovenskej republiky</w:t>
            </w:r>
          </w:p>
        </w:tc>
        <w:tc>
          <w:tcPr>
            <w:tcW w:w="0" w:type="auto"/>
            <w:vAlign w:val="center"/>
          </w:tcPr>
          <w:p w14:paraId="4CEA10D6" w14:textId="77777777" w:rsidR="000E5CBF" w:rsidRDefault="00000000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O</w:t>
            </w:r>
          </w:p>
        </w:tc>
        <w:tc>
          <w:tcPr>
            <w:tcW w:w="0" w:type="auto"/>
          </w:tcPr>
          <w:p w14:paraId="4A94C8FE" w14:textId="77777777" w:rsidR="000E5CBF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K predkladacej správe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K predkladacej správe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br/>
              <w:t>K stanovisku k čl. I bod 1 (právna domnienka výšky príjmu rodiča; vyživovacia povinnosť)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br/>
              <w:t xml:space="preserve">Odporúčame údaj o sume životného minima, ak ide o jednu plnoletú fyzickú osobu, zosúladiť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br/>
              <w:t xml:space="preserve">s § 1 písm. a) opatrenia Ministerstva práce, sociálnych vecí a rodiny Slovenskej republiky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br/>
              <w:t xml:space="preserve">č. 168/2025 Z. z. o úprave súm životného minima, t. j. na 284,13 eura (a nie 284,12 eura ako sa uvádza v predkladacej správe v stanovisku k čl. I bod 1 (právna domnienka výšky príjmu rodiča; vyživovacia povinnosť)); zároveň je  potrebné upraviť aj prepočet z neho vyplývajúci pri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dvadsaťpäťnásobku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sumy životného minima (ako zákonnej domnienky výšky príjmu v prípade nespolupracujúceho rodiča).</w:t>
            </w:r>
          </w:p>
        </w:tc>
      </w:tr>
      <w:tr w:rsidR="000E5CBF" w14:paraId="1695D234" w14:textId="77777777">
        <w:trPr>
          <w:trHeight w:val="648"/>
        </w:trPr>
        <w:tc>
          <w:tcPr>
            <w:tcW w:w="0" w:type="auto"/>
          </w:tcPr>
          <w:p w14:paraId="2B7FE04B" w14:textId="77777777" w:rsidR="000E5CBF" w:rsidRDefault="00000000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NBÚ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Národný bezpečnostný úrad</w:t>
            </w:r>
          </w:p>
        </w:tc>
        <w:tc>
          <w:tcPr>
            <w:tcW w:w="0" w:type="auto"/>
            <w:vAlign w:val="center"/>
          </w:tcPr>
          <w:p w14:paraId="63CC61CE" w14:textId="77777777" w:rsidR="000E5CBF" w:rsidRDefault="00000000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O</w:t>
            </w:r>
          </w:p>
        </w:tc>
        <w:tc>
          <w:tcPr>
            <w:tcW w:w="0" w:type="auto"/>
          </w:tcPr>
          <w:p w14:paraId="32D0FD65" w14:textId="77777777" w:rsidR="000E5CBF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Celému materiálu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Bez pripomienok.</w:t>
            </w:r>
          </w:p>
        </w:tc>
      </w:tr>
      <w:tr w:rsidR="000E5CBF" w14:paraId="66F55D87" w14:textId="77777777">
        <w:trPr>
          <w:trHeight w:val="648"/>
        </w:trPr>
        <w:tc>
          <w:tcPr>
            <w:tcW w:w="0" w:type="auto"/>
          </w:tcPr>
          <w:p w14:paraId="0CADC573" w14:textId="77777777" w:rsidR="000E5CBF" w:rsidRDefault="00000000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PMÚSR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Protimonopolný úrad Slovenskej republiky</w:t>
            </w:r>
          </w:p>
        </w:tc>
        <w:tc>
          <w:tcPr>
            <w:tcW w:w="0" w:type="auto"/>
            <w:vAlign w:val="center"/>
          </w:tcPr>
          <w:p w14:paraId="017C74DE" w14:textId="77777777" w:rsidR="000E5CBF" w:rsidRDefault="00000000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O</w:t>
            </w:r>
          </w:p>
        </w:tc>
        <w:tc>
          <w:tcPr>
            <w:tcW w:w="0" w:type="auto"/>
          </w:tcPr>
          <w:p w14:paraId="1E9C22F2" w14:textId="77777777" w:rsidR="000E5CBF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Celému materiálu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bez pripomienok</w:t>
            </w:r>
          </w:p>
        </w:tc>
      </w:tr>
      <w:tr w:rsidR="000E5CBF" w14:paraId="55C7E909" w14:textId="77777777">
        <w:trPr>
          <w:trHeight w:val="648"/>
        </w:trPr>
        <w:tc>
          <w:tcPr>
            <w:tcW w:w="0" w:type="auto"/>
          </w:tcPr>
          <w:p w14:paraId="6E11F18C" w14:textId="77777777" w:rsidR="000E5CBF" w:rsidRDefault="00000000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Verejnosť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br/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Verejnosť</w:t>
            </w:r>
            <w:proofErr w:type="spellEnd"/>
          </w:p>
        </w:tc>
        <w:tc>
          <w:tcPr>
            <w:tcW w:w="0" w:type="auto"/>
            <w:vAlign w:val="center"/>
          </w:tcPr>
          <w:p w14:paraId="416C86CA" w14:textId="77777777" w:rsidR="000E5CBF" w:rsidRDefault="00000000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O</w:t>
            </w:r>
          </w:p>
        </w:tc>
        <w:tc>
          <w:tcPr>
            <w:tcW w:w="0" w:type="auto"/>
          </w:tcPr>
          <w:p w14:paraId="7B7BC1D4" w14:textId="77777777" w:rsidR="000E5CBF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K celému materiálu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Bez pripomienok.</w:t>
            </w:r>
          </w:p>
        </w:tc>
      </w:tr>
      <w:tr w:rsidR="000E5CBF" w14:paraId="19537525" w14:textId="77777777">
        <w:trPr>
          <w:trHeight w:val="648"/>
        </w:trPr>
        <w:tc>
          <w:tcPr>
            <w:tcW w:w="0" w:type="auto"/>
          </w:tcPr>
          <w:p w14:paraId="7143E465" w14:textId="77777777" w:rsidR="000E5CBF" w:rsidRDefault="00000000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Verejnosť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br/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Verejnosť</w:t>
            </w:r>
            <w:proofErr w:type="spellEnd"/>
          </w:p>
        </w:tc>
        <w:tc>
          <w:tcPr>
            <w:tcW w:w="0" w:type="auto"/>
            <w:vAlign w:val="center"/>
          </w:tcPr>
          <w:p w14:paraId="549DE6A2" w14:textId="77777777" w:rsidR="000E5CBF" w:rsidRDefault="00000000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O</w:t>
            </w:r>
          </w:p>
        </w:tc>
        <w:tc>
          <w:tcPr>
            <w:tcW w:w="0" w:type="auto"/>
          </w:tcPr>
          <w:p w14:paraId="48A5BD14" w14:textId="77777777" w:rsidR="000E5CBF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Dôvodová správa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Dôvodová správa. § 63 ods. 1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br/>
              <w:t>Predpokladaný príjem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br/>
              <w:t>Druh pripomienky: Zásadná pripomienka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br/>
              <w:t>Návrh na úpravu: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br/>
              <w:t>Navrhujeme prepracovať dôvodovú správu k § 63 ods. 1 a upraviť samotnú právnu úpravu tak, aby: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lastRenderedPageBreak/>
              <w:t>1. bola vypustená nevyvrátiteľná právna domnienka o výške príjmu rodičov,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br/>
              <w:t>2. súd mal povinnosť vyžiadať si podklady o príjme priamo od Finančnej správy SR, nie od rodičov,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br/>
              <w:t>3. výška predpokladaného príjmu bola znížená - maximálne na pätnásťnásobok sumy životného minima,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br/>
              <w:t>4. súd nebol oprávnený určovať fiktívne príjmy alebo subjektívne posudzovať podnikateľské výdavky.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br/>
              <w:t>Navrhované nové znenie dôvodovej správy k § 63 ods. 1: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br/>
              <w:t>K § 63 ods. 1 Predpokladaný príjem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br/>
              <w:t>Ustanovenie upravuje postup pri zisťovaní príjmu povinného rodiča v prípadoch, keď nie je možné jeho príjem presne určiť.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br/>
              <w:t>Súd je povinný v prvom rade vyžiadať si podklady o príjmoch a daňových priznaniach povinného od Finančnej správy Slovenskej republiky, ako orgánu verejnej moci, ktorý disponuje aktuálnymi údajmi o daňových a odvodových povinnostiach rodičov.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br/>
              <w:t>Fikcia príjmu vo forme nevyvrátiteľnej právnej domnienky sa vypúšťa, keďže odporuje princípu materiálnej pravdy a právnej istoty účastníkov konania. V prípade, že rodičia neposkytnú súčinnosť, súd môže príjem odhadnúť individuálne na základe objektívnych údajov (napr. od zamestnávateľa, úradu práce, Sociálnej poisťovne alebo Finančnej správy SR), avšak nie automaticky prostredníctvom zákonnej fikcie.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br/>
              <w:t>Pri určovaní predpokladaného príjmu sa zavádza horný limit vo výške pätnásťnásobku sumy životného minima podľa § 2 písm. a) zákona č. 601/2003 Z. z., čo predstavuje dostatočný rámec pre zohľadnenie nadpriemerných príjmov bez ich umelého zvyšovania.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lastRenderedPageBreak/>
              <w:br/>
              <w:t>Súd nesmie určiť fiktívny príjem alebo odmietnuť zohľadniť reálne záväzky (napr. exekúcie, úvery, splátky či vyživovacie povinnosti voči iným deťom), pretože takýto postup by bol v rozpore so zásadou proporcionality a s princípom rovnosti rodičov.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br/>
              <w:t>Účelom úpravy je zabrániť neprimeranému sankcionovaniu rodičov, ktorí majú nízky alebo prerušovaný príjem, a zabezpečiť, aby výška výživného zodpovedala reálnym schopnostiam a možnostiam povinných.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br/>
              <w:t>Odôvodnenie: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br/>
              <w:t>1. Nevyvrátiteľná právna domnienka je protiústavná a zmätočná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br/>
              <w:t>Zavedenie nevyvrátiteľnej domnienky o príjme vo výške 25-násobku životného minima (t. j. 4 473 € mesačne) je v rozpore s princípom materiálnej pravdy (Civilný sporový poriadok) a zásadou proporcionality podľa čl. 13 ods. 4 Ústavy SR.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br/>
              <w:t>Takáto fikcia nereflektuje reálne ekonomické pomery väčšiny rodičov na Slovensku, keďže podľa údajov Štatistického úradu SR je priemerná mesačná mzda v roku 2024 približne 1 400 € brutto.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br/>
              <w:t>Stanovenie fiktívneho príjmu vo výške 4 473 € je preto ekonomicky absurdné a vedie k neprimerane vysokým a nevykonateľným rozhodnutiam o výživnom.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br/>
              <w:t>2. Údaje o príjmoch sú dostupné štátu, nie rodičom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br/>
              <w:t>Povinnosť „poskytnúť súčinnosť“ nemá byť prenášaná na rodičov, keďže Finančná správa SR, Sociálna poisťovňa a úrady práce disponujú všetkými údajmi o príjmoch, odvodoch, dávkach i podnikateľských príjmoch fyzických osôb.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lastRenderedPageBreak/>
              <w:t xml:space="preserve">Súd má mať zákonnú povinnosť tieto údaje vyžiadať priamo z oficiálnych databáz, nie žiadať o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ne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rodičov.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br/>
              <w:t>Ide o procesne efektívnejšie, transparentnejšie a spravodlivejšie riešenie.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br/>
              <w:t>3. Umelá valorizácia z 20-násobku na 25-násobok nemá žiadne odborné odôvodnenie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br/>
              <w:t>Z dôvodovej správy ani z právnej analýzy nevyplýva, prečo sa pôvodná hranica (20-násobok životného minima, t. j. cca 3 580 €) zvyšuje na 25-násobok.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br/>
              <w:t>Naopak, hospodárska realita (inflácia, rast životných nákladov, stagnácia reálnych miezd) naznačuje, že by bolo primerané hranicu skôr znížiť - maximálne na 15-násobok životného minima, teda približne 2 684 € mesačne.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br/>
              <w:t>Vyššia fikcia príjmu vedie len k nesplniteľným rozhodnutiam a nárastu exekučných konaní.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br/>
              <w:t>4. Fikcia príjmu ignoruje dlh, exekúciu či insolventnosť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br/>
              <w:t>Rodinné súdy by nemali rozhodovať o tzv. „predpokladanom“ alebo „fiktívnom“ príjme bez ohľadu na reálne ekonomické postavenie rodiča.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br/>
              <w:t>Ignorovanie existujúcich exekúcií, splátkových kalendárov, straty zamestnania, invalidity alebo zdravotného obmedzenia je v rozpore s princípom spravodlivosti a rovnosti účastníkov konania.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br/>
              <w:t>Výživné musí byť primerané a vykonateľné, nie likvidačné.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br/>
              <w:t>5. Súd nie je orgánom na určovanie podnikateľského zisku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br/>
              <w:t>Odsek 2 navrhovaného znenia neprimerane rozširuje právomoc súdu, keď mu ukladá hodnotiť „nevyhnutnosť výdavkov podnikateľa“.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lastRenderedPageBreak/>
              <w:br/>
              <w:t>Takéto rozhodovanie je mimo rámca súdnej odbornej pôsobnosti a v praxi vedie k subjektívnym a nepredvídateľným rozhodnutiam.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br/>
              <w:t>Súd nemá posudzovať podnikateľskú ekonomiku rodiča - má vychádzať z objektívne preukázaných daňových údajov.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br/>
              <w:t>Záver: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br/>
              <w:t>Navrhovaná právna úprava § 63 ods. 1 a jej dôvodová správa: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br/>
              <w:t>I. zavádza neústavnú a ekonomicky nereálnu domnienku o príjme,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br/>
              <w:t>II. preťažuje súdy zbytočnou administráciou,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br/>
              <w:t>III. nerešpektuje princíp materiálnej pravdy,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br/>
              <w:t>IV. nezodpovedá sociálnej realite Slovenska.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br/>
              <w:t>Navrhuje sa preto: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br/>
              <w:t>1. zrušiť nevyvrátiteľnú právnu domnienku,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br/>
              <w:t>2. znížiť fiktívny príjem na max. 15-násobok životného minima,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br/>
              <w:t>3. zabezpečiť automatickú súčinnosť Finančnej správy SR so súdmi.</w:t>
            </w:r>
          </w:p>
        </w:tc>
      </w:tr>
      <w:tr w:rsidR="000E5CBF" w14:paraId="4508D8FB" w14:textId="77777777">
        <w:trPr>
          <w:trHeight w:val="648"/>
        </w:trPr>
        <w:tc>
          <w:tcPr>
            <w:tcW w:w="0" w:type="auto"/>
          </w:tcPr>
          <w:p w14:paraId="31C1CDDB" w14:textId="77777777" w:rsidR="000E5CBF" w:rsidRDefault="00000000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lastRenderedPageBreak/>
              <w:t>Verejnosť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br/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Verejnosť</w:t>
            </w:r>
            <w:proofErr w:type="spellEnd"/>
          </w:p>
        </w:tc>
        <w:tc>
          <w:tcPr>
            <w:tcW w:w="0" w:type="auto"/>
            <w:vAlign w:val="center"/>
          </w:tcPr>
          <w:p w14:paraId="730313FC" w14:textId="77777777" w:rsidR="000E5CBF" w:rsidRDefault="00000000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O</w:t>
            </w:r>
          </w:p>
        </w:tc>
        <w:tc>
          <w:tcPr>
            <w:tcW w:w="0" w:type="auto"/>
          </w:tcPr>
          <w:p w14:paraId="5822AB0C" w14:textId="77777777" w:rsidR="000E5CBF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Čl. I § 63 ods. 1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§ 63 ods. 1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br/>
              <w:t>Druh pripomienky: Zásadná pripomienka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lastRenderedPageBreak/>
              <w:br/>
              <w:t>Návrh na úpravu znenia § 63 ods. 1: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br/>
              <w:t>§ 63 - Predpokladaný príjem (navrhované nové znenie)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br/>
              <w:t>(1) Ak súd nemá k dispozícii dostatočné údaje o príjme rodiča, je povinný tieto údaje vyžiadať od orgánov verejnej moci, najmä od Finančnej správy Slovenskej republiky, Sociálnej poisťovne a príslušného úradu práce.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br/>
              <w:t>Rodičia nie sú povinní preukazovať súdu skutočnosti, ktorými štát disponuje na základe svojich evidencií.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br/>
              <w:t>(2) Súd je povinný určiť výživné na základe preukázaného skutočného príjmu rodiča, nie podľa predpokladaného príjmu.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br/>
              <w:t>Fikcia alebo nevyvrátiteľná právna domnienka o výške príjmu sa nepoužije.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br/>
              <w:t>(3) Ak sa napriek vykonanému dokazovaniu nepodarí zistiť presnú výšku príjmu rodiča, súd môže odhadnúť jeho príjem individuálne, pričom prihliadne na povolanie, kvalifikáciu, regionálne mzdové štatistiky a reálne možnosti povinného rodiča.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br/>
              <w:t>Horná hranica takto predpokladaného príjmu nesmie presiahnuť pätnásťnásobok sumy životného minima podľa § 2 písm. a) zákona č. 601/2003 Z. z. o životnom minime.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br/>
              <w:t>(4) Pri posudzovaní schopností a možností povinného rodiča súd berie do úvahy všetky reálne výdavky, vrátane výdavkov nevyhnutných na bývanie, splácanie záväzkov, exekúcií, a plnenie ďalších vyživovacích povinností.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br/>
              <w:t xml:space="preserve">(5) Pri rodičoch s príjmami z podnikania alebo samostatnej zárobkovej činnosti súd vychádza z údajov o daňovom základe a účtovnej závierky potvrdenej Finančnou správou Slovenskej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lastRenderedPageBreak/>
              <w:t>republiky. Výdavky rodiča môže súd posúdiť len v rozsahu, v akom sú preukázateľne nevyhnutné na výkon činnosti.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br/>
              <w:t>Odôvodnenie: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br/>
              <w:t>1. Nevyvrátiteľná právna domnienka o príjme je protiústavná a ekonomicky neudržateľná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br/>
              <w:t>Navrhovaný text § 63 ods. 1 zavádza nevyvrátiteľnú právnu fikciu o výške príjmu rodiča vo výške 25-násobku sumy životného minima (t. j. 4 473 € mesačne), ak rodič neposkytne súdu súčinnosť.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br/>
              <w:t>Takáto fikcia je v rozpore s princípom materiálnej pravdy (Civilného sporového poriadku), s právom na spravodlivý proces (čl. 46 ods. 1 Ústavy SR) a so zásadou proporcionality.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br/>
              <w:t>Neodráža ekonomickú realitu, keďže podľa údajov Štatistického úradu SR je priemerná mesačná mzda v SR za rok 2024 približne 1400 €, teda menej ako tretina fiktívne určenej sumy.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br/>
              <w:t>Zákonná fikcia preto vedie k nesplniteľným povinnostiam a sekundárne spôsobuje nárast exekúcií, trestných konaní a ekonomickú likvidáciu povinných rodičov.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br/>
              <w:t>2. Súd má dokazovať, nie predpokladať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br/>
              <w:t>Súdne konanie má byť postavené na zásade dokazovania a materiálnej pravdy, nie na predpokladoch.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br/>
              <w:t>Povinnosť zisťovať príjmy prostredníctvom dostupných štátnych evidencií (Finančná správa SR, Sociálna poisťovňa, úrad práce) je efektívna, transparentná a právne korektná.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br/>
              <w:t>Nie je prípustné, aby súd rozhodoval na základe neexistujúceho predpokladu príjmu bez reálneho dokazovania.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lastRenderedPageBreak/>
              <w:br/>
              <w:t>3. Zníženie hranice na 15-násobok životného minima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br/>
              <w:t>Ak sa ponechá možnosť stanovenia predpokladaného príjmu, musí byť jeho horná hranica racionálna a primeraná reálnej mzdovej úrovni.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br/>
              <w:t>Navrhovaný 25-násobok (4 473 €) je neodôvodnene vysoký a nereflektuje ani regionálne rozdiely.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br/>
              <w:t>Hornou hranicou má byť 15-násobok životného minima (t. j. cca 2 685 €), čo lepšie zodpovedá realite a zároveň umožňuje posúdiť vyšší než priemerný príjem bez jeho umelého nadhodnocovania.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br/>
              <w:t>4. Povinnosťou súdu je zohľadniť všetky reálne výdavky povinného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br/>
              <w:t>Výživné musí byť primerané možnostiam rodiča, ale aj reálnym ekonomickým okolnostiam - napr. náklady na bývanie, existujúce exekúcie, iné vyživovacie povinnosti či nevyhnutné životné výdavky.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br/>
              <w:t xml:space="preserve">Vylúčenie týchto faktorov (ako navrhuje § 400 ods. 2) by znamenalo de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facto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trestanie rodiča za chudobu alebo podnikateľské riziko, čo je v rozpore so zásadou rovnosti účastníkov konania a spravodlivosti rozhodnutia.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br/>
              <w:t>5. Súd nie je hospodárskym expertom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br/>
              <w:t>Ustanovenie, ktoré umožňuje súdu posudzovať, ktoré výdavky podnikateľa sú „nevyhnutné“, je vecne aj metodicky neudržateľné.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br/>
              <w:t>Hodnotenie podnikateľských nákladov je odborná otázka daňovej praxe, nie súdneho rozhodovania.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lastRenderedPageBreak/>
              <w:br/>
              <w:t>Súd má vychádzať z údajov overených Finančnou správou SR, nie ich sám určovať.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br/>
              <w:t>Záver: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br/>
              <w:t>Navrhované znenie § 63 ods. 1 je v rozpore s princípmi právneho štátu, materiálnej pravdy a proporcionality.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br/>
              <w:t>Fikcia príjmu vo výške 25-násobku životného minima je neodôvodnená, neprimeraná a sociálne neudržateľná.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br/>
              <w:t>Preto sa navrhuje: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br/>
              <w:t>I. Vypustiť nevyvrátiteľnú právnu domnienku o výške príjmu rodiča,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br/>
              <w:t>II. Znížiť maximálny predpokladaný príjem na 15-násobok životného minima,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br/>
              <w:t>III. Uložiť súdu povinnosť vyžiadať si údaje od Finančnej správy SR a Sociálnej poisťovne,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br/>
              <w:t>IV. Zabezpečiť, aby súd zohľadňoval všetky reálne výdavky povinného rodiča,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br/>
              <w:t>V. Zakázať určovanie fiktívnych príjmov bez opory v dôkazoch.</w:t>
            </w:r>
          </w:p>
        </w:tc>
      </w:tr>
      <w:tr w:rsidR="000E5CBF" w14:paraId="6195CB9E" w14:textId="77777777">
        <w:trPr>
          <w:trHeight w:val="648"/>
        </w:trPr>
        <w:tc>
          <w:tcPr>
            <w:tcW w:w="0" w:type="auto"/>
          </w:tcPr>
          <w:p w14:paraId="7F78E50E" w14:textId="77777777" w:rsidR="000E5CBF" w:rsidRDefault="00000000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lastRenderedPageBreak/>
              <w:t>ÚGKKSR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Úrad geodézie, kartografie a katastra Slovenskej republiky</w:t>
            </w:r>
          </w:p>
        </w:tc>
        <w:tc>
          <w:tcPr>
            <w:tcW w:w="0" w:type="auto"/>
            <w:vAlign w:val="center"/>
          </w:tcPr>
          <w:p w14:paraId="5BF83C0D" w14:textId="77777777" w:rsidR="000E5CBF" w:rsidRDefault="00000000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O</w:t>
            </w:r>
          </w:p>
        </w:tc>
        <w:tc>
          <w:tcPr>
            <w:tcW w:w="0" w:type="auto"/>
          </w:tcPr>
          <w:p w14:paraId="5D24A333" w14:textId="77777777" w:rsidR="000E5CBF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K celému materiálu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Bez pripomienok.</w:t>
            </w:r>
          </w:p>
        </w:tc>
      </w:tr>
      <w:tr w:rsidR="000E5CBF" w14:paraId="62E00F08" w14:textId="77777777">
        <w:trPr>
          <w:trHeight w:val="648"/>
        </w:trPr>
        <w:tc>
          <w:tcPr>
            <w:tcW w:w="0" w:type="auto"/>
          </w:tcPr>
          <w:p w14:paraId="4AB16269" w14:textId="77777777" w:rsidR="000E5CBF" w:rsidRDefault="00000000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ÚJDSR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Úrad jadrového dozoru Slovenskej republiky</w:t>
            </w:r>
          </w:p>
        </w:tc>
        <w:tc>
          <w:tcPr>
            <w:tcW w:w="0" w:type="auto"/>
            <w:vAlign w:val="center"/>
          </w:tcPr>
          <w:p w14:paraId="12193335" w14:textId="77777777" w:rsidR="000E5CBF" w:rsidRDefault="00000000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O</w:t>
            </w:r>
          </w:p>
        </w:tc>
        <w:tc>
          <w:tcPr>
            <w:tcW w:w="0" w:type="auto"/>
          </w:tcPr>
          <w:p w14:paraId="6BCE42A8" w14:textId="77777777" w:rsidR="000E5CBF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Celému materiálu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Bez pripomienok</w:t>
            </w:r>
          </w:p>
        </w:tc>
      </w:tr>
      <w:tr w:rsidR="000E5CBF" w14:paraId="51ADBE7F" w14:textId="77777777">
        <w:trPr>
          <w:trHeight w:val="648"/>
        </w:trPr>
        <w:tc>
          <w:tcPr>
            <w:tcW w:w="0" w:type="auto"/>
          </w:tcPr>
          <w:p w14:paraId="48AD843E" w14:textId="77777777" w:rsidR="000E5CBF" w:rsidRDefault="00000000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lastRenderedPageBreak/>
              <w:t>ÚNMSSR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Úrad pre normalizáciu,  metrológiu a skúšobníctvo Slovenskej republiky</w:t>
            </w:r>
          </w:p>
        </w:tc>
        <w:tc>
          <w:tcPr>
            <w:tcW w:w="0" w:type="auto"/>
            <w:vAlign w:val="center"/>
          </w:tcPr>
          <w:p w14:paraId="43B70C4D" w14:textId="77777777" w:rsidR="000E5CBF" w:rsidRDefault="00000000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O</w:t>
            </w:r>
          </w:p>
        </w:tc>
        <w:tc>
          <w:tcPr>
            <w:tcW w:w="0" w:type="auto"/>
          </w:tcPr>
          <w:p w14:paraId="605FAE47" w14:textId="77777777" w:rsidR="000E5CBF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Celému materiálu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Bez pripomienok.</w:t>
            </w:r>
          </w:p>
        </w:tc>
      </w:tr>
      <w:tr w:rsidR="000E5CBF" w14:paraId="68C42075" w14:textId="77777777">
        <w:trPr>
          <w:trHeight w:val="648"/>
        </w:trPr>
        <w:tc>
          <w:tcPr>
            <w:tcW w:w="0" w:type="auto"/>
          </w:tcPr>
          <w:p w14:paraId="1171ECC6" w14:textId="77777777" w:rsidR="000E5CBF" w:rsidRDefault="00000000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ÚPVSR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Úrad priemyselného vlastníctva Slovenskej republiky</w:t>
            </w:r>
          </w:p>
        </w:tc>
        <w:tc>
          <w:tcPr>
            <w:tcW w:w="0" w:type="auto"/>
            <w:vAlign w:val="center"/>
          </w:tcPr>
          <w:p w14:paraId="5A952B37" w14:textId="77777777" w:rsidR="000E5CBF" w:rsidRDefault="00000000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O</w:t>
            </w:r>
          </w:p>
        </w:tc>
        <w:tc>
          <w:tcPr>
            <w:tcW w:w="0" w:type="auto"/>
          </w:tcPr>
          <w:p w14:paraId="27A7BB2B" w14:textId="77777777" w:rsidR="000E5CBF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Celému materiálu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Bez pripomienok.</w:t>
            </w:r>
          </w:p>
        </w:tc>
      </w:tr>
      <w:tr w:rsidR="000E5CBF" w14:paraId="39C995FE" w14:textId="77777777">
        <w:trPr>
          <w:trHeight w:val="648"/>
        </w:trPr>
        <w:tc>
          <w:tcPr>
            <w:tcW w:w="0" w:type="auto"/>
          </w:tcPr>
          <w:p w14:paraId="471E1F6A" w14:textId="77777777" w:rsidR="000E5CBF" w:rsidRDefault="00000000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ÚVO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Úrad pre verejné obstarávanie</w:t>
            </w:r>
          </w:p>
        </w:tc>
        <w:tc>
          <w:tcPr>
            <w:tcW w:w="0" w:type="auto"/>
            <w:vAlign w:val="center"/>
          </w:tcPr>
          <w:p w14:paraId="69A80976" w14:textId="77777777" w:rsidR="000E5CBF" w:rsidRDefault="00000000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O</w:t>
            </w:r>
          </w:p>
        </w:tc>
        <w:tc>
          <w:tcPr>
            <w:tcW w:w="0" w:type="auto"/>
          </w:tcPr>
          <w:p w14:paraId="6E7FD98B" w14:textId="77777777" w:rsidR="000E5CBF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Celému materiálu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Bez pripomienok.</w:t>
            </w:r>
          </w:p>
        </w:tc>
      </w:tr>
      <w:tr w:rsidR="000E5CBF" w14:paraId="79E19CC9" w14:textId="77777777">
        <w:trPr>
          <w:trHeight w:val="648"/>
        </w:trPr>
        <w:tc>
          <w:tcPr>
            <w:tcW w:w="0" w:type="auto"/>
          </w:tcPr>
          <w:p w14:paraId="058C0BB7" w14:textId="77777777" w:rsidR="000E5CBF" w:rsidRDefault="00000000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ŠÚSR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Štatistický úrad Slovenskej republiky</w:t>
            </w:r>
          </w:p>
        </w:tc>
        <w:tc>
          <w:tcPr>
            <w:tcW w:w="0" w:type="auto"/>
            <w:vAlign w:val="center"/>
          </w:tcPr>
          <w:p w14:paraId="68AA282C" w14:textId="77777777" w:rsidR="000E5CBF" w:rsidRDefault="00000000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O</w:t>
            </w:r>
          </w:p>
        </w:tc>
        <w:tc>
          <w:tcPr>
            <w:tcW w:w="0" w:type="auto"/>
          </w:tcPr>
          <w:p w14:paraId="62D3FEC4" w14:textId="77777777" w:rsidR="000E5CBF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Celému materiálu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Bez pripomienok.</w:t>
            </w:r>
          </w:p>
        </w:tc>
      </w:tr>
      <w:tr w:rsidR="000E5CBF" w14:paraId="001EDB11" w14:textId="77777777">
        <w:trPr>
          <w:trHeight w:val="648"/>
        </w:trPr>
        <w:tc>
          <w:tcPr>
            <w:tcW w:w="0" w:type="auto"/>
          </w:tcPr>
          <w:p w14:paraId="5F48C753" w14:textId="77777777" w:rsidR="000E5CBF" w:rsidRDefault="00000000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MHSR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Ministerstvo hospodárstva Slovenskej republiky</w:t>
            </w:r>
          </w:p>
        </w:tc>
        <w:tc>
          <w:tcPr>
            <w:tcW w:w="0" w:type="auto"/>
            <w:vAlign w:val="center"/>
          </w:tcPr>
          <w:p w14:paraId="0613A22F" w14:textId="77777777" w:rsidR="000E5CBF" w:rsidRDefault="000E5CBF">
            <w:pPr>
              <w:spacing w:after="0"/>
              <w:jc w:val="center"/>
            </w:pPr>
          </w:p>
        </w:tc>
        <w:tc>
          <w:tcPr>
            <w:tcW w:w="0" w:type="auto"/>
          </w:tcPr>
          <w:p w14:paraId="3A418F2F" w14:textId="77777777" w:rsidR="000E5CBF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Odoslané bez pripomienok</w:t>
            </w:r>
          </w:p>
        </w:tc>
      </w:tr>
      <w:tr w:rsidR="000E5CBF" w14:paraId="1D2CF78E" w14:textId="77777777">
        <w:trPr>
          <w:trHeight w:val="648"/>
        </w:trPr>
        <w:tc>
          <w:tcPr>
            <w:tcW w:w="0" w:type="auto"/>
          </w:tcPr>
          <w:p w14:paraId="3AC6B840" w14:textId="77777777" w:rsidR="000E5CBF" w:rsidRDefault="00000000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MINCRS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Ministerstvo cestovného ruchu a športu Slovenskej republiky</w:t>
            </w:r>
          </w:p>
        </w:tc>
        <w:tc>
          <w:tcPr>
            <w:tcW w:w="0" w:type="auto"/>
            <w:vAlign w:val="center"/>
          </w:tcPr>
          <w:p w14:paraId="74973502" w14:textId="77777777" w:rsidR="000E5CBF" w:rsidRDefault="000E5CBF">
            <w:pPr>
              <w:spacing w:after="0"/>
              <w:jc w:val="center"/>
            </w:pPr>
          </w:p>
        </w:tc>
        <w:tc>
          <w:tcPr>
            <w:tcW w:w="0" w:type="auto"/>
          </w:tcPr>
          <w:p w14:paraId="67D97A12" w14:textId="77777777" w:rsidR="000E5CBF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Odoslané bez pripomienok</w:t>
            </w:r>
          </w:p>
        </w:tc>
      </w:tr>
      <w:tr w:rsidR="000E5CBF" w14:paraId="47298EDF" w14:textId="77777777">
        <w:trPr>
          <w:trHeight w:val="648"/>
        </w:trPr>
        <w:tc>
          <w:tcPr>
            <w:tcW w:w="0" w:type="auto"/>
          </w:tcPr>
          <w:p w14:paraId="6121D574" w14:textId="77777777" w:rsidR="000E5CBF" w:rsidRDefault="00000000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MIRRI SR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Ministerstvo investícií, regionálneho rozvoja a informatizácie Slovenskej republiky</w:t>
            </w:r>
          </w:p>
        </w:tc>
        <w:tc>
          <w:tcPr>
            <w:tcW w:w="0" w:type="auto"/>
            <w:vAlign w:val="center"/>
          </w:tcPr>
          <w:p w14:paraId="6A06BF4B" w14:textId="77777777" w:rsidR="000E5CBF" w:rsidRDefault="000E5CBF">
            <w:pPr>
              <w:spacing w:after="0"/>
              <w:jc w:val="center"/>
            </w:pPr>
          </w:p>
        </w:tc>
        <w:tc>
          <w:tcPr>
            <w:tcW w:w="0" w:type="auto"/>
          </w:tcPr>
          <w:p w14:paraId="1FE59FA0" w14:textId="77777777" w:rsidR="000E5CBF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Odoslané bez pripomienok</w:t>
            </w:r>
          </w:p>
        </w:tc>
      </w:tr>
      <w:tr w:rsidR="000E5CBF" w14:paraId="2B8B1380" w14:textId="77777777">
        <w:trPr>
          <w:trHeight w:val="648"/>
        </w:trPr>
        <w:tc>
          <w:tcPr>
            <w:tcW w:w="0" w:type="auto"/>
          </w:tcPr>
          <w:p w14:paraId="205AE15F" w14:textId="77777777" w:rsidR="000E5CBF" w:rsidRDefault="00000000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MKSR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Ministerstvo kultúry Slovenskej republiky</w:t>
            </w:r>
          </w:p>
        </w:tc>
        <w:tc>
          <w:tcPr>
            <w:tcW w:w="0" w:type="auto"/>
            <w:vAlign w:val="center"/>
          </w:tcPr>
          <w:p w14:paraId="5984C39D" w14:textId="77777777" w:rsidR="000E5CBF" w:rsidRDefault="000E5CBF">
            <w:pPr>
              <w:spacing w:after="0"/>
              <w:jc w:val="center"/>
            </w:pPr>
          </w:p>
        </w:tc>
        <w:tc>
          <w:tcPr>
            <w:tcW w:w="0" w:type="auto"/>
          </w:tcPr>
          <w:p w14:paraId="55515086" w14:textId="77777777" w:rsidR="000E5CBF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Odoslané bez pripomienok</w:t>
            </w:r>
          </w:p>
        </w:tc>
      </w:tr>
      <w:tr w:rsidR="000E5CBF" w14:paraId="64412B99" w14:textId="77777777">
        <w:trPr>
          <w:trHeight w:val="648"/>
        </w:trPr>
        <w:tc>
          <w:tcPr>
            <w:tcW w:w="0" w:type="auto"/>
          </w:tcPr>
          <w:p w14:paraId="1177E1C8" w14:textId="77777777" w:rsidR="000E5CBF" w:rsidRDefault="00000000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lastRenderedPageBreak/>
              <w:t>MPRVSR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Ministerstvo pôdohospodárstva a rozvoja vidieka Slovenskej republiky</w:t>
            </w:r>
          </w:p>
        </w:tc>
        <w:tc>
          <w:tcPr>
            <w:tcW w:w="0" w:type="auto"/>
            <w:vAlign w:val="center"/>
          </w:tcPr>
          <w:p w14:paraId="3F1D65B0" w14:textId="77777777" w:rsidR="000E5CBF" w:rsidRDefault="000E5CBF">
            <w:pPr>
              <w:spacing w:after="0"/>
              <w:jc w:val="center"/>
            </w:pPr>
          </w:p>
        </w:tc>
        <w:tc>
          <w:tcPr>
            <w:tcW w:w="0" w:type="auto"/>
          </w:tcPr>
          <w:p w14:paraId="65D2D4F8" w14:textId="77777777" w:rsidR="000E5CBF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Odoslané bez pripomienok</w:t>
            </w:r>
          </w:p>
        </w:tc>
      </w:tr>
      <w:tr w:rsidR="000E5CBF" w14:paraId="540D6576" w14:textId="77777777">
        <w:trPr>
          <w:trHeight w:val="648"/>
        </w:trPr>
        <w:tc>
          <w:tcPr>
            <w:tcW w:w="0" w:type="auto"/>
          </w:tcPr>
          <w:p w14:paraId="33326FF0" w14:textId="77777777" w:rsidR="000E5CBF" w:rsidRDefault="00000000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MVSR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Ministerstvo vnútra Slovenskej republiky</w:t>
            </w:r>
          </w:p>
        </w:tc>
        <w:tc>
          <w:tcPr>
            <w:tcW w:w="0" w:type="auto"/>
            <w:vAlign w:val="center"/>
          </w:tcPr>
          <w:p w14:paraId="30FD1E7C" w14:textId="77777777" w:rsidR="000E5CBF" w:rsidRDefault="000E5CBF">
            <w:pPr>
              <w:spacing w:after="0"/>
              <w:jc w:val="center"/>
            </w:pPr>
          </w:p>
        </w:tc>
        <w:tc>
          <w:tcPr>
            <w:tcW w:w="0" w:type="auto"/>
          </w:tcPr>
          <w:p w14:paraId="79873BC8" w14:textId="77777777" w:rsidR="000E5CBF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Odoslané bez pripomienok</w:t>
            </w:r>
          </w:p>
        </w:tc>
      </w:tr>
      <w:tr w:rsidR="000E5CBF" w14:paraId="5CC101B3" w14:textId="77777777">
        <w:trPr>
          <w:trHeight w:val="648"/>
        </w:trPr>
        <w:tc>
          <w:tcPr>
            <w:tcW w:w="0" w:type="auto"/>
          </w:tcPr>
          <w:p w14:paraId="20FA38CF" w14:textId="77777777" w:rsidR="000E5CBF" w:rsidRDefault="00000000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MZSR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Ministerstvo zdravotníctva Slovenskej republiky</w:t>
            </w:r>
          </w:p>
        </w:tc>
        <w:tc>
          <w:tcPr>
            <w:tcW w:w="0" w:type="auto"/>
            <w:vAlign w:val="center"/>
          </w:tcPr>
          <w:p w14:paraId="3A6227FA" w14:textId="77777777" w:rsidR="000E5CBF" w:rsidRDefault="000E5CBF">
            <w:pPr>
              <w:spacing w:after="0"/>
              <w:jc w:val="center"/>
            </w:pPr>
          </w:p>
        </w:tc>
        <w:tc>
          <w:tcPr>
            <w:tcW w:w="0" w:type="auto"/>
          </w:tcPr>
          <w:p w14:paraId="62A4864C" w14:textId="77777777" w:rsidR="000E5CBF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Odoslané bez pripomienok</w:t>
            </w:r>
          </w:p>
        </w:tc>
      </w:tr>
      <w:tr w:rsidR="000E5CBF" w14:paraId="190F68FF" w14:textId="77777777">
        <w:trPr>
          <w:trHeight w:val="648"/>
        </w:trPr>
        <w:tc>
          <w:tcPr>
            <w:tcW w:w="0" w:type="auto"/>
          </w:tcPr>
          <w:p w14:paraId="736B2609" w14:textId="77777777" w:rsidR="000E5CBF" w:rsidRDefault="00000000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MZVEZ SR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Ministerstvo zahraničných vecí a európskych záležitostí Slovenskej republiky</w:t>
            </w:r>
          </w:p>
        </w:tc>
        <w:tc>
          <w:tcPr>
            <w:tcW w:w="0" w:type="auto"/>
            <w:vAlign w:val="center"/>
          </w:tcPr>
          <w:p w14:paraId="709F2AB1" w14:textId="77777777" w:rsidR="000E5CBF" w:rsidRDefault="000E5CBF">
            <w:pPr>
              <w:spacing w:after="0"/>
              <w:jc w:val="center"/>
            </w:pPr>
          </w:p>
        </w:tc>
        <w:tc>
          <w:tcPr>
            <w:tcW w:w="0" w:type="auto"/>
          </w:tcPr>
          <w:p w14:paraId="2535B938" w14:textId="77777777" w:rsidR="000E5CBF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Odoslané bez pripomienok</w:t>
            </w:r>
          </w:p>
        </w:tc>
      </w:tr>
      <w:tr w:rsidR="000E5CBF" w14:paraId="2D39B6C2" w14:textId="77777777">
        <w:trPr>
          <w:trHeight w:val="648"/>
        </w:trPr>
        <w:tc>
          <w:tcPr>
            <w:tcW w:w="0" w:type="auto"/>
          </w:tcPr>
          <w:p w14:paraId="7F3BB555" w14:textId="77777777" w:rsidR="000E5CBF" w:rsidRDefault="00000000">
            <w:pPr>
              <w:spacing w:after="0"/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MŠVVaMSR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Ministerstvo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školstva,výskumu,vývoja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a mládeže Slovenskej republiky</w:t>
            </w:r>
          </w:p>
        </w:tc>
        <w:tc>
          <w:tcPr>
            <w:tcW w:w="0" w:type="auto"/>
            <w:vAlign w:val="center"/>
          </w:tcPr>
          <w:p w14:paraId="30A86EA6" w14:textId="77777777" w:rsidR="000E5CBF" w:rsidRDefault="000E5CBF">
            <w:pPr>
              <w:spacing w:after="0"/>
              <w:jc w:val="center"/>
            </w:pPr>
          </w:p>
        </w:tc>
        <w:tc>
          <w:tcPr>
            <w:tcW w:w="0" w:type="auto"/>
          </w:tcPr>
          <w:p w14:paraId="48A99804" w14:textId="77777777" w:rsidR="000E5CBF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Odoslané bez pripomienok</w:t>
            </w:r>
          </w:p>
        </w:tc>
      </w:tr>
      <w:tr w:rsidR="000E5CBF" w14:paraId="4D550B62" w14:textId="77777777">
        <w:trPr>
          <w:trHeight w:val="648"/>
        </w:trPr>
        <w:tc>
          <w:tcPr>
            <w:tcW w:w="0" w:type="auto"/>
          </w:tcPr>
          <w:p w14:paraId="1A24FA22" w14:textId="77777777" w:rsidR="000E5CBF" w:rsidRDefault="00000000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MŽPSR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Ministerstvo životného prostredia Slovenskej republiky</w:t>
            </w:r>
          </w:p>
        </w:tc>
        <w:tc>
          <w:tcPr>
            <w:tcW w:w="0" w:type="auto"/>
            <w:vAlign w:val="center"/>
          </w:tcPr>
          <w:p w14:paraId="179CB309" w14:textId="77777777" w:rsidR="000E5CBF" w:rsidRDefault="000E5CBF">
            <w:pPr>
              <w:spacing w:after="0"/>
              <w:jc w:val="center"/>
            </w:pPr>
          </w:p>
        </w:tc>
        <w:tc>
          <w:tcPr>
            <w:tcW w:w="0" w:type="auto"/>
          </w:tcPr>
          <w:p w14:paraId="718D1B16" w14:textId="77777777" w:rsidR="000E5CBF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Odoslané bez pripomienok</w:t>
            </w:r>
          </w:p>
        </w:tc>
      </w:tr>
    </w:tbl>
    <w:p w14:paraId="12D7AF0B" w14:textId="77777777" w:rsidR="00DB2917" w:rsidRDefault="00DB2917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48602EC8" w14:textId="28745B1A" w:rsidR="00E66622" w:rsidRPr="000B2D78" w:rsidRDefault="00E66622" w:rsidP="00B325C1">
      <w:pPr>
        <w:keepLines/>
        <w:rPr>
          <w:rFonts w:ascii="Times New Roman" w:hAnsi="Times New Roman" w:cs="Times New Roman"/>
        </w:rPr>
      </w:pPr>
      <w:r w:rsidRPr="00E66622">
        <w:rPr>
          <w:rFonts w:ascii="Times New Roman" w:eastAsia="Times New Roman" w:hAnsi="Times New Roman" w:cs="Times New Roman"/>
          <w:sz w:val="24"/>
          <w:szCs w:val="24"/>
        </w:rPr>
        <w:t>Vznesené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hromadn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é</w:t>
      </w:r>
      <w:r w:rsidRPr="00E66622">
        <w:rPr>
          <w:rFonts w:ascii="Times New Roman" w:eastAsia="Times New Roman" w:hAnsi="Times New Roman" w:cs="Times New Roman"/>
          <w:sz w:val="24"/>
          <w:szCs w:val="24"/>
        </w:rPr>
        <w:t xml:space="preserve"> pripomienky</w:t>
      </w:r>
    </w:p>
    <w:tbl>
      <w:tblPr>
        <w:tblW w:w="5000" w:type="pct"/>
        <w:jc w:val="center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3001"/>
        <w:gridCol w:w="1502"/>
        <w:gridCol w:w="9455"/>
      </w:tblGrid>
      <w:tr w:rsidR="00E11D16" w14:paraId="57C7F9BD" w14:textId="77777777" w:rsidTr="00CD5259">
        <w:trPr>
          <w:trHeight w:val="648"/>
          <w:jc w:val="center"/>
        </w:trPr>
        <w:tc>
          <w:tcPr>
            <w:tcW w:w="1000" w:type="pct"/>
            <w:vAlign w:val="center"/>
          </w:tcPr>
          <w:p w14:paraId="12485476" w14:textId="77777777" w:rsidR="00E11D16" w:rsidRPr="00E11D16" w:rsidRDefault="00E11D16" w:rsidP="00B325C1">
            <w:pPr>
              <w:keepLines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11D1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Subjekt</w:t>
            </w:r>
          </w:p>
        </w:tc>
        <w:tc>
          <w:tcPr>
            <w:tcW w:w="500" w:type="pct"/>
            <w:vAlign w:val="center"/>
          </w:tcPr>
          <w:p w14:paraId="7BDCDFBF" w14:textId="3EA361CD" w:rsidR="00E11D16" w:rsidRPr="00E11D16" w:rsidRDefault="00E11D16" w:rsidP="00B325C1">
            <w:pPr>
              <w:keepLines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Podporo</w:t>
            </w:r>
            <w:proofErr w:type="spellEnd"/>
            <w:r w:rsidR="000A158B" w:rsidRPr="000A158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0A158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br/>
            </w:r>
            <w:proofErr w:type="spellStart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vatelia</w:t>
            </w:r>
            <w:proofErr w:type="spellEnd"/>
          </w:p>
        </w:tc>
        <w:tc>
          <w:tcPr>
            <w:tcW w:w="3150" w:type="pct"/>
            <w:vAlign w:val="center"/>
          </w:tcPr>
          <w:p w14:paraId="63809B05" w14:textId="77777777" w:rsidR="00E11D16" w:rsidRPr="00E11D16" w:rsidRDefault="00E11D16" w:rsidP="00B325C1">
            <w:pPr>
              <w:keepLines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11D1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Pripomienka</w:t>
            </w:r>
          </w:p>
        </w:tc>
      </w:tr>
      <w:tr w:rsidR="00DA5A30" w14:paraId="396F1DA9" w14:textId="77777777" w:rsidTr="00DA5A30">
        <w:trPr>
          <w:trHeight w:val="648"/>
          <w:jc w:val="center"/>
        </w:trPr>
        <w:tc>
          <w:tcPr>
            <w:tcW w:w="0" w:type="auto"/>
            <w:gridSpan w:val="3"/>
            <w:vAlign w:val="center"/>
          </w:tcPr>
          <w:p w14:paraId="52A29A1F" w14:textId="77777777" w:rsidR="000E5CBF" w:rsidRDefault="00000000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lastRenderedPageBreak/>
              <w:t>K materiálu neboli pridané hromadné pripomienky.</w:t>
            </w:r>
          </w:p>
        </w:tc>
      </w:tr>
    </w:tbl>
    <w:p w14:paraId="1F01DA97" w14:textId="77777777" w:rsidR="00E66622" w:rsidRPr="00E66622" w:rsidRDefault="00E66622">
      <w:pPr>
        <w:rPr>
          <w:rFonts w:ascii="Times New Roman" w:hAnsi="Times New Roman" w:cs="Times New Roman"/>
        </w:rPr>
      </w:pPr>
    </w:p>
    <w:sectPr w:rsidR="00E66622" w:rsidRPr="00E66622" w:rsidSect="00DA5A30">
      <w:pgSz w:w="16838" w:h="11906" w:orient="landscape" w:code="9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58BA7D7" w14:textId="77777777" w:rsidR="001B2631" w:rsidRPr="00E66622" w:rsidRDefault="001B2631" w:rsidP="00E66622">
      <w:pPr>
        <w:spacing w:after="0" w:line="240" w:lineRule="auto"/>
      </w:pPr>
      <w:r w:rsidRPr="00E66622">
        <w:separator/>
      </w:r>
    </w:p>
  </w:endnote>
  <w:endnote w:type="continuationSeparator" w:id="0">
    <w:p w14:paraId="7732D6AA" w14:textId="77777777" w:rsidR="001B2631" w:rsidRPr="00E66622" w:rsidRDefault="001B2631" w:rsidP="00E66622">
      <w:pPr>
        <w:spacing w:after="0" w:line="240" w:lineRule="auto"/>
      </w:pPr>
      <w:r w:rsidRPr="00E66622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altName w:val="Times New Roman"/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BC7F919" w14:textId="77777777" w:rsidR="001B2631" w:rsidRPr="00E66622" w:rsidRDefault="001B2631" w:rsidP="00E66622">
      <w:pPr>
        <w:spacing w:after="0" w:line="240" w:lineRule="auto"/>
      </w:pPr>
      <w:r w:rsidRPr="00E66622">
        <w:separator/>
      </w:r>
    </w:p>
  </w:footnote>
  <w:footnote w:type="continuationSeparator" w:id="0">
    <w:p w14:paraId="7237161D" w14:textId="77777777" w:rsidR="001B2631" w:rsidRPr="00E66622" w:rsidRDefault="001B2631" w:rsidP="00E66622">
      <w:pPr>
        <w:spacing w:after="0" w:line="240" w:lineRule="auto"/>
      </w:pPr>
      <w:r w:rsidRPr="00E66622"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C1A93"/>
    <w:rsid w:val="00047E84"/>
    <w:rsid w:val="00050137"/>
    <w:rsid w:val="00050C83"/>
    <w:rsid w:val="00076DCD"/>
    <w:rsid w:val="000A158B"/>
    <w:rsid w:val="000B2D78"/>
    <w:rsid w:val="000C172E"/>
    <w:rsid w:val="000D3CA3"/>
    <w:rsid w:val="000E5CBF"/>
    <w:rsid w:val="001228AD"/>
    <w:rsid w:val="00131490"/>
    <w:rsid w:val="00131742"/>
    <w:rsid w:val="001433FA"/>
    <w:rsid w:val="00146A7D"/>
    <w:rsid w:val="001B2631"/>
    <w:rsid w:val="001D4771"/>
    <w:rsid w:val="001E50FA"/>
    <w:rsid w:val="001E5996"/>
    <w:rsid w:val="001F777F"/>
    <w:rsid w:val="00231554"/>
    <w:rsid w:val="00237490"/>
    <w:rsid w:val="00245F36"/>
    <w:rsid w:val="0026614F"/>
    <w:rsid w:val="002715E0"/>
    <w:rsid w:val="0029170C"/>
    <w:rsid w:val="00295E6A"/>
    <w:rsid w:val="002A4482"/>
    <w:rsid w:val="002C0EB1"/>
    <w:rsid w:val="002C684B"/>
    <w:rsid w:val="002D3B5E"/>
    <w:rsid w:val="002D4B4A"/>
    <w:rsid w:val="002E3CEC"/>
    <w:rsid w:val="002F5089"/>
    <w:rsid w:val="00310F92"/>
    <w:rsid w:val="00312884"/>
    <w:rsid w:val="00335FFB"/>
    <w:rsid w:val="00350421"/>
    <w:rsid w:val="003A5C5F"/>
    <w:rsid w:val="003C31D4"/>
    <w:rsid w:val="003E641E"/>
    <w:rsid w:val="003F1216"/>
    <w:rsid w:val="003F37C1"/>
    <w:rsid w:val="003F501E"/>
    <w:rsid w:val="004029A2"/>
    <w:rsid w:val="004050CF"/>
    <w:rsid w:val="00405348"/>
    <w:rsid w:val="00431C3A"/>
    <w:rsid w:val="00434080"/>
    <w:rsid w:val="00461AE1"/>
    <w:rsid w:val="00491D61"/>
    <w:rsid w:val="004A62B8"/>
    <w:rsid w:val="004B4188"/>
    <w:rsid w:val="004C4683"/>
    <w:rsid w:val="004E0BF7"/>
    <w:rsid w:val="004F4092"/>
    <w:rsid w:val="00513767"/>
    <w:rsid w:val="005146CA"/>
    <w:rsid w:val="0053699B"/>
    <w:rsid w:val="00543901"/>
    <w:rsid w:val="00583F11"/>
    <w:rsid w:val="005B618C"/>
    <w:rsid w:val="005E5B0E"/>
    <w:rsid w:val="005F3E6F"/>
    <w:rsid w:val="00602231"/>
    <w:rsid w:val="006371D1"/>
    <w:rsid w:val="00641DD8"/>
    <w:rsid w:val="00664F3B"/>
    <w:rsid w:val="00695857"/>
    <w:rsid w:val="006B53F4"/>
    <w:rsid w:val="006C2D6E"/>
    <w:rsid w:val="0070694E"/>
    <w:rsid w:val="00707B3A"/>
    <w:rsid w:val="00735F5E"/>
    <w:rsid w:val="00774ED8"/>
    <w:rsid w:val="00784062"/>
    <w:rsid w:val="0078532E"/>
    <w:rsid w:val="007C1A93"/>
    <w:rsid w:val="007F482B"/>
    <w:rsid w:val="00805BCF"/>
    <w:rsid w:val="00847145"/>
    <w:rsid w:val="008741FE"/>
    <w:rsid w:val="00887B34"/>
    <w:rsid w:val="008C2612"/>
    <w:rsid w:val="008D299D"/>
    <w:rsid w:val="00913D14"/>
    <w:rsid w:val="00917A99"/>
    <w:rsid w:val="00932936"/>
    <w:rsid w:val="00947810"/>
    <w:rsid w:val="009647D6"/>
    <w:rsid w:val="00980D7A"/>
    <w:rsid w:val="009912BF"/>
    <w:rsid w:val="009B1491"/>
    <w:rsid w:val="009D152C"/>
    <w:rsid w:val="009D32B4"/>
    <w:rsid w:val="009E0711"/>
    <w:rsid w:val="009F35D2"/>
    <w:rsid w:val="00A02DB7"/>
    <w:rsid w:val="00A070EB"/>
    <w:rsid w:val="00A36692"/>
    <w:rsid w:val="00A37B59"/>
    <w:rsid w:val="00A40A62"/>
    <w:rsid w:val="00A81039"/>
    <w:rsid w:val="00A950A9"/>
    <w:rsid w:val="00AD0FB4"/>
    <w:rsid w:val="00B02EF2"/>
    <w:rsid w:val="00B0310C"/>
    <w:rsid w:val="00B11932"/>
    <w:rsid w:val="00B13231"/>
    <w:rsid w:val="00B13C0C"/>
    <w:rsid w:val="00B325C1"/>
    <w:rsid w:val="00B8742A"/>
    <w:rsid w:val="00B946A0"/>
    <w:rsid w:val="00BB3CF4"/>
    <w:rsid w:val="00BC339E"/>
    <w:rsid w:val="00BC7790"/>
    <w:rsid w:val="00BD7F55"/>
    <w:rsid w:val="00BE323C"/>
    <w:rsid w:val="00BF207A"/>
    <w:rsid w:val="00C06F1F"/>
    <w:rsid w:val="00C13765"/>
    <w:rsid w:val="00C34659"/>
    <w:rsid w:val="00C43D79"/>
    <w:rsid w:val="00C529CC"/>
    <w:rsid w:val="00C84A5B"/>
    <w:rsid w:val="00C904D1"/>
    <w:rsid w:val="00CB600D"/>
    <w:rsid w:val="00CC742E"/>
    <w:rsid w:val="00CD5259"/>
    <w:rsid w:val="00CD7313"/>
    <w:rsid w:val="00CF1D5F"/>
    <w:rsid w:val="00D01FAC"/>
    <w:rsid w:val="00D0302E"/>
    <w:rsid w:val="00D2596D"/>
    <w:rsid w:val="00D44E47"/>
    <w:rsid w:val="00D466F6"/>
    <w:rsid w:val="00D610D0"/>
    <w:rsid w:val="00D91683"/>
    <w:rsid w:val="00DA267A"/>
    <w:rsid w:val="00DA5A30"/>
    <w:rsid w:val="00DB2917"/>
    <w:rsid w:val="00DB4797"/>
    <w:rsid w:val="00DD2850"/>
    <w:rsid w:val="00DD302E"/>
    <w:rsid w:val="00DD4447"/>
    <w:rsid w:val="00DD7CB5"/>
    <w:rsid w:val="00DF139C"/>
    <w:rsid w:val="00E07639"/>
    <w:rsid w:val="00E078E8"/>
    <w:rsid w:val="00E113C2"/>
    <w:rsid w:val="00E11D16"/>
    <w:rsid w:val="00E327C3"/>
    <w:rsid w:val="00E37A37"/>
    <w:rsid w:val="00E41A2D"/>
    <w:rsid w:val="00E66622"/>
    <w:rsid w:val="00E92A50"/>
    <w:rsid w:val="00EA3B3C"/>
    <w:rsid w:val="00EE00C6"/>
    <w:rsid w:val="00EE3DCD"/>
    <w:rsid w:val="00F0653F"/>
    <w:rsid w:val="00F17D8C"/>
    <w:rsid w:val="00F456DC"/>
    <w:rsid w:val="00F66A1B"/>
    <w:rsid w:val="00F8431B"/>
    <w:rsid w:val="00F85AB8"/>
    <w:rsid w:val="00F907A2"/>
    <w:rsid w:val="00FA016F"/>
    <w:rsid w:val="00FA40AE"/>
    <w:rsid w:val="00FD17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132CD4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E11D16"/>
    <w:rPr>
      <w:lang w:val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iPriority w:val="99"/>
    <w:unhideWhenUsed/>
    <w:rsid w:val="00E6662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E66622"/>
  </w:style>
  <w:style w:type="paragraph" w:styleId="Pta">
    <w:name w:val="footer"/>
    <w:basedOn w:val="Normlny"/>
    <w:link w:val="PtaChar"/>
    <w:uiPriority w:val="99"/>
    <w:unhideWhenUsed/>
    <w:rsid w:val="00E6662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E66622"/>
  </w:style>
  <w:style w:type="character" w:styleId="Odkaznakomentr">
    <w:name w:val="annotation reference"/>
    <w:basedOn w:val="Predvolenpsmoodseku"/>
    <w:uiPriority w:val="99"/>
    <w:semiHidden/>
    <w:unhideWhenUsed/>
    <w:rsid w:val="00CD5259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semiHidden/>
    <w:unhideWhenUsed/>
    <w:rsid w:val="00CD5259"/>
    <w:pPr>
      <w:spacing w:line="240" w:lineRule="auto"/>
    </w:pPr>
    <w:rPr>
      <w:sz w:val="20"/>
      <w:szCs w:val="20"/>
    </w:rPr>
  </w:style>
  <w:style w:type="character" w:customStyle="1" w:styleId="TextkomentraChar">
    <w:name w:val="Text komentára Char"/>
    <w:basedOn w:val="Predvolenpsmoodseku"/>
    <w:link w:val="Textkomentra"/>
    <w:uiPriority w:val="99"/>
    <w:semiHidden/>
    <w:rsid w:val="00CD5259"/>
    <w:rPr>
      <w:sz w:val="20"/>
      <w:szCs w:val="20"/>
      <w:lang w:val="sk-SK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CD5259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CD5259"/>
    <w:rPr>
      <w:b/>
      <w:bCs/>
      <w:sz w:val="20"/>
      <w:szCs w:val="20"/>
      <w:lang w:val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15</Pages>
  <Words>2735</Words>
  <Characters>15593</Characters>
  <Application>Microsoft Office Word</Application>
  <DocSecurity>0</DocSecurity>
  <Lines>129</Lines>
  <Paragraphs>36</Paragraphs>
  <ScaleCrop>false</ScaleCrop>
  <Company/>
  <LinksUpToDate>false</LinksUpToDate>
  <CharactersWithSpaces>18292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2026-06-09T08:14:00Z</dcterms:created>
  <dcterms:modified xsi:type="dcterms:W3CDTF">2026-06-09T08:14:00Z</dcterms:modified>
</cp:coreProperties>
</file>