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AC2DD" w14:textId="77777777" w:rsidR="00054C41" w:rsidRPr="00895898" w:rsidRDefault="00054C41" w:rsidP="00054C41">
      <w:pPr>
        <w:jc w:val="center"/>
        <w:rPr>
          <w:rFonts w:ascii="Times New Roman" w:eastAsia="Calibri" w:hAnsi="Times New Roman" w:cs="Times New Roman"/>
          <w:b/>
          <w:sz w:val="28"/>
          <w:szCs w:val="28"/>
        </w:rPr>
      </w:pPr>
      <w:r w:rsidRPr="00895898">
        <w:rPr>
          <w:rFonts w:ascii="Times New Roman" w:eastAsia="Calibri" w:hAnsi="Times New Roman" w:cs="Times New Roman"/>
          <w:b/>
          <w:sz w:val="28"/>
          <w:szCs w:val="28"/>
        </w:rPr>
        <w:t>Analýza vplyvov na podnikateľské prostredie</w:t>
      </w:r>
    </w:p>
    <w:p w14:paraId="68E29424" w14:textId="77777777" w:rsidR="00054C41" w:rsidRPr="00895898" w:rsidRDefault="00054C41" w:rsidP="00054C41">
      <w:pPr>
        <w:jc w:val="both"/>
        <w:rPr>
          <w:rFonts w:ascii="Times New Roman" w:eastAsia="Calibri" w:hAnsi="Times New Roman" w:cs="Times New Roman"/>
          <w:b/>
          <w:sz w:val="24"/>
          <w:szCs w:val="24"/>
        </w:rPr>
      </w:pPr>
    </w:p>
    <w:p w14:paraId="575A0C95"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Názov materiálu:</w:t>
      </w:r>
      <w:r w:rsidR="00F90570">
        <w:rPr>
          <w:rFonts w:ascii="Times New Roman" w:eastAsia="Calibri" w:hAnsi="Times New Roman" w:cs="Times New Roman"/>
          <w:b/>
          <w:sz w:val="24"/>
          <w:szCs w:val="24"/>
        </w:rPr>
        <w:t xml:space="preserve"> </w:t>
      </w:r>
      <w:r w:rsidR="00F90570" w:rsidRPr="00437ABD">
        <w:rPr>
          <w:rFonts w:ascii="Times New Roman" w:eastAsia="Calibri" w:hAnsi="Times New Roman" w:cs="Times New Roman"/>
          <w:sz w:val="24"/>
          <w:szCs w:val="24"/>
        </w:rPr>
        <w:t xml:space="preserve">Návrh nariadenia vlády Slovenskej republiky, ktorým sa vyhlasuje </w:t>
      </w:r>
      <w:r w:rsidR="00F90570">
        <w:rPr>
          <w:rFonts w:ascii="Times New Roman" w:eastAsia="Calibri" w:hAnsi="Times New Roman" w:cs="Times New Roman"/>
          <w:sz w:val="24"/>
          <w:szCs w:val="24"/>
        </w:rPr>
        <w:t>Tatranský národný park, j</w:t>
      </w:r>
      <w:r w:rsidR="00F90570" w:rsidRPr="00437ABD">
        <w:rPr>
          <w:rFonts w:ascii="Times New Roman" w:eastAsia="Calibri" w:hAnsi="Times New Roman" w:cs="Times New Roman"/>
          <w:sz w:val="24"/>
          <w:szCs w:val="24"/>
        </w:rPr>
        <w:t>eho zóny a ochranné pásmo</w:t>
      </w:r>
    </w:p>
    <w:p w14:paraId="34A1925C" w14:textId="77777777" w:rsidR="00F90570" w:rsidRPr="001F1B43" w:rsidRDefault="00054C41" w:rsidP="00F90570">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Predkladateľ:</w:t>
      </w:r>
      <w:r w:rsidR="00F90570">
        <w:rPr>
          <w:rFonts w:ascii="Times New Roman" w:eastAsia="Calibri" w:hAnsi="Times New Roman" w:cs="Times New Roman"/>
          <w:b/>
          <w:sz w:val="24"/>
          <w:szCs w:val="24"/>
        </w:rPr>
        <w:t xml:space="preserve"> </w:t>
      </w:r>
      <w:r w:rsidR="00F90570" w:rsidRPr="00C206CB">
        <w:rPr>
          <w:rFonts w:ascii="Times New Roman" w:eastAsia="Calibri" w:hAnsi="Times New Roman" w:cs="Times New Roman"/>
          <w:sz w:val="24"/>
          <w:szCs w:val="24"/>
        </w:rPr>
        <w:t>Ministerstvo životného prostredia Slovenskej republiky</w:t>
      </w:r>
    </w:p>
    <w:p w14:paraId="3578B248" w14:textId="77777777" w:rsidR="00054C41" w:rsidRPr="001F1B43" w:rsidRDefault="00054C41" w:rsidP="00054C41">
      <w:pPr>
        <w:jc w:val="both"/>
        <w:rPr>
          <w:rFonts w:ascii="Times New Roman" w:eastAsia="Calibri" w:hAnsi="Times New Roman" w:cs="Times New Roman"/>
          <w:b/>
          <w:sz w:val="24"/>
          <w:szCs w:val="24"/>
        </w:rPr>
      </w:pPr>
    </w:p>
    <w:p w14:paraId="725C4C58"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3.1 Náklady regulácie</w:t>
      </w:r>
    </w:p>
    <w:p w14:paraId="59E9C427" w14:textId="77777777" w:rsidR="00054C41" w:rsidRPr="001F1B43" w:rsidRDefault="00054C41" w:rsidP="00C21399">
      <w:pPr>
        <w:tabs>
          <w:tab w:val="left" w:pos="8025"/>
        </w:tabs>
        <w:rPr>
          <w:rFonts w:ascii="Times New Roman" w:eastAsia="Calibri" w:hAnsi="Times New Roman" w:cs="Times New Roman"/>
          <w:bCs/>
          <w:i/>
          <w:iCs/>
          <w:sz w:val="24"/>
          <w:szCs w:val="24"/>
        </w:rPr>
      </w:pPr>
      <w:r w:rsidRPr="001F1B43">
        <w:rPr>
          <w:rFonts w:ascii="Times New Roman" w:eastAsia="Calibri" w:hAnsi="Times New Roman" w:cs="Times New Roman"/>
          <w:b/>
          <w:i/>
          <w:iCs/>
          <w:sz w:val="24"/>
          <w:szCs w:val="24"/>
        </w:rPr>
        <w:t xml:space="preserve">3.1.1 Súhrnná tabuľka nákladov regulácie </w:t>
      </w:r>
      <w:r w:rsidR="00C21399">
        <w:rPr>
          <w:rFonts w:ascii="Times New Roman" w:eastAsia="Calibri" w:hAnsi="Times New Roman" w:cs="Times New Roman"/>
          <w:b/>
          <w:i/>
          <w:iCs/>
          <w:sz w:val="24"/>
          <w:szCs w:val="24"/>
        </w:rPr>
        <w:tab/>
      </w:r>
    </w:p>
    <w:p w14:paraId="7816F37E" w14:textId="77777777" w:rsidR="00054C41" w:rsidRPr="00D8247C"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1: Zmeny nákladov (ročne) v prepočte na podnikateľské prostredie (PP), vyhodnotenie mechanizmu znižovania byrokracie a náklado</w:t>
      </w:r>
      <w:r w:rsidR="000A6B7F">
        <w:rPr>
          <w:rFonts w:ascii="Times New Roman" w:eastAsia="Calibri" w:hAnsi="Times New Roman" w:cs="Times New Roman"/>
          <w:i/>
          <w:sz w:val="24"/>
          <w:szCs w:val="24"/>
        </w:rPr>
        <w:t>v</w:t>
      </w:r>
      <w:r w:rsidR="00C929AE">
        <w:rPr>
          <w:rFonts w:ascii="Times New Roman" w:eastAsia="Calibri" w:hAnsi="Times New Roman" w:cs="Times New Roman"/>
          <w:i/>
          <w:sz w:val="24"/>
          <w:szCs w:val="24"/>
        </w:rPr>
        <w:t xml:space="preserve">, náklady </w:t>
      </w:r>
      <w:proofErr w:type="spellStart"/>
      <w:r w:rsidR="00C929AE" w:rsidRPr="00804BC8">
        <w:rPr>
          <w:rFonts w:ascii="Times New Roman" w:eastAsia="Calibri" w:hAnsi="Times New Roman" w:cs="Times New Roman"/>
          <w:i/>
          <w:sz w:val="24"/>
          <w:szCs w:val="24"/>
        </w:rPr>
        <w:t>goldplatingu</w:t>
      </w:r>
      <w:proofErr w:type="spellEnd"/>
      <w:r w:rsidR="00C929AE">
        <w:rPr>
          <w:rStyle w:val="Odkaznapoznmkupodiarou"/>
          <w:rFonts w:ascii="Times New Roman" w:eastAsia="Calibri" w:hAnsi="Times New Roman" w:cs="Times New Roman"/>
          <w:i/>
          <w:sz w:val="24"/>
          <w:szCs w:val="24"/>
        </w:rPr>
        <w:footnoteReference w:id="1"/>
      </w:r>
      <w:r w:rsidR="000A6B7F">
        <w:rPr>
          <w:rFonts w:ascii="Times New Roman" w:eastAsia="Calibri" w:hAnsi="Times New Roman" w:cs="Times New Roman"/>
          <w:i/>
          <w:sz w:val="24"/>
          <w:szCs w:val="24"/>
        </w:rPr>
        <w:t xml:space="preserve"> </w:t>
      </w:r>
      <w:r w:rsidR="00C929AE">
        <w:rPr>
          <w:rFonts w:ascii="Times New Roman" w:eastAsia="Calibri" w:hAnsi="Times New Roman" w:cs="Times New Roman"/>
          <w:i/>
          <w:sz w:val="24"/>
          <w:szCs w:val="24"/>
        </w:rPr>
        <w:t>na podnikateľské prostredie</w:t>
      </w:r>
      <w:r w:rsidRPr="00D8247C">
        <w:rPr>
          <w:rFonts w:ascii="Times New Roman" w:eastAsia="Calibri" w:hAnsi="Times New Roman" w:cs="Times New Roman"/>
          <w:i/>
          <w:sz w:val="24"/>
          <w:szCs w:val="24"/>
        </w:rPr>
        <w:t xml:space="preserve">. </w:t>
      </w:r>
    </w:p>
    <w:p w14:paraId="2388151F" w14:textId="77777777" w:rsidR="00054C41" w:rsidRPr="00D8247C"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Nahraďte rovnakou tabuľkou po vyplnení Kalkulačky nákladov podnikateľského prostredia, ktorá je povinnou prílohou tejto analýzy a nájdete ju na </w:t>
      </w:r>
      <w:hyperlink r:id="rId12" w:history="1">
        <w:r w:rsidRPr="00D8247C">
          <w:rPr>
            <w:rFonts w:ascii="Times New Roman" w:eastAsia="Calibri" w:hAnsi="Times New Roman" w:cs="Times New Roman"/>
            <w:i/>
            <w:color w:val="0563C1"/>
            <w:sz w:val="24"/>
            <w:szCs w:val="24"/>
            <w:u w:val="single"/>
          </w:rPr>
          <w:t>webovom sídle MH SR</w:t>
        </w:r>
      </w:hyperlink>
      <w:r w:rsidRPr="00D8247C">
        <w:rPr>
          <w:rFonts w:ascii="Times New Roman" w:eastAsia="Calibri" w:hAnsi="Times New Roman" w:cs="Times New Roman"/>
          <w:i/>
          <w:sz w:val="24"/>
          <w:szCs w:val="24"/>
        </w:rPr>
        <w:t xml:space="preserve">, (ďalej len </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Kalkulačka nákladov</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w:t>
      </w:r>
    </w:p>
    <w:tbl>
      <w:tblPr>
        <w:tblW w:w="9514" w:type="dxa"/>
        <w:tblInd w:w="70" w:type="dxa"/>
        <w:tblCellMar>
          <w:left w:w="70" w:type="dxa"/>
          <w:right w:w="70" w:type="dxa"/>
        </w:tblCellMar>
        <w:tblLook w:val="04A0" w:firstRow="1" w:lastRow="0" w:firstColumn="1" w:lastColumn="0" w:noHBand="0" w:noVBand="1"/>
      </w:tblPr>
      <w:tblGrid>
        <w:gridCol w:w="146"/>
        <w:gridCol w:w="3540"/>
        <w:gridCol w:w="2623"/>
        <w:gridCol w:w="169"/>
        <w:gridCol w:w="160"/>
        <w:gridCol w:w="2293"/>
        <w:gridCol w:w="423"/>
        <w:gridCol w:w="160"/>
      </w:tblGrid>
      <w:tr w:rsidR="00C929AE" w:rsidRPr="00C929AE" w14:paraId="12B02F9A" w14:textId="77777777" w:rsidTr="003A3124">
        <w:trPr>
          <w:trHeight w:val="270"/>
        </w:trPr>
        <w:tc>
          <w:tcPr>
            <w:tcW w:w="146" w:type="dxa"/>
            <w:tcBorders>
              <w:top w:val="nil"/>
              <w:left w:val="nil"/>
              <w:bottom w:val="nil"/>
              <w:right w:val="nil"/>
            </w:tcBorders>
            <w:noWrap/>
            <w:vAlign w:val="bottom"/>
            <w:hideMark/>
          </w:tcPr>
          <w:p w14:paraId="369F12EA"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noWrap/>
            <w:vAlign w:val="bottom"/>
            <w:hideMark/>
          </w:tcPr>
          <w:p w14:paraId="0FA56DE2"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2792" w:type="dxa"/>
            <w:gridSpan w:val="2"/>
            <w:tcBorders>
              <w:top w:val="nil"/>
              <w:left w:val="nil"/>
              <w:bottom w:val="nil"/>
              <w:right w:val="nil"/>
            </w:tcBorders>
            <w:noWrap/>
            <w:vAlign w:val="bottom"/>
            <w:hideMark/>
          </w:tcPr>
          <w:p w14:paraId="58752688"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160" w:type="dxa"/>
            <w:tcBorders>
              <w:top w:val="nil"/>
              <w:left w:val="nil"/>
              <w:bottom w:val="nil"/>
              <w:right w:val="nil"/>
            </w:tcBorders>
            <w:noWrap/>
            <w:vAlign w:val="bottom"/>
            <w:hideMark/>
          </w:tcPr>
          <w:p w14:paraId="2154086C"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2716" w:type="dxa"/>
            <w:gridSpan w:val="2"/>
            <w:tcBorders>
              <w:top w:val="nil"/>
              <w:left w:val="nil"/>
              <w:bottom w:val="nil"/>
              <w:right w:val="nil"/>
            </w:tcBorders>
            <w:noWrap/>
            <w:vAlign w:val="bottom"/>
            <w:hideMark/>
          </w:tcPr>
          <w:p w14:paraId="2FD3E8FC"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160" w:type="dxa"/>
            <w:tcBorders>
              <w:top w:val="nil"/>
              <w:left w:val="nil"/>
              <w:bottom w:val="nil"/>
              <w:right w:val="nil"/>
            </w:tcBorders>
            <w:noWrap/>
            <w:vAlign w:val="bottom"/>
            <w:hideMark/>
          </w:tcPr>
          <w:p w14:paraId="6F9DC58A" w14:textId="77777777" w:rsidR="00C929AE" w:rsidRPr="00C929AE" w:rsidRDefault="00C929AE" w:rsidP="00C929AE">
            <w:pPr>
              <w:spacing w:after="0" w:line="240" w:lineRule="auto"/>
              <w:jc w:val="center"/>
              <w:rPr>
                <w:rFonts w:ascii="Times New Roman" w:eastAsia="Times New Roman" w:hAnsi="Times New Roman" w:cs="Times New Roman"/>
                <w:color w:val="000000"/>
                <w:sz w:val="20"/>
                <w:szCs w:val="20"/>
                <w:lang w:eastAsia="sk-SK"/>
              </w:rPr>
            </w:pPr>
          </w:p>
        </w:tc>
      </w:tr>
      <w:tr w:rsidR="00C929AE" w:rsidRPr="00C929AE" w14:paraId="1E3BB4A4" w14:textId="77777777" w:rsidTr="00804BC8">
        <w:trPr>
          <w:gridAfter w:val="2"/>
          <w:wAfter w:w="583" w:type="dxa"/>
          <w:trHeight w:val="451"/>
        </w:trPr>
        <w:tc>
          <w:tcPr>
            <w:tcW w:w="146" w:type="dxa"/>
            <w:tcBorders>
              <w:top w:val="nil"/>
              <w:left w:val="nil"/>
              <w:bottom w:val="nil"/>
              <w:right w:val="nil"/>
            </w:tcBorders>
            <w:noWrap/>
            <w:vAlign w:val="bottom"/>
            <w:hideMark/>
          </w:tcPr>
          <w:p w14:paraId="0C1EF327"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vAlign w:val="center"/>
            <w:hideMark/>
          </w:tcPr>
          <w:p w14:paraId="1A62C83B" w14:textId="77777777" w:rsidR="00C929AE" w:rsidRPr="00C929AE" w:rsidRDefault="00C929AE" w:rsidP="00C929AE">
            <w:pPr>
              <w:spacing w:after="0" w:line="240" w:lineRule="auto"/>
              <w:jc w:val="center"/>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TYP NÁKLADOV</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14:paraId="5AA84797"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04CF42A0"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Zníženie nákladov v € na PP</w:t>
            </w:r>
          </w:p>
        </w:tc>
      </w:tr>
      <w:tr w:rsidR="00C929AE" w:rsidRPr="00C929AE" w14:paraId="521F1A2F" w14:textId="77777777" w:rsidTr="00804BC8">
        <w:trPr>
          <w:gridAfter w:val="2"/>
          <w:wAfter w:w="583" w:type="dxa"/>
          <w:trHeight w:val="600"/>
        </w:trPr>
        <w:tc>
          <w:tcPr>
            <w:tcW w:w="146" w:type="dxa"/>
            <w:tcBorders>
              <w:top w:val="nil"/>
              <w:left w:val="nil"/>
              <w:bottom w:val="nil"/>
              <w:right w:val="nil"/>
            </w:tcBorders>
            <w:noWrap/>
            <w:vAlign w:val="bottom"/>
            <w:hideMark/>
          </w:tcPr>
          <w:p w14:paraId="738DBA1D"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vAlign w:val="center"/>
            <w:hideMark/>
          </w:tcPr>
          <w:p w14:paraId="1F29CFC4" w14:textId="77777777" w:rsidR="00C929AE" w:rsidRPr="00C929AE" w:rsidRDefault="00C929AE" w:rsidP="00C929AE">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A.</w:t>
            </w:r>
            <w:r>
              <w:rPr>
                <w:rFonts w:ascii="Times New Roman" w:eastAsia="Times New Roman" w:hAnsi="Times New Roman" w:cs="Times New Roman"/>
                <w:b/>
                <w:bCs/>
                <w:i/>
                <w:iCs/>
                <w:color w:val="000000"/>
                <w:sz w:val="20"/>
                <w:szCs w:val="20"/>
                <w:lang w:eastAsia="sk-SK"/>
              </w:rPr>
              <w:t xml:space="preserve"> </w:t>
            </w:r>
            <w:r w:rsidRPr="00C929AE">
              <w:rPr>
                <w:rFonts w:ascii="Times New Roman" w:eastAsia="Times New Roman" w:hAnsi="Times New Roman" w:cs="Times New Roman"/>
                <w:b/>
                <w:bCs/>
                <w:i/>
                <w:iCs/>
                <w:color w:val="000000"/>
                <w:sz w:val="20"/>
                <w:szCs w:val="20"/>
                <w:lang w:eastAsia="sk-SK"/>
              </w:rPr>
              <w:t xml:space="preserve">Dane, odvody, clá a poplatky, ktorých cieľom je znižovať negatívne </w:t>
            </w:r>
            <w:proofErr w:type="spellStart"/>
            <w:r w:rsidRPr="00C929AE">
              <w:rPr>
                <w:rFonts w:ascii="Times New Roman" w:eastAsia="Times New Roman" w:hAnsi="Times New Roman" w:cs="Times New Roman"/>
                <w:b/>
                <w:bCs/>
                <w:i/>
                <w:iCs/>
                <w:color w:val="000000"/>
                <w:sz w:val="20"/>
                <w:szCs w:val="20"/>
                <w:lang w:eastAsia="sk-SK"/>
              </w:rPr>
              <w:t>externality</w:t>
            </w:r>
            <w:proofErr w:type="spellEnd"/>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221454F7"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010C5B81"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r w:rsidR="00C929AE" w:rsidRPr="00C929AE" w14:paraId="65345203" w14:textId="77777777" w:rsidTr="00804BC8">
        <w:trPr>
          <w:gridAfter w:val="2"/>
          <w:wAfter w:w="583" w:type="dxa"/>
          <w:trHeight w:val="420"/>
        </w:trPr>
        <w:tc>
          <w:tcPr>
            <w:tcW w:w="146" w:type="dxa"/>
            <w:tcBorders>
              <w:top w:val="nil"/>
              <w:left w:val="nil"/>
              <w:bottom w:val="nil"/>
              <w:right w:val="nil"/>
            </w:tcBorders>
            <w:noWrap/>
            <w:vAlign w:val="bottom"/>
            <w:hideMark/>
          </w:tcPr>
          <w:p w14:paraId="0E3C715E"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vAlign w:val="center"/>
            <w:hideMark/>
          </w:tcPr>
          <w:p w14:paraId="3FD5DE7E" w14:textId="77777777" w:rsidR="00C929AE" w:rsidRPr="00C929AE" w:rsidRDefault="00C929AE" w:rsidP="00F378F4">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 xml:space="preserve">B. Iné </w:t>
            </w:r>
            <w:r w:rsidRPr="00952CF6">
              <w:rPr>
                <w:rFonts w:ascii="Times New Roman" w:eastAsia="Times New Roman" w:hAnsi="Times New Roman" w:cs="Times New Roman"/>
                <w:b/>
                <w:bCs/>
                <w:i/>
                <w:iCs/>
                <w:color w:val="000000"/>
                <w:sz w:val="20"/>
                <w:szCs w:val="20"/>
                <w:lang w:eastAsia="sk-SK"/>
              </w:rPr>
              <w:t>poplatky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0AC55C39"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506F9F05"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r w:rsidR="00C929AE" w:rsidRPr="00C929AE" w14:paraId="7C57FFD1" w14:textId="77777777" w:rsidTr="00804BC8">
        <w:trPr>
          <w:gridAfter w:val="2"/>
          <w:wAfter w:w="583" w:type="dxa"/>
          <w:trHeight w:val="435"/>
        </w:trPr>
        <w:tc>
          <w:tcPr>
            <w:tcW w:w="146" w:type="dxa"/>
            <w:tcBorders>
              <w:top w:val="nil"/>
              <w:left w:val="nil"/>
              <w:bottom w:val="nil"/>
              <w:right w:val="nil"/>
            </w:tcBorders>
            <w:noWrap/>
            <w:vAlign w:val="bottom"/>
            <w:hideMark/>
          </w:tcPr>
          <w:p w14:paraId="233B3D12"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vAlign w:val="center"/>
            <w:hideMark/>
          </w:tcPr>
          <w:p w14:paraId="32A2984F" w14:textId="77777777" w:rsidR="00C929AE" w:rsidRPr="00C929AE" w:rsidRDefault="00C929AE" w:rsidP="00C929AE">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C.</w:t>
            </w:r>
            <w:r w:rsidR="00CA4344">
              <w:rPr>
                <w:rFonts w:ascii="Times New Roman" w:eastAsia="Times New Roman" w:hAnsi="Times New Roman" w:cs="Times New Roman"/>
                <w:b/>
                <w:bCs/>
                <w:i/>
                <w:iCs/>
                <w:color w:val="000000"/>
                <w:sz w:val="20"/>
                <w:szCs w:val="20"/>
                <w:lang w:eastAsia="sk-SK"/>
              </w:rPr>
              <w:t xml:space="preserve"> Sankcie a pokuty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22B9CE17"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4D241575"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r w:rsidR="00C929AE" w:rsidRPr="00C929AE" w14:paraId="73A1B512" w14:textId="77777777" w:rsidTr="00804BC8">
        <w:trPr>
          <w:gridAfter w:val="2"/>
          <w:wAfter w:w="583" w:type="dxa"/>
          <w:trHeight w:val="480"/>
        </w:trPr>
        <w:tc>
          <w:tcPr>
            <w:tcW w:w="146" w:type="dxa"/>
            <w:tcBorders>
              <w:top w:val="nil"/>
              <w:left w:val="nil"/>
              <w:bottom w:val="nil"/>
              <w:right w:val="nil"/>
            </w:tcBorders>
            <w:noWrap/>
            <w:vAlign w:val="bottom"/>
            <w:hideMark/>
          </w:tcPr>
          <w:p w14:paraId="56FDFEB8"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vAlign w:val="center"/>
            <w:hideMark/>
          </w:tcPr>
          <w:p w14:paraId="6921B42E" w14:textId="77777777" w:rsidR="00C929AE" w:rsidRPr="00C929AE" w:rsidRDefault="00C929AE" w:rsidP="006A4E85">
            <w:pPr>
              <w:spacing w:after="0" w:line="240" w:lineRule="auto"/>
              <w:rPr>
                <w:rFonts w:ascii="Times New Roman" w:eastAsia="Times New Roman" w:hAnsi="Times New Roman" w:cs="Times New Roman"/>
                <w:b/>
                <w:bCs/>
                <w:i/>
                <w:iCs/>
                <w:color w:val="000000"/>
                <w:sz w:val="20"/>
                <w:szCs w:val="20"/>
                <w:lang w:eastAsia="sk-SK"/>
              </w:rPr>
            </w:pPr>
            <w:r w:rsidRPr="00E961E8">
              <w:rPr>
                <w:rFonts w:ascii="Times New Roman" w:eastAsia="Times New Roman" w:hAnsi="Times New Roman" w:cs="Times New Roman"/>
                <w:b/>
                <w:bCs/>
                <w:i/>
                <w:iCs/>
                <w:color w:val="000000"/>
                <w:sz w:val="20"/>
                <w:szCs w:val="20"/>
                <w:lang w:eastAsia="sk-SK"/>
              </w:rPr>
              <w:t xml:space="preserve">D. </w:t>
            </w:r>
            <w:r w:rsidR="00024EE4">
              <w:rPr>
                <w:rFonts w:ascii="Times New Roman" w:eastAsia="Times New Roman" w:hAnsi="Times New Roman" w:cs="Times New Roman"/>
                <w:b/>
                <w:bCs/>
                <w:i/>
                <w:iCs/>
                <w:color w:val="000000"/>
                <w:sz w:val="20"/>
                <w:szCs w:val="20"/>
                <w:lang w:eastAsia="sk-SK"/>
              </w:rPr>
              <w:t>Nepriame finančné náklady</w:t>
            </w:r>
            <w:r w:rsidR="006A4E85">
              <w:rPr>
                <w:rFonts w:ascii="Times New Roman" w:eastAsia="Times New Roman" w:hAnsi="Times New Roman" w:cs="Times New Roman"/>
                <w:b/>
                <w:bCs/>
                <w:i/>
                <w:iCs/>
                <w:color w:val="000000"/>
                <w:sz w:val="20"/>
                <w:szCs w:val="20"/>
                <w:lang w:eastAsia="sk-SK"/>
              </w:rPr>
              <w:t xml:space="preserve"> </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4D0A32A9"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1B465118"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r w:rsidR="006A4E85" w:rsidRPr="00C929AE" w14:paraId="356AD062" w14:textId="77777777" w:rsidTr="00804BC8">
        <w:trPr>
          <w:gridAfter w:val="2"/>
          <w:wAfter w:w="583" w:type="dxa"/>
          <w:trHeight w:val="480"/>
        </w:trPr>
        <w:tc>
          <w:tcPr>
            <w:tcW w:w="146" w:type="dxa"/>
            <w:tcBorders>
              <w:top w:val="nil"/>
              <w:left w:val="nil"/>
              <w:bottom w:val="nil"/>
              <w:right w:val="nil"/>
            </w:tcBorders>
            <w:noWrap/>
            <w:vAlign w:val="bottom"/>
          </w:tcPr>
          <w:p w14:paraId="1DAC6BF4" w14:textId="77777777" w:rsidR="006A4E85" w:rsidRPr="00C929AE" w:rsidRDefault="006A4E85"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vAlign w:val="center"/>
          </w:tcPr>
          <w:p w14:paraId="7AB61F38" w14:textId="77777777" w:rsidR="006A4E85" w:rsidRPr="00C929AE" w:rsidRDefault="006A4E85" w:rsidP="00C929AE">
            <w:pPr>
              <w:spacing w:after="0" w:line="240" w:lineRule="auto"/>
              <w:rPr>
                <w:rFonts w:ascii="Times New Roman" w:eastAsia="Times New Roman" w:hAnsi="Times New Roman" w:cs="Times New Roman"/>
                <w:b/>
                <w:bCs/>
                <w:i/>
                <w:iCs/>
                <w:color w:val="000000"/>
                <w:sz w:val="20"/>
                <w:szCs w:val="20"/>
                <w:lang w:eastAsia="sk-SK"/>
              </w:rPr>
            </w:pPr>
            <w:r>
              <w:rPr>
                <w:rFonts w:ascii="Times New Roman" w:eastAsia="Times New Roman" w:hAnsi="Times New Roman" w:cs="Times New Roman"/>
                <w:b/>
                <w:bCs/>
                <w:i/>
                <w:iCs/>
                <w:color w:val="000000"/>
                <w:sz w:val="20"/>
                <w:szCs w:val="20"/>
                <w:lang w:eastAsia="sk-SK"/>
              </w:rPr>
              <w:t>E. Administratívne náklady</w:t>
            </w:r>
          </w:p>
        </w:tc>
        <w:tc>
          <w:tcPr>
            <w:tcW w:w="2623" w:type="dxa"/>
            <w:tcBorders>
              <w:top w:val="single" w:sz="4" w:space="0" w:color="auto"/>
              <w:left w:val="nil"/>
              <w:bottom w:val="single" w:sz="4" w:space="0" w:color="auto"/>
              <w:right w:val="single" w:sz="4" w:space="0" w:color="auto"/>
            </w:tcBorders>
            <w:shd w:val="clear" w:color="000000" w:fill="FFC000"/>
            <w:vAlign w:val="center"/>
          </w:tcPr>
          <w:p w14:paraId="37D88E4C" w14:textId="77777777" w:rsidR="006A4E85" w:rsidRPr="00C929AE" w:rsidRDefault="006A4E85" w:rsidP="00C929AE">
            <w:pPr>
              <w:spacing w:after="0" w:line="240" w:lineRule="auto"/>
              <w:jc w:val="center"/>
              <w:rPr>
                <w:rFonts w:ascii="Times New Roman" w:eastAsia="Times New Roman" w:hAnsi="Times New Roman" w:cs="Times New Roman"/>
                <w:b/>
                <w:bCs/>
                <w:color w:val="000000"/>
                <w:sz w:val="20"/>
                <w:szCs w:val="20"/>
                <w:lang w:eastAsia="sk-SK"/>
              </w:rPr>
            </w:pPr>
          </w:p>
        </w:tc>
        <w:tc>
          <w:tcPr>
            <w:tcW w:w="2622" w:type="dxa"/>
            <w:gridSpan w:val="3"/>
            <w:tcBorders>
              <w:top w:val="single" w:sz="4" w:space="0" w:color="auto"/>
              <w:left w:val="nil"/>
              <w:bottom w:val="single" w:sz="4" w:space="0" w:color="auto"/>
              <w:right w:val="single" w:sz="8" w:space="0" w:color="000000"/>
            </w:tcBorders>
            <w:shd w:val="clear" w:color="000000" w:fill="92D050"/>
            <w:vAlign w:val="center"/>
          </w:tcPr>
          <w:p w14:paraId="09D7C344" w14:textId="77777777" w:rsidR="006A4E85" w:rsidRPr="00C929AE" w:rsidRDefault="006A4E85" w:rsidP="00C929AE">
            <w:pPr>
              <w:spacing w:after="0" w:line="240" w:lineRule="auto"/>
              <w:jc w:val="center"/>
              <w:rPr>
                <w:rFonts w:ascii="Times New Roman" w:eastAsia="Times New Roman" w:hAnsi="Times New Roman" w:cs="Times New Roman"/>
                <w:b/>
                <w:bCs/>
                <w:color w:val="000000"/>
                <w:sz w:val="20"/>
                <w:szCs w:val="20"/>
                <w:lang w:eastAsia="sk-SK"/>
              </w:rPr>
            </w:pPr>
          </w:p>
        </w:tc>
      </w:tr>
      <w:tr w:rsidR="00C929AE" w:rsidRPr="00C929AE" w14:paraId="22F0FD1E" w14:textId="77777777" w:rsidTr="00804BC8">
        <w:trPr>
          <w:gridAfter w:val="2"/>
          <w:wAfter w:w="583" w:type="dxa"/>
          <w:trHeight w:val="600"/>
        </w:trPr>
        <w:tc>
          <w:tcPr>
            <w:tcW w:w="146" w:type="dxa"/>
            <w:tcBorders>
              <w:top w:val="nil"/>
              <w:left w:val="nil"/>
              <w:bottom w:val="nil"/>
              <w:right w:val="nil"/>
            </w:tcBorders>
            <w:noWrap/>
            <w:vAlign w:val="bottom"/>
            <w:hideMark/>
          </w:tcPr>
          <w:p w14:paraId="5DC920C8"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vAlign w:val="center"/>
            <w:hideMark/>
          </w:tcPr>
          <w:p w14:paraId="07FB890D" w14:textId="77777777" w:rsidR="00C929AE" w:rsidRPr="00C929AE" w:rsidRDefault="00C929AE" w:rsidP="00C929AE">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Spolu = A+B+C+D</w:t>
            </w:r>
            <w:r w:rsidR="006A4E85" w:rsidRPr="00E961E8">
              <w:rPr>
                <w:rFonts w:ascii="Times New Roman" w:eastAsia="Times New Roman" w:hAnsi="Times New Roman" w:cs="Times New Roman"/>
                <w:b/>
                <w:bCs/>
                <w:i/>
                <w:iCs/>
                <w:color w:val="000000"/>
                <w:sz w:val="20"/>
                <w:szCs w:val="20"/>
                <w:lang w:eastAsia="sk-SK"/>
              </w:rPr>
              <w:t>+E</w:t>
            </w:r>
          </w:p>
        </w:tc>
        <w:tc>
          <w:tcPr>
            <w:tcW w:w="2623" w:type="dxa"/>
            <w:tcBorders>
              <w:top w:val="single" w:sz="4" w:space="0" w:color="auto"/>
              <w:left w:val="nil"/>
              <w:bottom w:val="single" w:sz="8" w:space="0" w:color="auto"/>
              <w:right w:val="single" w:sz="4" w:space="0" w:color="auto"/>
            </w:tcBorders>
            <w:shd w:val="clear" w:color="000000" w:fill="FFC000"/>
            <w:vAlign w:val="center"/>
            <w:hideMark/>
          </w:tcPr>
          <w:p w14:paraId="57C57CE1"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14:paraId="4E54B6AD"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r w:rsidR="00C929AE" w:rsidRPr="00C929AE" w14:paraId="2C3B74DA" w14:textId="77777777" w:rsidTr="003A3124">
        <w:trPr>
          <w:trHeight w:val="270"/>
        </w:trPr>
        <w:tc>
          <w:tcPr>
            <w:tcW w:w="146" w:type="dxa"/>
            <w:tcBorders>
              <w:top w:val="nil"/>
              <w:left w:val="nil"/>
              <w:bottom w:val="nil"/>
              <w:right w:val="nil"/>
            </w:tcBorders>
            <w:noWrap/>
            <w:vAlign w:val="bottom"/>
            <w:hideMark/>
          </w:tcPr>
          <w:p w14:paraId="122B1B74"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noWrap/>
            <w:vAlign w:val="bottom"/>
            <w:hideMark/>
          </w:tcPr>
          <w:p w14:paraId="1AC8E36C"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2792" w:type="dxa"/>
            <w:gridSpan w:val="2"/>
            <w:tcBorders>
              <w:top w:val="nil"/>
              <w:left w:val="nil"/>
              <w:bottom w:val="nil"/>
              <w:right w:val="nil"/>
            </w:tcBorders>
            <w:vAlign w:val="center"/>
            <w:hideMark/>
          </w:tcPr>
          <w:p w14:paraId="27C95524"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vAlign w:val="center"/>
            <w:hideMark/>
          </w:tcPr>
          <w:p w14:paraId="71D414AD"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2716" w:type="dxa"/>
            <w:gridSpan w:val="2"/>
            <w:tcBorders>
              <w:top w:val="nil"/>
              <w:left w:val="nil"/>
              <w:bottom w:val="nil"/>
              <w:right w:val="nil"/>
            </w:tcBorders>
            <w:vAlign w:val="center"/>
            <w:hideMark/>
          </w:tcPr>
          <w:p w14:paraId="702A1F70"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vAlign w:val="center"/>
            <w:hideMark/>
          </w:tcPr>
          <w:p w14:paraId="1B050FCA"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r>
      <w:tr w:rsidR="00C929AE" w:rsidRPr="00C929AE" w14:paraId="7D522656" w14:textId="77777777" w:rsidTr="00804BC8">
        <w:trPr>
          <w:gridAfter w:val="2"/>
          <w:wAfter w:w="583" w:type="dxa"/>
          <w:trHeight w:val="412"/>
        </w:trPr>
        <w:tc>
          <w:tcPr>
            <w:tcW w:w="146" w:type="dxa"/>
            <w:tcBorders>
              <w:top w:val="nil"/>
              <w:left w:val="nil"/>
              <w:bottom w:val="nil"/>
              <w:right w:val="nil"/>
            </w:tcBorders>
            <w:noWrap/>
            <w:vAlign w:val="bottom"/>
            <w:hideMark/>
          </w:tcPr>
          <w:p w14:paraId="7FFE9912"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vAlign w:val="center"/>
            <w:hideMark/>
          </w:tcPr>
          <w:p w14:paraId="65434B7C" w14:textId="77777777" w:rsidR="00C929AE" w:rsidRPr="00C929AE" w:rsidRDefault="00C929AE" w:rsidP="00C929AE">
            <w:pPr>
              <w:spacing w:after="0" w:line="240" w:lineRule="auto"/>
              <w:rPr>
                <w:rFonts w:ascii="Times New Roman" w:eastAsia="Times New Roman" w:hAnsi="Times New Roman" w:cs="Times New Roman"/>
                <w:i/>
                <w:iCs/>
                <w:color w:val="000000"/>
                <w:lang w:eastAsia="sk-SK"/>
              </w:rPr>
            </w:pPr>
            <w:r w:rsidRPr="00C929AE">
              <w:rPr>
                <w:rFonts w:ascii="Times New Roman" w:eastAsia="Times New Roman" w:hAnsi="Times New Roman" w:cs="Times New Roman"/>
                <w:i/>
                <w:iCs/>
                <w:color w:val="000000"/>
                <w:lang w:eastAsia="sk-SK"/>
              </w:rPr>
              <w:t>Harmonizácia práva EÚ</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14:paraId="61B3CF4D"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4A24B575"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Zníženie nákladov v € na PP</w:t>
            </w:r>
          </w:p>
        </w:tc>
      </w:tr>
      <w:tr w:rsidR="00C929AE" w:rsidRPr="00C929AE" w14:paraId="68BE6222" w14:textId="77777777" w:rsidTr="00804BC8">
        <w:trPr>
          <w:gridAfter w:val="2"/>
          <w:wAfter w:w="583" w:type="dxa"/>
          <w:trHeight w:val="840"/>
        </w:trPr>
        <w:tc>
          <w:tcPr>
            <w:tcW w:w="146" w:type="dxa"/>
            <w:tcBorders>
              <w:top w:val="nil"/>
              <w:left w:val="nil"/>
              <w:bottom w:val="nil"/>
              <w:right w:val="nil"/>
            </w:tcBorders>
            <w:noWrap/>
            <w:vAlign w:val="bottom"/>
            <w:hideMark/>
          </w:tcPr>
          <w:p w14:paraId="5395B377"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vAlign w:val="center"/>
            <w:hideMark/>
          </w:tcPr>
          <w:p w14:paraId="3112D0BF" w14:textId="77777777" w:rsidR="00C929AE" w:rsidRPr="00C929AE" w:rsidRDefault="006A4E85" w:rsidP="00C929AE">
            <w:pPr>
              <w:spacing w:after="0" w:line="240" w:lineRule="auto"/>
              <w:rPr>
                <w:rFonts w:ascii="Times New Roman" w:eastAsia="Times New Roman" w:hAnsi="Times New Roman" w:cs="Times New Roman"/>
                <w:b/>
                <w:bCs/>
                <w:i/>
                <w:iCs/>
                <w:color w:val="000000"/>
                <w:sz w:val="20"/>
                <w:szCs w:val="20"/>
                <w:lang w:eastAsia="sk-SK"/>
              </w:rPr>
            </w:pPr>
            <w:r>
              <w:rPr>
                <w:rFonts w:ascii="Times New Roman" w:eastAsia="Times New Roman" w:hAnsi="Times New Roman" w:cs="Times New Roman"/>
                <w:b/>
                <w:bCs/>
                <w:i/>
                <w:iCs/>
                <w:color w:val="000000"/>
                <w:sz w:val="20"/>
                <w:szCs w:val="20"/>
                <w:lang w:eastAsia="sk-SK"/>
              </w:rPr>
              <w:t>F</w:t>
            </w:r>
            <w:r w:rsidR="00C929AE" w:rsidRPr="00C929AE">
              <w:rPr>
                <w:rFonts w:ascii="Times New Roman" w:eastAsia="Times New Roman" w:hAnsi="Times New Roman" w:cs="Times New Roman"/>
                <w:b/>
                <w:bCs/>
                <w:i/>
                <w:iCs/>
                <w:color w:val="000000"/>
                <w:sz w:val="20"/>
                <w:szCs w:val="20"/>
                <w:lang w:eastAsia="sk-SK"/>
              </w:rPr>
              <w:t>. Úplná harmonizácia práva EÚ</w:t>
            </w:r>
            <w:r w:rsidR="00C929AE" w:rsidRPr="00C929AE">
              <w:rPr>
                <w:rFonts w:ascii="Times New Roman" w:eastAsia="Times New Roman" w:hAnsi="Times New Roman" w:cs="Times New Roman"/>
                <w:b/>
                <w:bCs/>
                <w:i/>
                <w:iCs/>
                <w:color w:val="000000"/>
                <w:sz w:val="20"/>
                <w:szCs w:val="20"/>
                <w:lang w:eastAsia="sk-SK"/>
              </w:rPr>
              <w:br/>
            </w:r>
            <w:r w:rsidR="00C929AE" w:rsidRPr="00C929AE">
              <w:rPr>
                <w:rFonts w:ascii="Times New Roman" w:eastAsia="Times New Roman" w:hAnsi="Times New Roman" w:cs="Times New Roman"/>
                <w:i/>
                <w:iCs/>
                <w:color w:val="000000"/>
                <w:sz w:val="16"/>
                <w:szCs w:val="16"/>
                <w:lang w:eastAsia="sk-SK"/>
              </w:rPr>
              <w:t xml:space="preserve">(okrem daní, odvodov, ciel a poplatkov, ktorých cieľom je znižovať negatívne </w:t>
            </w:r>
            <w:proofErr w:type="spellStart"/>
            <w:r w:rsidR="00C929AE" w:rsidRPr="00C929AE">
              <w:rPr>
                <w:rFonts w:ascii="Times New Roman" w:eastAsia="Times New Roman" w:hAnsi="Times New Roman" w:cs="Times New Roman"/>
                <w:i/>
                <w:iCs/>
                <w:color w:val="000000"/>
                <w:sz w:val="16"/>
                <w:szCs w:val="16"/>
                <w:lang w:eastAsia="sk-SK"/>
              </w:rPr>
              <w:t>externality</w:t>
            </w:r>
            <w:proofErr w:type="spellEnd"/>
            <w:r w:rsidR="00C929AE" w:rsidRPr="00C929AE">
              <w:rPr>
                <w:rFonts w:ascii="Times New Roman" w:eastAsia="Times New Roman" w:hAnsi="Times New Roman" w:cs="Times New Roman"/>
                <w:i/>
                <w:iCs/>
                <w:color w:val="000000"/>
                <w:sz w:val="16"/>
                <w:szCs w:val="16"/>
                <w:lang w:eastAsia="sk-SK"/>
              </w:rPr>
              <w:t>)</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39DEF42C"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394A0C15"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r w:rsidR="00C929AE" w:rsidRPr="00C929AE" w14:paraId="4C6CD98D" w14:textId="77777777" w:rsidTr="00804BC8">
        <w:trPr>
          <w:gridAfter w:val="2"/>
          <w:wAfter w:w="583" w:type="dxa"/>
          <w:trHeight w:val="486"/>
        </w:trPr>
        <w:tc>
          <w:tcPr>
            <w:tcW w:w="146" w:type="dxa"/>
            <w:tcBorders>
              <w:top w:val="nil"/>
              <w:left w:val="nil"/>
              <w:bottom w:val="nil"/>
              <w:right w:val="nil"/>
            </w:tcBorders>
            <w:noWrap/>
            <w:vAlign w:val="bottom"/>
            <w:hideMark/>
          </w:tcPr>
          <w:p w14:paraId="6AC7B0C1"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vAlign w:val="center"/>
            <w:hideMark/>
          </w:tcPr>
          <w:p w14:paraId="09D4C65E" w14:textId="77777777" w:rsidR="00C929AE" w:rsidRPr="00C929AE" w:rsidRDefault="006A4E85" w:rsidP="00C929AE">
            <w:pPr>
              <w:spacing w:after="0" w:line="240" w:lineRule="auto"/>
              <w:rPr>
                <w:rFonts w:ascii="Times New Roman" w:eastAsia="Times New Roman" w:hAnsi="Times New Roman" w:cs="Times New Roman"/>
                <w:b/>
                <w:bCs/>
                <w:i/>
                <w:iCs/>
                <w:color w:val="000000"/>
                <w:sz w:val="20"/>
                <w:szCs w:val="20"/>
                <w:lang w:eastAsia="sk-SK"/>
              </w:rPr>
            </w:pPr>
            <w:r>
              <w:rPr>
                <w:rFonts w:ascii="Times New Roman" w:eastAsia="Times New Roman" w:hAnsi="Times New Roman" w:cs="Times New Roman"/>
                <w:b/>
                <w:bCs/>
                <w:i/>
                <w:iCs/>
                <w:color w:val="000000"/>
                <w:sz w:val="20"/>
                <w:szCs w:val="20"/>
                <w:lang w:eastAsia="sk-SK"/>
              </w:rPr>
              <w:t>G</w:t>
            </w:r>
            <w:r w:rsidR="00C929AE" w:rsidRPr="00C929AE">
              <w:rPr>
                <w:rFonts w:ascii="Times New Roman" w:eastAsia="Times New Roman" w:hAnsi="Times New Roman" w:cs="Times New Roman"/>
                <w:b/>
                <w:bCs/>
                <w:i/>
                <w:iCs/>
                <w:color w:val="000000"/>
                <w:sz w:val="20"/>
                <w:szCs w:val="20"/>
                <w:lang w:eastAsia="sk-SK"/>
              </w:rPr>
              <w:t xml:space="preserve">. </w:t>
            </w:r>
            <w:proofErr w:type="spellStart"/>
            <w:r w:rsidR="00C929AE" w:rsidRPr="00C929AE">
              <w:rPr>
                <w:rFonts w:ascii="Times New Roman" w:eastAsia="Times New Roman" w:hAnsi="Times New Roman" w:cs="Times New Roman"/>
                <w:b/>
                <w:bCs/>
                <w:i/>
                <w:iCs/>
                <w:color w:val="000000"/>
                <w:sz w:val="20"/>
                <w:szCs w:val="20"/>
                <w:lang w:eastAsia="sk-SK"/>
              </w:rPr>
              <w:t>Goldplating</w:t>
            </w:r>
            <w:proofErr w:type="spellEnd"/>
          </w:p>
        </w:tc>
        <w:tc>
          <w:tcPr>
            <w:tcW w:w="2623" w:type="dxa"/>
            <w:tcBorders>
              <w:top w:val="single" w:sz="4" w:space="0" w:color="auto"/>
              <w:left w:val="nil"/>
              <w:bottom w:val="single" w:sz="8" w:space="0" w:color="auto"/>
              <w:right w:val="single" w:sz="4" w:space="0" w:color="auto"/>
            </w:tcBorders>
            <w:shd w:val="clear" w:color="000000" w:fill="FFC000"/>
            <w:vAlign w:val="center"/>
            <w:hideMark/>
          </w:tcPr>
          <w:p w14:paraId="42CAA724"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14:paraId="737AE33F"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r w:rsidR="00C929AE" w:rsidRPr="00C929AE" w14:paraId="0E32055E" w14:textId="77777777" w:rsidTr="003A3124">
        <w:trPr>
          <w:trHeight w:val="360"/>
        </w:trPr>
        <w:tc>
          <w:tcPr>
            <w:tcW w:w="146" w:type="dxa"/>
            <w:tcBorders>
              <w:top w:val="nil"/>
              <w:left w:val="nil"/>
              <w:bottom w:val="nil"/>
              <w:right w:val="nil"/>
            </w:tcBorders>
            <w:noWrap/>
            <w:vAlign w:val="bottom"/>
            <w:hideMark/>
          </w:tcPr>
          <w:p w14:paraId="06E2E532"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noWrap/>
            <w:vAlign w:val="bottom"/>
            <w:hideMark/>
          </w:tcPr>
          <w:p w14:paraId="497F6304"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2792" w:type="dxa"/>
            <w:gridSpan w:val="2"/>
            <w:tcBorders>
              <w:top w:val="nil"/>
              <w:left w:val="nil"/>
              <w:bottom w:val="nil"/>
              <w:right w:val="nil"/>
            </w:tcBorders>
            <w:vAlign w:val="center"/>
            <w:hideMark/>
          </w:tcPr>
          <w:p w14:paraId="37065E9B"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vAlign w:val="center"/>
            <w:hideMark/>
          </w:tcPr>
          <w:p w14:paraId="0A682519"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2716" w:type="dxa"/>
            <w:gridSpan w:val="2"/>
            <w:tcBorders>
              <w:top w:val="nil"/>
              <w:left w:val="nil"/>
              <w:bottom w:val="nil"/>
              <w:right w:val="nil"/>
            </w:tcBorders>
            <w:vAlign w:val="center"/>
            <w:hideMark/>
          </w:tcPr>
          <w:p w14:paraId="5863D9D1"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vAlign w:val="center"/>
            <w:hideMark/>
          </w:tcPr>
          <w:p w14:paraId="09A80770"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r>
      <w:tr w:rsidR="00C929AE" w:rsidRPr="00C929AE" w14:paraId="7DE52921" w14:textId="77777777" w:rsidTr="00804BC8">
        <w:trPr>
          <w:gridAfter w:val="2"/>
          <w:wAfter w:w="583" w:type="dxa"/>
          <w:trHeight w:val="390"/>
        </w:trPr>
        <w:tc>
          <w:tcPr>
            <w:tcW w:w="146" w:type="dxa"/>
            <w:tcBorders>
              <w:top w:val="nil"/>
              <w:left w:val="nil"/>
              <w:bottom w:val="nil"/>
              <w:right w:val="nil"/>
            </w:tcBorders>
            <w:noWrap/>
            <w:vAlign w:val="bottom"/>
            <w:hideMark/>
          </w:tcPr>
          <w:p w14:paraId="3004AB09"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vAlign w:val="center"/>
            <w:hideMark/>
          </w:tcPr>
          <w:p w14:paraId="3E22417A"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r w:rsidRPr="00C929AE">
              <w:rPr>
                <w:rFonts w:ascii="Times New Roman" w:eastAsia="Times New Roman" w:hAnsi="Times New Roman" w:cs="Times New Roman"/>
                <w:i/>
                <w:iCs/>
                <w:color w:val="000000"/>
                <w:sz w:val="20"/>
                <w:szCs w:val="20"/>
                <w:lang w:eastAsia="sk-SK"/>
              </w:rPr>
              <w:t>VÝPOČET PRAVIDLA 1in</w:t>
            </w:r>
            <w:r w:rsidR="00FC121B">
              <w:rPr>
                <w:rFonts w:ascii="Times New Roman" w:eastAsia="Times New Roman" w:hAnsi="Times New Roman" w:cs="Times New Roman"/>
                <w:i/>
                <w:iCs/>
                <w:color w:val="000000"/>
                <w:sz w:val="20"/>
                <w:szCs w:val="20"/>
                <w:lang w:eastAsia="sk-SK"/>
              </w:rPr>
              <w:t xml:space="preserve"> </w:t>
            </w:r>
            <w:r w:rsidRPr="00C929AE">
              <w:rPr>
                <w:rFonts w:ascii="Times New Roman" w:eastAsia="Times New Roman" w:hAnsi="Times New Roman" w:cs="Times New Roman"/>
                <w:i/>
                <w:iCs/>
                <w:color w:val="000000"/>
                <w:sz w:val="20"/>
                <w:szCs w:val="20"/>
                <w:lang w:eastAsia="sk-SK"/>
              </w:rPr>
              <w:t>2out:</w:t>
            </w:r>
          </w:p>
        </w:tc>
        <w:tc>
          <w:tcPr>
            <w:tcW w:w="2623" w:type="dxa"/>
            <w:tcBorders>
              <w:top w:val="single" w:sz="8" w:space="0" w:color="auto"/>
              <w:left w:val="nil"/>
              <w:bottom w:val="single" w:sz="4" w:space="0" w:color="auto"/>
              <w:right w:val="single" w:sz="4" w:space="0" w:color="000000"/>
            </w:tcBorders>
            <w:shd w:val="clear" w:color="000000" w:fill="FFC000"/>
            <w:vAlign w:val="center"/>
            <w:hideMark/>
          </w:tcPr>
          <w:p w14:paraId="4336AA8E" w14:textId="77777777" w:rsidR="00C929AE" w:rsidRPr="00C929AE" w:rsidRDefault="00C929AE" w:rsidP="00C929AE">
            <w:pPr>
              <w:spacing w:after="0" w:line="240" w:lineRule="auto"/>
              <w:jc w:val="center"/>
              <w:rPr>
                <w:rFonts w:ascii="Times New Roman" w:eastAsia="Times New Roman" w:hAnsi="Times New Roman" w:cs="Times New Roman"/>
                <w:color w:val="000000"/>
                <w:sz w:val="20"/>
                <w:szCs w:val="20"/>
                <w:lang w:eastAsia="sk-SK"/>
              </w:rPr>
            </w:pPr>
            <w:r w:rsidRPr="00C929AE">
              <w:rPr>
                <w:rFonts w:ascii="Times New Roman" w:eastAsia="Times New Roman" w:hAnsi="Times New Roman" w:cs="Times New Roman"/>
                <w:color w:val="000000"/>
                <w:sz w:val="20"/>
                <w:szCs w:val="20"/>
                <w:lang w:eastAsia="sk-SK"/>
              </w:rPr>
              <w:t>IN</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2339DD22" w14:textId="77777777" w:rsidR="00C929AE" w:rsidRPr="00C929AE" w:rsidRDefault="00C929AE" w:rsidP="00C929AE">
            <w:pPr>
              <w:spacing w:after="0" w:line="240" w:lineRule="auto"/>
              <w:jc w:val="center"/>
              <w:rPr>
                <w:rFonts w:ascii="Times New Roman" w:eastAsia="Times New Roman" w:hAnsi="Times New Roman" w:cs="Times New Roman"/>
                <w:color w:val="000000"/>
                <w:sz w:val="20"/>
                <w:szCs w:val="20"/>
                <w:lang w:eastAsia="sk-SK"/>
              </w:rPr>
            </w:pPr>
            <w:r w:rsidRPr="00C929AE">
              <w:rPr>
                <w:rFonts w:ascii="Times New Roman" w:eastAsia="Times New Roman" w:hAnsi="Times New Roman" w:cs="Times New Roman"/>
                <w:color w:val="000000"/>
                <w:sz w:val="20"/>
                <w:szCs w:val="20"/>
                <w:lang w:eastAsia="sk-SK"/>
              </w:rPr>
              <w:t>OUT</w:t>
            </w:r>
          </w:p>
        </w:tc>
      </w:tr>
      <w:tr w:rsidR="00C929AE" w:rsidRPr="00C929AE" w14:paraId="4961111E" w14:textId="77777777" w:rsidTr="00804BC8">
        <w:trPr>
          <w:gridAfter w:val="2"/>
          <w:wAfter w:w="583" w:type="dxa"/>
          <w:trHeight w:val="390"/>
        </w:trPr>
        <w:tc>
          <w:tcPr>
            <w:tcW w:w="146" w:type="dxa"/>
            <w:tcBorders>
              <w:top w:val="nil"/>
              <w:left w:val="nil"/>
              <w:bottom w:val="nil"/>
              <w:right w:val="nil"/>
            </w:tcBorders>
            <w:noWrap/>
            <w:vAlign w:val="bottom"/>
            <w:hideMark/>
          </w:tcPr>
          <w:p w14:paraId="5B67D7A4"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vAlign w:val="center"/>
            <w:hideMark/>
          </w:tcPr>
          <w:p w14:paraId="39C883C6" w14:textId="77777777" w:rsidR="00C929AE" w:rsidRPr="00751DA9" w:rsidRDefault="006A4E85" w:rsidP="00C929AE">
            <w:pPr>
              <w:spacing w:after="0" w:line="240" w:lineRule="auto"/>
              <w:rPr>
                <w:rFonts w:ascii="Times New Roman" w:eastAsia="Times New Roman" w:hAnsi="Times New Roman" w:cs="Times New Roman"/>
                <w:i/>
                <w:iCs/>
                <w:color w:val="000000"/>
                <w:sz w:val="20"/>
                <w:szCs w:val="20"/>
                <w:lang w:eastAsia="sk-SK"/>
              </w:rPr>
            </w:pPr>
            <w:r w:rsidRPr="00751DA9">
              <w:rPr>
                <w:rFonts w:ascii="Times New Roman" w:eastAsia="Times New Roman" w:hAnsi="Times New Roman" w:cs="Times New Roman"/>
                <w:b/>
                <w:i/>
                <w:iCs/>
                <w:color w:val="000000"/>
                <w:sz w:val="20"/>
                <w:szCs w:val="20"/>
                <w:lang w:eastAsia="sk-SK"/>
              </w:rPr>
              <w:t>H</w:t>
            </w:r>
            <w:r w:rsidR="00C929AE" w:rsidRPr="00751DA9">
              <w:rPr>
                <w:rFonts w:ascii="Times New Roman" w:eastAsia="Times New Roman" w:hAnsi="Times New Roman" w:cs="Times New Roman"/>
                <w:b/>
                <w:i/>
                <w:iCs/>
                <w:color w:val="000000"/>
                <w:sz w:val="20"/>
                <w:szCs w:val="20"/>
                <w:lang w:eastAsia="sk-SK"/>
              </w:rPr>
              <w:t>.</w:t>
            </w:r>
            <w:r w:rsidR="009F4175">
              <w:rPr>
                <w:rFonts w:ascii="Times New Roman" w:eastAsia="Times New Roman" w:hAnsi="Times New Roman" w:cs="Times New Roman"/>
                <w:i/>
                <w:iCs/>
                <w:color w:val="000000"/>
                <w:sz w:val="20"/>
                <w:szCs w:val="20"/>
                <w:lang w:eastAsia="sk-SK"/>
              </w:rPr>
              <w:t xml:space="preserve"> Náklady okrem výnimiek = B+D</w:t>
            </w:r>
            <w:r w:rsidRPr="00751DA9">
              <w:rPr>
                <w:rFonts w:ascii="Times New Roman" w:eastAsia="Times New Roman" w:hAnsi="Times New Roman" w:cs="Times New Roman"/>
                <w:i/>
                <w:iCs/>
                <w:color w:val="000000"/>
                <w:sz w:val="20"/>
                <w:szCs w:val="20"/>
                <w:lang w:eastAsia="sk-SK"/>
              </w:rPr>
              <w:t>+E-F</w:t>
            </w:r>
          </w:p>
        </w:tc>
        <w:tc>
          <w:tcPr>
            <w:tcW w:w="2623" w:type="dxa"/>
            <w:tcBorders>
              <w:top w:val="single" w:sz="4" w:space="0" w:color="auto"/>
              <w:left w:val="nil"/>
              <w:bottom w:val="single" w:sz="8" w:space="0" w:color="auto"/>
              <w:right w:val="single" w:sz="4" w:space="0" w:color="000000"/>
            </w:tcBorders>
            <w:shd w:val="clear" w:color="000000" w:fill="FFC000"/>
            <w:vAlign w:val="center"/>
            <w:hideMark/>
          </w:tcPr>
          <w:p w14:paraId="5C740A8F"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14:paraId="6AC602AA"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bl>
    <w:p w14:paraId="2BDA9254" w14:textId="77777777" w:rsidR="00054C41" w:rsidRPr="00895898" w:rsidRDefault="00054C41" w:rsidP="00054C41">
      <w:pPr>
        <w:rPr>
          <w:rFonts w:ascii="Times New Roman" w:eastAsia="Calibri" w:hAnsi="Times New Roman" w:cs="Times New Roman"/>
          <w:b/>
          <w:sz w:val="24"/>
          <w:szCs w:val="24"/>
        </w:rPr>
        <w:sectPr w:rsidR="00054C41" w:rsidRPr="00895898" w:rsidSect="00142154">
          <w:headerReference w:type="default" r:id="rId13"/>
          <w:footerReference w:type="default" r:id="rId14"/>
          <w:pgSz w:w="11906" w:h="16838"/>
          <w:pgMar w:top="993" w:right="1417" w:bottom="1417" w:left="1417" w:header="708" w:footer="708" w:gutter="0"/>
          <w:pgNumType w:start="1"/>
          <w:cols w:space="708"/>
          <w:docGrid w:linePitch="360"/>
        </w:sectPr>
      </w:pPr>
    </w:p>
    <w:p w14:paraId="7B2C5F9A" w14:textId="77777777" w:rsidR="00054C41" w:rsidRPr="001F1B43" w:rsidRDefault="00054C41" w:rsidP="00054C41">
      <w:pPr>
        <w:rPr>
          <w:rFonts w:ascii="Times New Roman" w:eastAsia="Calibri" w:hAnsi="Times New Roman" w:cs="Times New Roman"/>
          <w:b/>
          <w:i/>
          <w:iCs/>
          <w:sz w:val="24"/>
          <w:szCs w:val="24"/>
        </w:rPr>
      </w:pPr>
      <w:r w:rsidRPr="001F1B43">
        <w:rPr>
          <w:rFonts w:ascii="Times New Roman" w:eastAsia="Calibri" w:hAnsi="Times New Roman" w:cs="Times New Roman"/>
          <w:b/>
          <w:i/>
          <w:iCs/>
          <w:sz w:val="24"/>
          <w:szCs w:val="24"/>
        </w:rPr>
        <w:lastRenderedPageBreak/>
        <w:t>3.1.2 Výpočty vplyvov jednotlivých regulácií na zmeny v nákladoch podnikateľov</w:t>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p>
    <w:p w14:paraId="705C94E6" w14:textId="77777777" w:rsidR="00054C41"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2: Výpočet vplyvov jednotlivých regulácií (nahraďte rovnakou tabuľkou po vyplnení Kalkulačky nákladov):</w:t>
      </w:r>
    </w:p>
    <w:tbl>
      <w:tblPr>
        <w:tblW w:w="14056" w:type="dxa"/>
        <w:tblInd w:w="-556" w:type="dxa"/>
        <w:tblLayout w:type="fixed"/>
        <w:tblCellMar>
          <w:left w:w="70" w:type="dxa"/>
          <w:right w:w="70" w:type="dxa"/>
        </w:tblCellMar>
        <w:tblLook w:val="04A0" w:firstRow="1" w:lastRow="0" w:firstColumn="1" w:lastColumn="0" w:noHBand="0" w:noVBand="1"/>
      </w:tblPr>
      <w:tblGrid>
        <w:gridCol w:w="551"/>
        <w:gridCol w:w="1740"/>
        <w:gridCol w:w="992"/>
        <w:gridCol w:w="1134"/>
        <w:gridCol w:w="1843"/>
        <w:gridCol w:w="992"/>
        <w:gridCol w:w="1160"/>
        <w:gridCol w:w="1108"/>
        <w:gridCol w:w="851"/>
        <w:gridCol w:w="843"/>
        <w:gridCol w:w="1000"/>
        <w:gridCol w:w="708"/>
        <w:gridCol w:w="1134"/>
      </w:tblGrid>
      <w:tr w:rsidR="00DE6ACB" w:rsidRPr="000A6B7F" w14:paraId="7B614F4C" w14:textId="77777777" w:rsidTr="000D4FE9">
        <w:trPr>
          <w:trHeight w:val="255"/>
        </w:trPr>
        <w:tc>
          <w:tcPr>
            <w:tcW w:w="55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AC9226F"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proofErr w:type="spellStart"/>
            <w:r w:rsidRPr="000A6B7F">
              <w:rPr>
                <w:rFonts w:ascii="Times New Roman" w:eastAsia="Times New Roman" w:hAnsi="Times New Roman" w:cs="Times New Roman"/>
                <w:b/>
                <w:bCs/>
                <w:color w:val="000000"/>
                <w:sz w:val="20"/>
                <w:szCs w:val="20"/>
                <w:lang w:eastAsia="sk-SK"/>
              </w:rPr>
              <w:t>P.č</w:t>
            </w:r>
            <w:proofErr w:type="spellEnd"/>
            <w:r w:rsidRPr="000A6B7F">
              <w:rPr>
                <w:rFonts w:ascii="Times New Roman" w:eastAsia="Times New Roman" w:hAnsi="Times New Roman" w:cs="Times New Roman"/>
                <w:b/>
                <w:bCs/>
                <w:color w:val="000000"/>
                <w:sz w:val="20"/>
                <w:szCs w:val="20"/>
                <w:lang w:eastAsia="sk-SK"/>
              </w:rPr>
              <w:t>.</w:t>
            </w:r>
          </w:p>
        </w:tc>
        <w:tc>
          <w:tcPr>
            <w:tcW w:w="17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13ABEF1"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 xml:space="preserve">Zrozumiteľný a stručný opis regulácie </w:t>
            </w:r>
            <w:r w:rsidRPr="000A6B7F">
              <w:rPr>
                <w:rFonts w:ascii="Times New Roman" w:eastAsia="Times New Roman" w:hAnsi="Times New Roman" w:cs="Times New Roman"/>
                <w:b/>
                <w:bCs/>
                <w:color w:val="000000"/>
                <w:sz w:val="20"/>
                <w:szCs w:val="20"/>
                <w:lang w:eastAsia="sk-SK"/>
              </w:rPr>
              <w:br/>
              <w:t>(dôvod zvýšenia/zníženia nákladov na PP</w:t>
            </w:r>
            <w:r>
              <w:rPr>
                <w:rFonts w:ascii="Times New Roman" w:eastAsia="Times New Roman" w:hAnsi="Times New Roman" w:cs="Times New Roman"/>
                <w:b/>
                <w:bCs/>
                <w:color w:val="000000"/>
                <w:sz w:val="20"/>
                <w:szCs w:val="20"/>
                <w:lang w:eastAsia="sk-SK"/>
              </w:rPr>
              <w:t xml:space="preserve"> a dôvod ponechania nákladov na PP, ktoré sú </w:t>
            </w:r>
            <w:proofErr w:type="spellStart"/>
            <w:r>
              <w:rPr>
                <w:rFonts w:ascii="Times New Roman" w:eastAsia="Times New Roman" w:hAnsi="Times New Roman" w:cs="Times New Roman"/>
                <w:b/>
                <w:bCs/>
                <w:color w:val="000000"/>
                <w:sz w:val="20"/>
                <w:szCs w:val="20"/>
                <w:lang w:eastAsia="sk-SK"/>
              </w:rPr>
              <w:t>goldplatngom</w:t>
            </w:r>
            <w:proofErr w:type="spellEnd"/>
            <w:r w:rsidRPr="000A6B7F">
              <w:rPr>
                <w:rFonts w:ascii="Times New Roman" w:eastAsia="Times New Roman" w:hAnsi="Times New Roman" w:cs="Times New Roman"/>
                <w:b/>
                <w:bCs/>
                <w:color w:val="000000"/>
                <w:sz w:val="20"/>
                <w:szCs w:val="20"/>
                <w:lang w:eastAsia="sk-SK"/>
              </w:rPr>
              <w:t>)</w:t>
            </w:r>
          </w:p>
        </w:tc>
        <w:tc>
          <w:tcPr>
            <w:tcW w:w="992"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45BBC305"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Číslo normy</w:t>
            </w:r>
            <w:r w:rsidRPr="000A6B7F">
              <w:rPr>
                <w:rFonts w:ascii="Times New Roman" w:eastAsia="Times New Roman" w:hAnsi="Times New Roman" w:cs="Times New Roman"/>
                <w:b/>
                <w:bCs/>
                <w:color w:val="000000"/>
                <w:sz w:val="20"/>
                <w:szCs w:val="20"/>
                <w:lang w:eastAsia="sk-SK"/>
              </w:rPr>
              <w:br/>
            </w:r>
            <w:r w:rsidRPr="000A6B7F">
              <w:rPr>
                <w:rFonts w:ascii="Times New Roman" w:eastAsia="Times New Roman" w:hAnsi="Times New Roman" w:cs="Times New Roman"/>
                <w:color w:val="000000"/>
                <w:sz w:val="20"/>
                <w:szCs w:val="20"/>
                <w:lang w:eastAsia="sk-SK"/>
              </w:rPr>
              <w:t>(zákona, vyhlášky a pod.)</w:t>
            </w:r>
          </w:p>
        </w:tc>
        <w:tc>
          <w:tcPr>
            <w:tcW w:w="1134"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4F357BBF"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Lokalizácia</w:t>
            </w:r>
            <w:r w:rsidRPr="000A6B7F">
              <w:rPr>
                <w:rFonts w:ascii="Times New Roman" w:eastAsia="Times New Roman" w:hAnsi="Times New Roman" w:cs="Times New Roman"/>
                <w:b/>
                <w:bCs/>
                <w:color w:val="000000"/>
                <w:sz w:val="20"/>
                <w:szCs w:val="20"/>
                <w:lang w:eastAsia="sk-SK"/>
              </w:rPr>
              <w:br/>
              <w:t>(§, ods.</w:t>
            </w:r>
            <w:r w:rsidR="00D114ED">
              <w:rPr>
                <w:rFonts w:ascii="Times New Roman" w:eastAsia="Times New Roman" w:hAnsi="Times New Roman" w:cs="Times New Roman"/>
                <w:b/>
                <w:bCs/>
                <w:color w:val="000000"/>
                <w:sz w:val="20"/>
                <w:szCs w:val="20"/>
                <w:lang w:eastAsia="sk-SK"/>
              </w:rPr>
              <w:t>, čl.,...</w:t>
            </w:r>
            <w:r w:rsidRPr="000A6B7F">
              <w:rPr>
                <w:rFonts w:ascii="Times New Roman" w:eastAsia="Times New Roman" w:hAnsi="Times New Roman" w:cs="Times New Roman"/>
                <w:b/>
                <w:bCs/>
                <w:color w:val="000000"/>
                <w:sz w:val="20"/>
                <w:szCs w:val="20"/>
                <w:lang w:eastAsia="sk-SK"/>
              </w:rPr>
              <w:t>)</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1D92707" w14:textId="77777777" w:rsidR="00DE6ACB" w:rsidRDefault="00DE6ACB" w:rsidP="000A6B7F">
            <w:pPr>
              <w:spacing w:after="0" w:line="240" w:lineRule="auto"/>
              <w:jc w:val="center"/>
              <w:rPr>
                <w:rFonts w:ascii="Times New Roman" w:eastAsia="Times New Roman" w:hAnsi="Times New Roman" w:cs="Times New Roman"/>
                <w:color w:val="000000"/>
                <w:sz w:val="20"/>
                <w:szCs w:val="20"/>
                <w:lang w:eastAsia="sk-SK"/>
              </w:rPr>
            </w:pPr>
            <w:r w:rsidRPr="000A6B7F">
              <w:rPr>
                <w:rFonts w:ascii="Times New Roman" w:eastAsia="Times New Roman" w:hAnsi="Times New Roman" w:cs="Times New Roman"/>
                <w:b/>
                <w:bCs/>
                <w:color w:val="000000"/>
                <w:sz w:val="20"/>
                <w:szCs w:val="20"/>
                <w:lang w:eastAsia="sk-SK"/>
              </w:rPr>
              <w:t xml:space="preserve">Pôvod regulácie: </w:t>
            </w:r>
            <w:r w:rsidRPr="000A6B7F">
              <w:rPr>
                <w:rFonts w:ascii="Times New Roman" w:eastAsia="Times New Roman" w:hAnsi="Times New Roman" w:cs="Times New Roman"/>
                <w:b/>
                <w:bCs/>
                <w:color w:val="000000"/>
                <w:sz w:val="20"/>
                <w:szCs w:val="20"/>
                <w:lang w:eastAsia="sk-SK"/>
              </w:rPr>
              <w:br/>
            </w:r>
            <w:r>
              <w:rPr>
                <w:rFonts w:ascii="Times New Roman" w:eastAsia="Times New Roman" w:hAnsi="Times New Roman" w:cs="Times New Roman"/>
                <w:color w:val="000000"/>
                <w:sz w:val="20"/>
                <w:szCs w:val="20"/>
                <w:lang w:eastAsia="sk-SK"/>
              </w:rPr>
              <w:t>SK</w:t>
            </w:r>
            <w:r w:rsidRPr="000A6B7F">
              <w:rPr>
                <w:rFonts w:ascii="Times New Roman" w:eastAsia="Times New Roman" w:hAnsi="Times New Roman" w:cs="Times New Roman"/>
                <w:color w:val="000000"/>
                <w:sz w:val="20"/>
                <w:szCs w:val="20"/>
                <w:lang w:eastAsia="sk-SK"/>
              </w:rPr>
              <w:t xml:space="preserve">/EÚ úplná </w:t>
            </w:r>
            <w:proofErr w:type="spellStart"/>
            <w:r w:rsidRPr="000A6B7F">
              <w:rPr>
                <w:rFonts w:ascii="Times New Roman" w:eastAsia="Times New Roman" w:hAnsi="Times New Roman" w:cs="Times New Roman"/>
                <w:color w:val="000000"/>
                <w:sz w:val="20"/>
                <w:szCs w:val="20"/>
                <w:lang w:eastAsia="sk-SK"/>
              </w:rPr>
              <w:t>harm</w:t>
            </w:r>
            <w:proofErr w:type="spellEnd"/>
            <w:r w:rsidRPr="000A6B7F">
              <w:rPr>
                <w:rFonts w:ascii="Times New Roman" w:eastAsia="Times New Roman" w:hAnsi="Times New Roman" w:cs="Times New Roman"/>
                <w:color w:val="000000"/>
                <w:sz w:val="20"/>
                <w:szCs w:val="20"/>
                <w:lang w:eastAsia="sk-SK"/>
              </w:rPr>
              <w:t>./</w:t>
            </w:r>
          </w:p>
          <w:p w14:paraId="12BB0CD1" w14:textId="77777777" w:rsidR="00DE6ACB" w:rsidRPr="000A6B7F" w:rsidRDefault="006564C3" w:rsidP="000A6B7F">
            <w:pPr>
              <w:spacing w:after="0" w:line="240" w:lineRule="auto"/>
              <w:jc w:val="center"/>
              <w:rPr>
                <w:rFonts w:ascii="Times New Roman" w:eastAsia="Times New Roman" w:hAnsi="Times New Roman" w:cs="Times New Roman"/>
                <w:b/>
                <w:bCs/>
                <w:color w:val="000000"/>
                <w:sz w:val="20"/>
                <w:szCs w:val="20"/>
                <w:lang w:eastAsia="sk-SK"/>
              </w:rPr>
            </w:pPr>
            <w:proofErr w:type="spellStart"/>
            <w:r>
              <w:rPr>
                <w:rFonts w:ascii="Times New Roman" w:eastAsia="Times New Roman" w:hAnsi="Times New Roman" w:cs="Times New Roman"/>
                <w:color w:val="000000"/>
                <w:sz w:val="20"/>
                <w:szCs w:val="20"/>
                <w:lang w:eastAsia="sk-SK"/>
              </w:rPr>
              <w:t>G</w:t>
            </w:r>
            <w:r w:rsidR="00DE6ACB" w:rsidRPr="000A6B7F">
              <w:rPr>
                <w:rFonts w:ascii="Times New Roman" w:eastAsia="Times New Roman" w:hAnsi="Times New Roman" w:cs="Times New Roman"/>
                <w:color w:val="000000"/>
                <w:sz w:val="20"/>
                <w:szCs w:val="20"/>
                <w:lang w:eastAsia="sk-SK"/>
              </w:rPr>
              <w:t>oldplating</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CE7562A"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Účinnosť regulácie</w:t>
            </w:r>
          </w:p>
        </w:tc>
        <w:tc>
          <w:tcPr>
            <w:tcW w:w="11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1E1517D"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 xml:space="preserve">Kategória </w:t>
            </w:r>
            <w:proofErr w:type="spellStart"/>
            <w:r w:rsidRPr="000A6B7F">
              <w:rPr>
                <w:rFonts w:ascii="Times New Roman" w:eastAsia="Times New Roman" w:hAnsi="Times New Roman" w:cs="Times New Roman"/>
                <w:b/>
                <w:bCs/>
                <w:color w:val="000000"/>
                <w:sz w:val="20"/>
                <w:szCs w:val="20"/>
                <w:lang w:eastAsia="sk-SK"/>
              </w:rPr>
              <w:t>dotk</w:t>
            </w:r>
            <w:proofErr w:type="spellEnd"/>
            <w:r w:rsidRPr="000A6B7F">
              <w:rPr>
                <w:rFonts w:ascii="Times New Roman" w:eastAsia="Times New Roman" w:hAnsi="Times New Roman" w:cs="Times New Roman"/>
                <w:b/>
                <w:bCs/>
                <w:color w:val="000000"/>
                <w:sz w:val="20"/>
                <w:szCs w:val="20"/>
                <w:lang w:eastAsia="sk-SK"/>
              </w:rPr>
              <w:t>. subjektov</w:t>
            </w:r>
          </w:p>
        </w:tc>
        <w:tc>
          <w:tcPr>
            <w:tcW w:w="110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C000624" w14:textId="77777777" w:rsidR="00D114ED" w:rsidRDefault="00DE6ACB" w:rsidP="00047C70">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 xml:space="preserve">Počet </w:t>
            </w:r>
          </w:p>
          <w:p w14:paraId="27F89C33" w14:textId="77777777" w:rsidR="00DE6ACB" w:rsidRPr="00895898" w:rsidRDefault="00D114ED" w:rsidP="00047C70">
            <w:pPr>
              <w:spacing w:after="0" w:line="240" w:lineRule="auto"/>
              <w:jc w:val="center"/>
              <w:rPr>
                <w:rFonts w:ascii="Times New Roman" w:eastAsia="Times New Roman" w:hAnsi="Times New Roman" w:cs="Times New Roman"/>
                <w:b/>
                <w:bCs/>
                <w:color w:val="000000"/>
                <w:sz w:val="20"/>
                <w:szCs w:val="20"/>
                <w:lang w:eastAsia="sk-SK"/>
              </w:rPr>
            </w:pPr>
            <w:proofErr w:type="spellStart"/>
            <w:r>
              <w:rPr>
                <w:rFonts w:ascii="Times New Roman" w:eastAsia="Times New Roman" w:hAnsi="Times New Roman" w:cs="Times New Roman"/>
                <w:b/>
                <w:bCs/>
                <w:color w:val="000000"/>
                <w:sz w:val="20"/>
                <w:szCs w:val="20"/>
                <w:lang w:eastAsia="sk-SK"/>
              </w:rPr>
              <w:t>dotk</w:t>
            </w:r>
            <w:proofErr w:type="spellEnd"/>
            <w:r>
              <w:rPr>
                <w:rFonts w:ascii="Times New Roman" w:eastAsia="Times New Roman" w:hAnsi="Times New Roman" w:cs="Times New Roman"/>
                <w:b/>
                <w:bCs/>
                <w:color w:val="000000"/>
                <w:sz w:val="20"/>
                <w:szCs w:val="20"/>
                <w:lang w:eastAsia="sk-SK"/>
              </w:rPr>
              <w:t>.</w:t>
            </w:r>
            <w:r w:rsidR="00DE6ACB" w:rsidRPr="00895898">
              <w:rPr>
                <w:rFonts w:ascii="Times New Roman" w:eastAsia="Times New Roman" w:hAnsi="Times New Roman" w:cs="Times New Roman"/>
                <w:b/>
                <w:bCs/>
                <w:color w:val="000000"/>
                <w:sz w:val="20"/>
                <w:szCs w:val="20"/>
                <w:lang w:eastAsia="sk-SK"/>
              </w:rPr>
              <w:t xml:space="preserve"> subjektov </w:t>
            </w:r>
            <w:r w:rsidR="00047C70">
              <w:rPr>
                <w:rFonts w:ascii="Times New Roman" w:eastAsia="Times New Roman" w:hAnsi="Times New Roman" w:cs="Times New Roman"/>
                <w:b/>
                <w:bCs/>
                <w:color w:val="000000"/>
                <w:sz w:val="20"/>
                <w:szCs w:val="20"/>
                <w:lang w:eastAsia="sk-SK"/>
              </w:rPr>
              <w:t>spolu</w:t>
            </w:r>
            <w:r w:rsidR="00DE6ACB" w:rsidRPr="00895898">
              <w:rPr>
                <w:rFonts w:ascii="Times New Roman" w:eastAsia="Times New Roman" w:hAnsi="Times New Roman" w:cs="Times New Roman"/>
                <w:b/>
                <w:bCs/>
                <w:color w:val="000000"/>
                <w:sz w:val="20"/>
                <w:szCs w:val="20"/>
                <w:lang w:eastAsia="sk-SK"/>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78D1398"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Vplyv na 1 podnik. v €</w:t>
            </w:r>
          </w:p>
        </w:tc>
        <w:tc>
          <w:tcPr>
            <w:tcW w:w="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A355123"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 xml:space="preserve">Vplyv na </w:t>
            </w:r>
            <w:proofErr w:type="spellStart"/>
            <w:r>
              <w:rPr>
                <w:rFonts w:ascii="Times New Roman" w:eastAsia="Times New Roman" w:hAnsi="Times New Roman" w:cs="Times New Roman"/>
                <w:b/>
                <w:bCs/>
                <w:color w:val="000000"/>
                <w:sz w:val="20"/>
                <w:szCs w:val="20"/>
                <w:lang w:eastAsia="sk-SK"/>
              </w:rPr>
              <w:t>kateg</w:t>
            </w:r>
            <w:proofErr w:type="spellEnd"/>
            <w:r>
              <w:rPr>
                <w:rFonts w:ascii="Times New Roman" w:eastAsia="Times New Roman" w:hAnsi="Times New Roman" w:cs="Times New Roman"/>
                <w:b/>
                <w:bCs/>
                <w:color w:val="000000"/>
                <w:sz w:val="20"/>
                <w:szCs w:val="20"/>
                <w:lang w:eastAsia="sk-SK"/>
              </w:rPr>
              <w:t xml:space="preserve">. </w:t>
            </w:r>
            <w:proofErr w:type="spellStart"/>
            <w:r>
              <w:rPr>
                <w:rFonts w:ascii="Times New Roman" w:eastAsia="Times New Roman" w:hAnsi="Times New Roman" w:cs="Times New Roman"/>
                <w:b/>
                <w:bCs/>
                <w:color w:val="000000"/>
                <w:sz w:val="20"/>
                <w:szCs w:val="20"/>
                <w:lang w:eastAsia="sk-SK"/>
              </w:rPr>
              <w:t>dotk</w:t>
            </w:r>
            <w:proofErr w:type="spellEnd"/>
            <w:r>
              <w:rPr>
                <w:rFonts w:ascii="Times New Roman" w:eastAsia="Times New Roman" w:hAnsi="Times New Roman" w:cs="Times New Roman"/>
                <w:b/>
                <w:bCs/>
                <w:color w:val="000000"/>
                <w:sz w:val="20"/>
                <w:szCs w:val="20"/>
                <w:lang w:eastAsia="sk-SK"/>
              </w:rPr>
              <w:t>. subjekt.</w:t>
            </w:r>
            <w:r w:rsidRPr="000A6B7F">
              <w:rPr>
                <w:rFonts w:ascii="Times New Roman" w:eastAsia="Times New Roman" w:hAnsi="Times New Roman" w:cs="Times New Roman"/>
                <w:b/>
                <w:bCs/>
                <w:color w:val="000000"/>
                <w:sz w:val="20"/>
                <w:szCs w:val="20"/>
                <w:lang w:eastAsia="sk-SK"/>
              </w:rPr>
              <w:t xml:space="preserve"> v €</w:t>
            </w:r>
          </w:p>
        </w:tc>
        <w:tc>
          <w:tcPr>
            <w:tcW w:w="100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A7677EA" w14:textId="77777777" w:rsidR="00DE6ACB" w:rsidRPr="00895898" w:rsidRDefault="00DE6ACB" w:rsidP="00F541B6">
            <w:pPr>
              <w:spacing w:after="0" w:line="240" w:lineRule="auto"/>
              <w:jc w:val="center"/>
              <w:rPr>
                <w:rFonts w:ascii="Times New Roman" w:eastAsia="Times New Roman" w:hAnsi="Times New Roman" w:cs="Times New Roman"/>
                <w:bCs/>
                <w:color w:val="000000"/>
                <w:sz w:val="20"/>
                <w:szCs w:val="20"/>
                <w:lang w:eastAsia="sk-SK"/>
              </w:rPr>
            </w:pPr>
            <w:r w:rsidRPr="000A6B7F">
              <w:rPr>
                <w:rFonts w:ascii="Times New Roman" w:eastAsia="Times New Roman" w:hAnsi="Times New Roman" w:cs="Times New Roman"/>
                <w:b/>
                <w:bCs/>
                <w:color w:val="000000"/>
                <w:sz w:val="20"/>
                <w:szCs w:val="20"/>
                <w:lang w:eastAsia="sk-SK"/>
              </w:rPr>
              <w:t>Druh vplyvu</w:t>
            </w:r>
            <w:r w:rsidRPr="000A6B7F">
              <w:rPr>
                <w:rFonts w:ascii="Times New Roman" w:eastAsia="Times New Roman" w:hAnsi="Times New Roman" w:cs="Times New Roman"/>
                <w:b/>
                <w:bCs/>
                <w:color w:val="000000"/>
                <w:sz w:val="20"/>
                <w:szCs w:val="20"/>
                <w:lang w:eastAsia="sk-SK"/>
              </w:rPr>
              <w:br/>
            </w:r>
            <w:r w:rsidRPr="00895898">
              <w:rPr>
                <w:rFonts w:ascii="Times New Roman" w:eastAsia="Times New Roman" w:hAnsi="Times New Roman" w:cs="Times New Roman"/>
                <w:bCs/>
                <w:color w:val="000000"/>
                <w:sz w:val="20"/>
                <w:szCs w:val="20"/>
                <w:lang w:eastAsia="sk-SK"/>
              </w:rPr>
              <w:t xml:space="preserve">In (zvyšuje náklady) / </w:t>
            </w:r>
          </w:p>
          <w:p w14:paraId="2DE341CC" w14:textId="77777777" w:rsidR="00DE6ACB" w:rsidRPr="00895898" w:rsidRDefault="00DE6ACB" w:rsidP="00F541B6">
            <w:pPr>
              <w:spacing w:after="0" w:line="240" w:lineRule="auto"/>
              <w:jc w:val="center"/>
              <w:rPr>
                <w:rFonts w:ascii="Times New Roman" w:eastAsia="Times New Roman" w:hAnsi="Times New Roman" w:cs="Times New Roman"/>
                <w:b/>
                <w:bCs/>
                <w:color w:val="000000"/>
                <w:sz w:val="20"/>
                <w:szCs w:val="20"/>
                <w:lang w:eastAsia="sk-SK"/>
              </w:rPr>
            </w:pPr>
            <w:proofErr w:type="spellStart"/>
            <w:r w:rsidRPr="00895898">
              <w:rPr>
                <w:rFonts w:ascii="Times New Roman" w:eastAsia="Times New Roman" w:hAnsi="Times New Roman" w:cs="Times New Roman"/>
                <w:bCs/>
                <w:color w:val="000000"/>
                <w:sz w:val="20"/>
                <w:szCs w:val="20"/>
                <w:lang w:eastAsia="sk-SK"/>
              </w:rPr>
              <w:t>Out</w:t>
            </w:r>
            <w:proofErr w:type="spellEnd"/>
            <w:r w:rsidRPr="00895898">
              <w:rPr>
                <w:rFonts w:ascii="Times New Roman" w:eastAsia="Times New Roman" w:hAnsi="Times New Roman" w:cs="Times New Roman"/>
                <w:bCs/>
                <w:color w:val="000000"/>
                <w:sz w:val="20"/>
                <w:szCs w:val="20"/>
                <w:lang w:eastAsia="sk-SK"/>
              </w:rPr>
              <w:t xml:space="preserve"> (znižuje náklady</w:t>
            </w:r>
            <w:r w:rsidRPr="00895898">
              <w:rPr>
                <w:rFonts w:ascii="Times New Roman" w:eastAsia="Times New Roman" w:hAnsi="Times New Roman" w:cs="Times New Roman"/>
                <w:b/>
                <w:bCs/>
                <w:color w:val="000000"/>
                <w:sz w:val="20"/>
                <w:szCs w:val="20"/>
                <w:lang w:eastAsia="sk-SK"/>
              </w:rPr>
              <w:t>)</w:t>
            </w:r>
          </w:p>
          <w:p w14:paraId="025FF745"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color w:val="000000"/>
                <w:sz w:val="20"/>
                <w:szCs w:val="20"/>
                <w:lang w:eastAsia="sk-SK"/>
              </w:rPr>
              <w:t>/ Nemení sa</w:t>
            </w:r>
          </w:p>
        </w:tc>
        <w:tc>
          <w:tcPr>
            <w:tcW w:w="70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69DC279" w14:textId="77777777" w:rsidR="00DE6ACB" w:rsidRPr="006B5D74" w:rsidRDefault="00DE6ACB" w:rsidP="000A6B7F">
            <w:pPr>
              <w:spacing w:after="0" w:line="240" w:lineRule="auto"/>
              <w:jc w:val="center"/>
              <w:rPr>
                <w:rFonts w:ascii="Times New Roman" w:eastAsia="Times New Roman" w:hAnsi="Times New Roman" w:cs="Times New Roman"/>
                <w:b/>
                <w:bCs/>
                <w:color w:val="000000"/>
                <w:sz w:val="18"/>
                <w:szCs w:val="18"/>
                <w:lang w:eastAsia="sk-SK"/>
              </w:rPr>
            </w:pPr>
            <w:r w:rsidRPr="006B5D74">
              <w:rPr>
                <w:rFonts w:ascii="Times New Roman" w:eastAsia="Times New Roman" w:hAnsi="Times New Roman" w:cs="Times New Roman"/>
                <w:b/>
                <w:bCs/>
                <w:color w:val="000000"/>
                <w:sz w:val="18"/>
                <w:szCs w:val="18"/>
                <w:lang w:eastAsia="sk-SK"/>
              </w:rPr>
              <w:t>1in</w:t>
            </w:r>
          </w:p>
          <w:p w14:paraId="5D3A5C79" w14:textId="77777777" w:rsidR="00DE6ACB" w:rsidRPr="006B5D74" w:rsidRDefault="00DE6ACB" w:rsidP="000A6B7F">
            <w:pPr>
              <w:spacing w:after="0" w:line="240" w:lineRule="auto"/>
              <w:jc w:val="center"/>
              <w:rPr>
                <w:rFonts w:ascii="Times New Roman" w:eastAsia="Times New Roman" w:hAnsi="Times New Roman" w:cs="Times New Roman"/>
                <w:b/>
                <w:bCs/>
                <w:color w:val="000000"/>
                <w:sz w:val="18"/>
                <w:szCs w:val="18"/>
                <w:lang w:eastAsia="sk-SK"/>
              </w:rPr>
            </w:pPr>
            <w:r w:rsidRPr="006B5D74">
              <w:rPr>
                <w:rFonts w:ascii="Times New Roman" w:eastAsia="Times New Roman" w:hAnsi="Times New Roman" w:cs="Times New Roman"/>
                <w:b/>
                <w:bCs/>
                <w:color w:val="000000"/>
                <w:sz w:val="18"/>
                <w:szCs w:val="18"/>
                <w:lang w:eastAsia="sk-SK"/>
              </w:rPr>
              <w:t>2out celkom</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2FA6780" w14:textId="77777777" w:rsidR="00DE6ACB" w:rsidRPr="006B5D74" w:rsidRDefault="00DE6ACB" w:rsidP="000A6B7F">
            <w:pPr>
              <w:spacing w:after="0" w:line="240" w:lineRule="auto"/>
              <w:jc w:val="center"/>
              <w:rPr>
                <w:rFonts w:ascii="Times New Roman" w:eastAsia="Times New Roman" w:hAnsi="Times New Roman" w:cs="Times New Roman"/>
                <w:b/>
                <w:bCs/>
                <w:color w:val="000000"/>
                <w:sz w:val="18"/>
                <w:szCs w:val="18"/>
                <w:lang w:eastAsia="sk-SK"/>
              </w:rPr>
            </w:pPr>
            <w:proofErr w:type="spellStart"/>
            <w:r w:rsidRPr="006B5D74">
              <w:rPr>
                <w:rFonts w:ascii="Times New Roman" w:eastAsia="Times New Roman" w:hAnsi="Times New Roman" w:cs="Times New Roman"/>
                <w:b/>
                <w:bCs/>
                <w:color w:val="000000"/>
                <w:sz w:val="18"/>
                <w:szCs w:val="18"/>
                <w:lang w:eastAsia="sk-SK"/>
              </w:rPr>
              <w:t>Goldplating</w:t>
            </w:r>
            <w:proofErr w:type="spellEnd"/>
            <w:r w:rsidRPr="006B5D74">
              <w:rPr>
                <w:rFonts w:ascii="Times New Roman" w:eastAsia="Times New Roman" w:hAnsi="Times New Roman" w:cs="Times New Roman"/>
                <w:b/>
                <w:bCs/>
                <w:color w:val="000000"/>
                <w:sz w:val="18"/>
                <w:szCs w:val="18"/>
                <w:lang w:eastAsia="sk-SK"/>
              </w:rPr>
              <w:t xml:space="preserve"> celkom</w:t>
            </w:r>
          </w:p>
        </w:tc>
      </w:tr>
      <w:tr w:rsidR="00DE6ACB" w:rsidRPr="00895898" w14:paraId="24B60197" w14:textId="77777777" w:rsidTr="000D4F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551" w:type="dxa"/>
            <w:vAlign w:val="center"/>
          </w:tcPr>
          <w:p w14:paraId="5F2C007B" w14:textId="77777777" w:rsidR="00DE6ACB" w:rsidRPr="00895898" w:rsidRDefault="00DE6ACB" w:rsidP="00CE3B21">
            <w:pPr>
              <w:spacing w:after="0" w:line="240" w:lineRule="auto"/>
              <w:rPr>
                <w:rFonts w:ascii="Times New Roman" w:eastAsia="Times New Roman" w:hAnsi="Times New Roman" w:cs="Times New Roman"/>
                <w:sz w:val="20"/>
                <w:szCs w:val="20"/>
                <w:lang w:eastAsia="sk-SK"/>
              </w:rPr>
            </w:pPr>
          </w:p>
        </w:tc>
        <w:tc>
          <w:tcPr>
            <w:tcW w:w="1740" w:type="dxa"/>
            <w:vAlign w:val="center"/>
          </w:tcPr>
          <w:p w14:paraId="361B61D9" w14:textId="77777777" w:rsidR="00DE6ACB" w:rsidRPr="00895898" w:rsidRDefault="00DE6ACB" w:rsidP="00CE3B21">
            <w:pPr>
              <w:spacing w:after="0" w:line="240" w:lineRule="auto"/>
              <w:rPr>
                <w:rFonts w:ascii="Times New Roman" w:eastAsia="Times New Roman" w:hAnsi="Times New Roman" w:cs="Times New Roman"/>
                <w:sz w:val="20"/>
                <w:szCs w:val="20"/>
                <w:lang w:eastAsia="sk-SK"/>
              </w:rPr>
            </w:pPr>
          </w:p>
        </w:tc>
        <w:tc>
          <w:tcPr>
            <w:tcW w:w="992" w:type="dxa"/>
          </w:tcPr>
          <w:p w14:paraId="5385A2A3" w14:textId="77777777" w:rsidR="00DE6ACB" w:rsidRPr="00895898" w:rsidRDefault="00DE6ACB" w:rsidP="00CE3B21">
            <w:pPr>
              <w:spacing w:after="0" w:line="240" w:lineRule="auto"/>
              <w:rPr>
                <w:rFonts w:ascii="Times New Roman" w:eastAsia="Times New Roman" w:hAnsi="Times New Roman" w:cs="Times New Roman"/>
                <w:sz w:val="20"/>
                <w:szCs w:val="20"/>
                <w:lang w:eastAsia="sk-SK"/>
              </w:rPr>
            </w:pPr>
          </w:p>
        </w:tc>
        <w:tc>
          <w:tcPr>
            <w:tcW w:w="1134" w:type="dxa"/>
          </w:tcPr>
          <w:p w14:paraId="48BD3B21" w14:textId="77777777" w:rsidR="00DE6ACB" w:rsidRPr="00895898" w:rsidRDefault="00DE6ACB" w:rsidP="00CE3B21">
            <w:pPr>
              <w:spacing w:after="0" w:line="240" w:lineRule="auto"/>
              <w:rPr>
                <w:rFonts w:ascii="Times New Roman" w:eastAsia="Times New Roman" w:hAnsi="Times New Roman" w:cs="Times New Roman"/>
                <w:sz w:val="20"/>
                <w:szCs w:val="20"/>
                <w:lang w:eastAsia="sk-SK"/>
              </w:rPr>
            </w:pPr>
          </w:p>
        </w:tc>
        <w:tc>
          <w:tcPr>
            <w:tcW w:w="1843" w:type="dxa"/>
            <w:vAlign w:val="center"/>
          </w:tcPr>
          <w:p w14:paraId="1E923AC1" w14:textId="77777777" w:rsidR="00DE6ACB" w:rsidRPr="00895898" w:rsidRDefault="00DE6ACB" w:rsidP="00562A1E">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14:paraId="6AE4C8D1" w14:textId="77777777" w:rsidR="00DE6ACB" w:rsidRPr="00895898" w:rsidRDefault="00DE6ACB" w:rsidP="00CE3B21">
            <w:pPr>
              <w:spacing w:after="0" w:line="240" w:lineRule="auto"/>
              <w:rPr>
                <w:rFonts w:ascii="Times New Roman" w:eastAsia="Times New Roman" w:hAnsi="Times New Roman" w:cs="Times New Roman"/>
                <w:color w:val="000000"/>
                <w:sz w:val="20"/>
                <w:szCs w:val="20"/>
                <w:lang w:eastAsia="sk-SK"/>
              </w:rPr>
            </w:pPr>
          </w:p>
        </w:tc>
        <w:tc>
          <w:tcPr>
            <w:tcW w:w="1160" w:type="dxa"/>
            <w:noWrap/>
            <w:vAlign w:val="center"/>
          </w:tcPr>
          <w:p w14:paraId="65F8D76F" w14:textId="77777777" w:rsidR="00DE6ACB" w:rsidRPr="00895898" w:rsidRDefault="00DE6ACB" w:rsidP="00CE3B21">
            <w:pPr>
              <w:spacing w:after="0" w:line="240" w:lineRule="auto"/>
              <w:rPr>
                <w:rFonts w:ascii="Times New Roman" w:eastAsia="Times New Roman" w:hAnsi="Times New Roman" w:cs="Times New Roman"/>
                <w:color w:val="000000"/>
                <w:sz w:val="20"/>
                <w:szCs w:val="20"/>
                <w:lang w:eastAsia="sk-SK"/>
              </w:rPr>
            </w:pPr>
          </w:p>
        </w:tc>
        <w:tc>
          <w:tcPr>
            <w:tcW w:w="1108" w:type="dxa"/>
          </w:tcPr>
          <w:p w14:paraId="166DB18A" w14:textId="77777777" w:rsidR="00DE6ACB" w:rsidRPr="00895898" w:rsidRDefault="00DE6ACB" w:rsidP="00CE3B21">
            <w:pPr>
              <w:spacing w:after="0" w:line="240" w:lineRule="auto"/>
              <w:rPr>
                <w:rFonts w:ascii="Times New Roman" w:eastAsia="Times New Roman" w:hAnsi="Times New Roman" w:cs="Times New Roman"/>
                <w:sz w:val="20"/>
                <w:szCs w:val="20"/>
                <w:lang w:eastAsia="sk-SK"/>
              </w:rPr>
            </w:pPr>
          </w:p>
        </w:tc>
        <w:tc>
          <w:tcPr>
            <w:tcW w:w="851" w:type="dxa"/>
            <w:noWrap/>
            <w:vAlign w:val="center"/>
          </w:tcPr>
          <w:p w14:paraId="0940CA69" w14:textId="77777777" w:rsidR="00DE6ACB" w:rsidRPr="00895898" w:rsidRDefault="00DE6ACB" w:rsidP="00CE3B21">
            <w:pPr>
              <w:spacing w:after="0" w:line="240" w:lineRule="auto"/>
              <w:rPr>
                <w:rFonts w:ascii="Times New Roman" w:eastAsia="Times New Roman" w:hAnsi="Times New Roman" w:cs="Times New Roman"/>
                <w:sz w:val="20"/>
                <w:szCs w:val="20"/>
                <w:lang w:eastAsia="sk-SK"/>
              </w:rPr>
            </w:pPr>
          </w:p>
        </w:tc>
        <w:tc>
          <w:tcPr>
            <w:tcW w:w="843" w:type="dxa"/>
            <w:noWrap/>
            <w:vAlign w:val="center"/>
          </w:tcPr>
          <w:p w14:paraId="15A1D85E" w14:textId="77777777" w:rsidR="00DE6ACB" w:rsidRPr="00895898" w:rsidRDefault="00DE6ACB" w:rsidP="00CE3B21">
            <w:pPr>
              <w:spacing w:after="0" w:line="240" w:lineRule="auto"/>
              <w:rPr>
                <w:rFonts w:ascii="Times New Roman" w:eastAsia="Times New Roman" w:hAnsi="Times New Roman" w:cs="Times New Roman"/>
                <w:color w:val="000000"/>
                <w:sz w:val="20"/>
                <w:szCs w:val="20"/>
                <w:lang w:eastAsia="sk-SK"/>
              </w:rPr>
            </w:pPr>
          </w:p>
        </w:tc>
        <w:tc>
          <w:tcPr>
            <w:tcW w:w="1000" w:type="dxa"/>
            <w:noWrap/>
            <w:vAlign w:val="center"/>
          </w:tcPr>
          <w:p w14:paraId="7CF646CA" w14:textId="77777777" w:rsidR="00DE6ACB" w:rsidRPr="00895898" w:rsidRDefault="00DE6ACB" w:rsidP="00CE3B21">
            <w:pPr>
              <w:spacing w:after="0" w:line="240" w:lineRule="auto"/>
              <w:rPr>
                <w:rFonts w:ascii="Times New Roman" w:eastAsia="Times New Roman" w:hAnsi="Times New Roman" w:cs="Times New Roman"/>
                <w:sz w:val="20"/>
                <w:szCs w:val="20"/>
                <w:lang w:eastAsia="sk-SK"/>
              </w:rPr>
            </w:pPr>
          </w:p>
        </w:tc>
        <w:tc>
          <w:tcPr>
            <w:tcW w:w="708" w:type="dxa"/>
            <w:noWrap/>
            <w:vAlign w:val="center"/>
          </w:tcPr>
          <w:p w14:paraId="0F06BFE0" w14:textId="77777777" w:rsidR="00DE6ACB" w:rsidRPr="00895898" w:rsidRDefault="00DE6ACB" w:rsidP="00CE3B21">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10FBBE08" w14:textId="77777777" w:rsidR="00DE6ACB" w:rsidRPr="00895898" w:rsidRDefault="00DE6ACB" w:rsidP="00CE3B21">
            <w:pPr>
              <w:spacing w:after="0" w:line="240" w:lineRule="auto"/>
              <w:rPr>
                <w:rFonts w:ascii="Times New Roman" w:eastAsia="Times New Roman" w:hAnsi="Times New Roman" w:cs="Times New Roman"/>
                <w:sz w:val="20"/>
                <w:szCs w:val="20"/>
                <w:lang w:eastAsia="sk-SK"/>
              </w:rPr>
            </w:pPr>
          </w:p>
        </w:tc>
      </w:tr>
      <w:tr w:rsidR="00801596" w:rsidRPr="00895898" w14:paraId="56917F02" w14:textId="77777777" w:rsidTr="000D4F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551" w:type="dxa"/>
            <w:vAlign w:val="center"/>
          </w:tcPr>
          <w:p w14:paraId="7567B8AC"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740" w:type="dxa"/>
            <w:vAlign w:val="center"/>
          </w:tcPr>
          <w:p w14:paraId="27248EE1"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992" w:type="dxa"/>
          </w:tcPr>
          <w:p w14:paraId="408A12E6"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134" w:type="dxa"/>
          </w:tcPr>
          <w:p w14:paraId="0C03CE23"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843" w:type="dxa"/>
            <w:vAlign w:val="center"/>
          </w:tcPr>
          <w:p w14:paraId="0907BA42" w14:textId="77777777" w:rsidR="00801596" w:rsidDel="00801596" w:rsidRDefault="00801596" w:rsidP="00801596">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14:paraId="08812988"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60" w:type="dxa"/>
            <w:noWrap/>
            <w:vAlign w:val="center"/>
          </w:tcPr>
          <w:p w14:paraId="5E22F8AE"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08" w:type="dxa"/>
          </w:tcPr>
          <w:p w14:paraId="7EAB26D7"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51" w:type="dxa"/>
            <w:noWrap/>
            <w:vAlign w:val="center"/>
          </w:tcPr>
          <w:p w14:paraId="06FDFB13"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43" w:type="dxa"/>
            <w:noWrap/>
            <w:vAlign w:val="center"/>
          </w:tcPr>
          <w:p w14:paraId="5895A9D8"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000" w:type="dxa"/>
            <w:noWrap/>
            <w:vAlign w:val="center"/>
          </w:tcPr>
          <w:p w14:paraId="00A1A82D"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708" w:type="dxa"/>
            <w:noWrap/>
            <w:vAlign w:val="center"/>
          </w:tcPr>
          <w:p w14:paraId="54BD7E9E"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04AF5D0D"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r>
      <w:tr w:rsidR="00801596" w:rsidRPr="00895898" w14:paraId="11E6390E" w14:textId="77777777" w:rsidTr="000D4F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551" w:type="dxa"/>
            <w:vAlign w:val="center"/>
          </w:tcPr>
          <w:p w14:paraId="26C24DEA"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740" w:type="dxa"/>
            <w:vAlign w:val="center"/>
          </w:tcPr>
          <w:p w14:paraId="0733C9DA"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992" w:type="dxa"/>
          </w:tcPr>
          <w:p w14:paraId="68D35A61"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134" w:type="dxa"/>
          </w:tcPr>
          <w:p w14:paraId="0F3F1F32"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843" w:type="dxa"/>
            <w:vAlign w:val="center"/>
          </w:tcPr>
          <w:p w14:paraId="039C807C" w14:textId="77777777" w:rsidR="00801596" w:rsidDel="00801596" w:rsidRDefault="00801596" w:rsidP="00801596">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14:paraId="25F9B4D2"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60" w:type="dxa"/>
            <w:noWrap/>
            <w:vAlign w:val="center"/>
          </w:tcPr>
          <w:p w14:paraId="779A905C"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08" w:type="dxa"/>
          </w:tcPr>
          <w:p w14:paraId="7FA122D6"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51" w:type="dxa"/>
            <w:noWrap/>
            <w:vAlign w:val="center"/>
          </w:tcPr>
          <w:p w14:paraId="63C2710A"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43" w:type="dxa"/>
            <w:noWrap/>
            <w:vAlign w:val="center"/>
          </w:tcPr>
          <w:p w14:paraId="35776BDE"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000" w:type="dxa"/>
            <w:noWrap/>
            <w:vAlign w:val="center"/>
          </w:tcPr>
          <w:p w14:paraId="4171F851"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708" w:type="dxa"/>
            <w:noWrap/>
            <w:vAlign w:val="center"/>
          </w:tcPr>
          <w:p w14:paraId="4C501F01"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38C25290"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r>
      <w:tr w:rsidR="00801596" w:rsidRPr="00895898" w14:paraId="3BA6D7FB" w14:textId="77777777" w:rsidTr="000D4F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551" w:type="dxa"/>
            <w:vAlign w:val="center"/>
          </w:tcPr>
          <w:p w14:paraId="4827804A"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740" w:type="dxa"/>
            <w:vAlign w:val="center"/>
          </w:tcPr>
          <w:p w14:paraId="2E71652F"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992" w:type="dxa"/>
          </w:tcPr>
          <w:p w14:paraId="4F438ECB"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134" w:type="dxa"/>
          </w:tcPr>
          <w:p w14:paraId="6DC9EFF7"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843" w:type="dxa"/>
            <w:vAlign w:val="center"/>
          </w:tcPr>
          <w:p w14:paraId="7707B7FC" w14:textId="77777777" w:rsidR="00801596" w:rsidDel="00801596" w:rsidRDefault="00801596" w:rsidP="00801596">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14:paraId="7E2A360E"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60" w:type="dxa"/>
            <w:noWrap/>
            <w:vAlign w:val="center"/>
          </w:tcPr>
          <w:p w14:paraId="3468AC80"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08" w:type="dxa"/>
          </w:tcPr>
          <w:p w14:paraId="2EAE7641"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51" w:type="dxa"/>
            <w:noWrap/>
            <w:vAlign w:val="center"/>
          </w:tcPr>
          <w:p w14:paraId="75FB6796"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43" w:type="dxa"/>
            <w:noWrap/>
            <w:vAlign w:val="center"/>
          </w:tcPr>
          <w:p w14:paraId="48C1ECBD"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000" w:type="dxa"/>
            <w:noWrap/>
            <w:vAlign w:val="center"/>
          </w:tcPr>
          <w:p w14:paraId="52A3E341"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708" w:type="dxa"/>
            <w:noWrap/>
            <w:vAlign w:val="center"/>
          </w:tcPr>
          <w:p w14:paraId="74521139"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0B6BA508"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r>
      <w:tr w:rsidR="00801596" w:rsidRPr="00895898" w14:paraId="26C4EB43" w14:textId="77777777" w:rsidTr="000D4F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551" w:type="dxa"/>
            <w:vAlign w:val="center"/>
          </w:tcPr>
          <w:p w14:paraId="0AB89B3E"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740" w:type="dxa"/>
            <w:vAlign w:val="center"/>
          </w:tcPr>
          <w:p w14:paraId="672851F1"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992" w:type="dxa"/>
          </w:tcPr>
          <w:p w14:paraId="10DC8224"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134" w:type="dxa"/>
          </w:tcPr>
          <w:p w14:paraId="76794EA8"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843" w:type="dxa"/>
            <w:vAlign w:val="center"/>
          </w:tcPr>
          <w:p w14:paraId="26CB69FC" w14:textId="77777777" w:rsidR="00801596" w:rsidDel="00801596" w:rsidRDefault="00801596" w:rsidP="00801596">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14:paraId="64ADB233"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60" w:type="dxa"/>
            <w:noWrap/>
            <w:vAlign w:val="center"/>
          </w:tcPr>
          <w:p w14:paraId="769A3D91"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08" w:type="dxa"/>
          </w:tcPr>
          <w:p w14:paraId="1638EB39"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51" w:type="dxa"/>
            <w:noWrap/>
            <w:vAlign w:val="center"/>
          </w:tcPr>
          <w:p w14:paraId="20A4B3D0"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43" w:type="dxa"/>
            <w:noWrap/>
            <w:vAlign w:val="center"/>
          </w:tcPr>
          <w:p w14:paraId="6992FEB0"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000" w:type="dxa"/>
            <w:noWrap/>
            <w:vAlign w:val="center"/>
          </w:tcPr>
          <w:p w14:paraId="474194C2"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708" w:type="dxa"/>
            <w:noWrap/>
            <w:vAlign w:val="center"/>
          </w:tcPr>
          <w:p w14:paraId="39F4A2C1"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79149C81"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r>
      <w:tr w:rsidR="00801596" w:rsidRPr="00895898" w14:paraId="550EE57A" w14:textId="77777777" w:rsidTr="000D4F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551" w:type="dxa"/>
            <w:vAlign w:val="center"/>
          </w:tcPr>
          <w:p w14:paraId="6B82407B"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740" w:type="dxa"/>
            <w:vAlign w:val="center"/>
          </w:tcPr>
          <w:p w14:paraId="7EF09209"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992" w:type="dxa"/>
          </w:tcPr>
          <w:p w14:paraId="6E1F5E13"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134" w:type="dxa"/>
          </w:tcPr>
          <w:p w14:paraId="4468F404"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843" w:type="dxa"/>
            <w:vAlign w:val="center"/>
          </w:tcPr>
          <w:p w14:paraId="096613B3" w14:textId="77777777" w:rsidR="00801596" w:rsidDel="00801596" w:rsidRDefault="00801596" w:rsidP="00801596">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14:paraId="2C0E7021"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60" w:type="dxa"/>
            <w:noWrap/>
            <w:vAlign w:val="center"/>
          </w:tcPr>
          <w:p w14:paraId="40F05B02"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08" w:type="dxa"/>
          </w:tcPr>
          <w:p w14:paraId="5FE03E55"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51" w:type="dxa"/>
            <w:noWrap/>
            <w:vAlign w:val="center"/>
          </w:tcPr>
          <w:p w14:paraId="38C41E38"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43" w:type="dxa"/>
            <w:noWrap/>
            <w:vAlign w:val="center"/>
          </w:tcPr>
          <w:p w14:paraId="56C80DEE"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000" w:type="dxa"/>
            <w:noWrap/>
            <w:vAlign w:val="center"/>
          </w:tcPr>
          <w:p w14:paraId="53CB3728"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708" w:type="dxa"/>
            <w:noWrap/>
            <w:vAlign w:val="center"/>
          </w:tcPr>
          <w:p w14:paraId="360FCF40"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178E9C4D"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r>
      <w:tr w:rsidR="00801596" w:rsidRPr="00895898" w14:paraId="48E6D833" w14:textId="77777777" w:rsidTr="000D4F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551" w:type="dxa"/>
            <w:vAlign w:val="center"/>
          </w:tcPr>
          <w:p w14:paraId="3786594E"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740" w:type="dxa"/>
            <w:vAlign w:val="center"/>
          </w:tcPr>
          <w:p w14:paraId="381CD2F6"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992" w:type="dxa"/>
          </w:tcPr>
          <w:p w14:paraId="44D6081A"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134" w:type="dxa"/>
          </w:tcPr>
          <w:p w14:paraId="62019407"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843" w:type="dxa"/>
            <w:vAlign w:val="center"/>
          </w:tcPr>
          <w:p w14:paraId="7198AE6D" w14:textId="77777777" w:rsidR="00801596" w:rsidDel="00801596" w:rsidRDefault="00801596" w:rsidP="00801596">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14:paraId="09687C4B"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60" w:type="dxa"/>
            <w:noWrap/>
            <w:vAlign w:val="center"/>
          </w:tcPr>
          <w:p w14:paraId="087503EB"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08" w:type="dxa"/>
          </w:tcPr>
          <w:p w14:paraId="0C240A78"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51" w:type="dxa"/>
            <w:noWrap/>
            <w:vAlign w:val="center"/>
          </w:tcPr>
          <w:p w14:paraId="5DB244A1"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43" w:type="dxa"/>
            <w:noWrap/>
            <w:vAlign w:val="center"/>
          </w:tcPr>
          <w:p w14:paraId="1AFFC6AE"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000" w:type="dxa"/>
            <w:noWrap/>
            <w:vAlign w:val="center"/>
          </w:tcPr>
          <w:p w14:paraId="6175D428"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708" w:type="dxa"/>
            <w:noWrap/>
            <w:vAlign w:val="center"/>
          </w:tcPr>
          <w:p w14:paraId="0058DF4C"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6C7B1523"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r>
    </w:tbl>
    <w:p w14:paraId="5B0107C0" w14:textId="77777777" w:rsidR="00054C41" w:rsidRPr="00895898" w:rsidRDefault="00054C41" w:rsidP="00054C41">
      <w:pPr>
        <w:jc w:val="both"/>
        <w:rPr>
          <w:rFonts w:ascii="Times New Roman" w:eastAsia="Calibri" w:hAnsi="Times New Roman" w:cs="Times New Roman"/>
          <w:i/>
        </w:rPr>
      </w:pPr>
    </w:p>
    <w:p w14:paraId="519327D1" w14:textId="77777777" w:rsidR="00054C41" w:rsidRPr="00895898" w:rsidRDefault="00054C41" w:rsidP="00054C41">
      <w:pPr>
        <w:jc w:val="both"/>
        <w:rPr>
          <w:rFonts w:ascii="Times New Roman" w:eastAsia="Calibri" w:hAnsi="Times New Roman" w:cs="Times New Roman"/>
          <w:b/>
          <w:bCs/>
          <w:i/>
          <w:sz w:val="24"/>
          <w:szCs w:val="24"/>
        </w:rPr>
        <w:sectPr w:rsidR="00054C41" w:rsidRPr="00895898" w:rsidSect="00142154">
          <w:pgSz w:w="16838" w:h="11906" w:orient="landscape"/>
          <w:pgMar w:top="1417" w:right="1417" w:bottom="1417" w:left="1417" w:header="708" w:footer="708" w:gutter="0"/>
          <w:cols w:space="708"/>
          <w:docGrid w:linePitch="360"/>
        </w:sectPr>
      </w:pPr>
    </w:p>
    <w:p w14:paraId="156B5951" w14:textId="77777777" w:rsidR="00054C41" w:rsidRPr="001F1B43" w:rsidRDefault="00511F8F" w:rsidP="00054C41">
      <w:pPr>
        <w:jc w:val="both"/>
        <w:rPr>
          <w:rFonts w:ascii="Times New Roman" w:eastAsia="Calibri" w:hAnsi="Times New Roman" w:cs="Times New Roman"/>
          <w:b/>
          <w:bCs/>
          <w:i/>
          <w:sz w:val="24"/>
          <w:szCs w:val="24"/>
          <w:u w:val="single"/>
        </w:rPr>
      </w:pPr>
      <w:r>
        <w:rPr>
          <w:rFonts w:ascii="Times New Roman" w:eastAsia="Calibri" w:hAnsi="Times New Roman" w:cs="Times New Roman"/>
          <w:b/>
          <w:bCs/>
          <w:i/>
          <w:sz w:val="24"/>
          <w:szCs w:val="24"/>
          <w:u w:val="single"/>
        </w:rPr>
        <w:lastRenderedPageBreak/>
        <w:t xml:space="preserve">3.1.3 </w:t>
      </w:r>
      <w:r w:rsidR="00054C41" w:rsidRPr="001F1B43">
        <w:rPr>
          <w:rFonts w:ascii="Times New Roman" w:eastAsia="Calibri" w:hAnsi="Times New Roman" w:cs="Times New Roman"/>
          <w:b/>
          <w:bCs/>
          <w:i/>
          <w:sz w:val="24"/>
          <w:szCs w:val="24"/>
          <w:u w:val="single"/>
        </w:rPr>
        <w:t xml:space="preserve">Doplňujúce informácie k spôsobu výpočtu vplyvov jednotlivých regulácií na zmenu nákladov </w:t>
      </w:r>
    </w:p>
    <w:p w14:paraId="524E2A7A" w14:textId="77777777" w:rsidR="00054C41" w:rsidRDefault="00054C41" w:rsidP="00054C41">
      <w:pPr>
        <w:jc w:val="both"/>
        <w:rPr>
          <w:rFonts w:ascii="Times New Roman" w:eastAsia="Calibri" w:hAnsi="Times New Roman" w:cs="Times New Roman"/>
          <w:bCs/>
          <w:i/>
          <w:iCs/>
          <w:color w:val="000000"/>
          <w:sz w:val="24"/>
          <w:szCs w:val="24"/>
        </w:rPr>
      </w:pPr>
      <w:r w:rsidRPr="00D8247C">
        <w:rPr>
          <w:rFonts w:ascii="Times New Roman" w:eastAsia="Calibri" w:hAnsi="Times New Roman" w:cs="Times New Roman"/>
          <w:bCs/>
          <w:i/>
          <w:iCs/>
          <w:color w:val="000000"/>
          <w:sz w:val="24"/>
          <w:szCs w:val="24"/>
        </w:rPr>
        <w:t xml:space="preserve">Osobitne pri každej regulácii s vplyvom na PP zhodnotenom v tabuľke č. 2 uveďte doplňujúce informácie tak, aby mohol byť skontrolovaný spôsob a správnosť výpočtov. Uveďte najmä, ako ste vypočítali vplyvy a z akého zdroja ste čerpali početnosti (uveďte aj </w:t>
      </w:r>
      <w:proofErr w:type="spellStart"/>
      <w:r w:rsidRPr="00D8247C">
        <w:rPr>
          <w:rFonts w:ascii="Times New Roman" w:eastAsia="Calibri" w:hAnsi="Times New Roman" w:cs="Times New Roman"/>
          <w:bCs/>
          <w:i/>
          <w:iCs/>
          <w:color w:val="000000"/>
          <w:sz w:val="24"/>
          <w:szCs w:val="24"/>
        </w:rPr>
        <w:t>link</w:t>
      </w:r>
      <w:proofErr w:type="spellEnd"/>
      <w:r w:rsidRPr="00D8247C">
        <w:rPr>
          <w:rFonts w:ascii="Times New Roman" w:eastAsia="Calibri" w:hAnsi="Times New Roman" w:cs="Times New Roman"/>
          <w:bCs/>
          <w:i/>
          <w:iCs/>
          <w:color w:val="000000"/>
          <w:sz w:val="24"/>
          <w:szCs w:val="24"/>
        </w:rPr>
        <w:t xml:space="preserve"> na konkrétne štatistiky, ak sú dostupné na internete). Jednotlivé regulácie môžu mať jeden alebo viac typov nákladov (A. Dane, odvody, clá</w:t>
      </w:r>
      <w:r w:rsidR="00A000DA">
        <w:rPr>
          <w:rFonts w:ascii="Times New Roman" w:eastAsia="Calibri" w:hAnsi="Times New Roman" w:cs="Times New Roman"/>
          <w:bCs/>
          <w:i/>
          <w:iCs/>
          <w:color w:val="000000"/>
          <w:sz w:val="24"/>
          <w:szCs w:val="24"/>
        </w:rPr>
        <w:t xml:space="preserve"> </w:t>
      </w:r>
      <w:r w:rsidR="00A000DA" w:rsidRPr="00A000DA">
        <w:rPr>
          <w:rFonts w:ascii="Times New Roman" w:eastAsia="Calibri" w:hAnsi="Times New Roman" w:cs="Times New Roman"/>
          <w:bCs/>
          <w:i/>
          <w:iCs/>
          <w:color w:val="000000"/>
          <w:sz w:val="24"/>
          <w:szCs w:val="24"/>
        </w:rPr>
        <w:t xml:space="preserve">a poplatky, ktorých cieľom je znižovať negatívne </w:t>
      </w:r>
      <w:proofErr w:type="spellStart"/>
      <w:r w:rsidR="00A000DA" w:rsidRPr="00A000DA">
        <w:rPr>
          <w:rFonts w:ascii="Times New Roman" w:eastAsia="Calibri" w:hAnsi="Times New Roman" w:cs="Times New Roman"/>
          <w:bCs/>
          <w:i/>
          <w:iCs/>
          <w:color w:val="000000"/>
          <w:sz w:val="24"/>
          <w:szCs w:val="24"/>
        </w:rPr>
        <w:t>externality</w:t>
      </w:r>
      <w:proofErr w:type="spellEnd"/>
      <w:r w:rsidRPr="00D8247C">
        <w:rPr>
          <w:rFonts w:ascii="Times New Roman" w:eastAsia="Calibri" w:hAnsi="Times New Roman" w:cs="Times New Roman"/>
          <w:bCs/>
          <w:i/>
          <w:iCs/>
          <w:color w:val="000000"/>
          <w:sz w:val="24"/>
          <w:szCs w:val="24"/>
        </w:rPr>
        <w:t xml:space="preserve">, B. </w:t>
      </w:r>
      <w:r w:rsidR="00A000DA">
        <w:rPr>
          <w:rFonts w:ascii="Times New Roman" w:eastAsia="Calibri" w:hAnsi="Times New Roman" w:cs="Times New Roman"/>
          <w:bCs/>
          <w:i/>
          <w:iCs/>
          <w:color w:val="000000"/>
          <w:sz w:val="24"/>
          <w:szCs w:val="24"/>
        </w:rPr>
        <w:t>Iné p</w:t>
      </w:r>
      <w:r w:rsidRPr="00D8247C">
        <w:rPr>
          <w:rFonts w:ascii="Times New Roman" w:eastAsia="Calibri" w:hAnsi="Times New Roman" w:cs="Times New Roman"/>
          <w:bCs/>
          <w:i/>
          <w:iCs/>
          <w:color w:val="000000"/>
          <w:sz w:val="24"/>
          <w:szCs w:val="24"/>
        </w:rPr>
        <w:t>oplatky</w:t>
      </w:r>
      <w:r w:rsidRPr="00952CF6">
        <w:rPr>
          <w:rFonts w:ascii="Times New Roman" w:eastAsia="Calibri" w:hAnsi="Times New Roman" w:cs="Times New Roman"/>
          <w:bCs/>
          <w:i/>
          <w:iCs/>
          <w:color w:val="000000"/>
          <w:sz w:val="24"/>
          <w:szCs w:val="24"/>
        </w:rPr>
        <w:t>,</w:t>
      </w:r>
      <w:r w:rsidRPr="00D8247C">
        <w:rPr>
          <w:rFonts w:ascii="Times New Roman" w:eastAsia="Calibri" w:hAnsi="Times New Roman" w:cs="Times New Roman"/>
          <w:bCs/>
          <w:i/>
          <w:iCs/>
          <w:color w:val="000000"/>
          <w:sz w:val="24"/>
          <w:szCs w:val="24"/>
        </w:rPr>
        <w:t xml:space="preserve"> C. </w:t>
      </w:r>
      <w:r w:rsidR="00024EE4">
        <w:rPr>
          <w:rFonts w:ascii="Times New Roman" w:eastAsia="Calibri" w:hAnsi="Times New Roman" w:cs="Times New Roman"/>
          <w:bCs/>
          <w:i/>
          <w:iCs/>
          <w:color w:val="000000"/>
          <w:sz w:val="24"/>
          <w:szCs w:val="24"/>
        </w:rPr>
        <w:t>Sankcie</w:t>
      </w:r>
      <w:r w:rsidRPr="00D8247C">
        <w:rPr>
          <w:rFonts w:ascii="Times New Roman" w:eastAsia="Calibri" w:hAnsi="Times New Roman" w:cs="Times New Roman"/>
          <w:bCs/>
          <w:i/>
          <w:iCs/>
          <w:color w:val="000000"/>
          <w:sz w:val="24"/>
          <w:szCs w:val="24"/>
        </w:rPr>
        <w:t xml:space="preserve">, D. </w:t>
      </w:r>
      <w:r w:rsidR="00024EE4">
        <w:rPr>
          <w:rFonts w:ascii="Times New Roman" w:eastAsia="Calibri" w:hAnsi="Times New Roman" w:cs="Times New Roman"/>
          <w:bCs/>
          <w:i/>
          <w:iCs/>
          <w:color w:val="000000"/>
          <w:sz w:val="24"/>
          <w:szCs w:val="24"/>
        </w:rPr>
        <w:t>Nepriame finančné náklady</w:t>
      </w:r>
      <w:r w:rsidR="00A94A0F">
        <w:rPr>
          <w:rFonts w:ascii="Times New Roman" w:eastAsia="Calibri" w:hAnsi="Times New Roman" w:cs="Times New Roman"/>
          <w:bCs/>
          <w:i/>
          <w:iCs/>
          <w:color w:val="000000"/>
          <w:sz w:val="24"/>
          <w:szCs w:val="24"/>
        </w:rPr>
        <w:t xml:space="preserve">, E. </w:t>
      </w:r>
      <w:r w:rsidRPr="00D8247C">
        <w:rPr>
          <w:rFonts w:ascii="Times New Roman" w:eastAsia="Calibri" w:hAnsi="Times New Roman" w:cs="Times New Roman"/>
          <w:bCs/>
          <w:i/>
          <w:iCs/>
          <w:color w:val="000000"/>
          <w:sz w:val="24"/>
          <w:szCs w:val="24"/>
        </w:rPr>
        <w:t xml:space="preserve">Administratívne náklady). Rozčleňte ich a vypočítajte v súlade s metodickým postupom. </w:t>
      </w:r>
    </w:p>
    <w:p w14:paraId="1BC0710D" w14:textId="77777777" w:rsidR="001E24E8" w:rsidRDefault="001E24E8" w:rsidP="00054C41">
      <w:pPr>
        <w:jc w:val="both"/>
        <w:rPr>
          <w:rFonts w:ascii="Times New Roman" w:eastAsia="Calibri" w:hAnsi="Times New Roman" w:cs="Times New Roman"/>
          <w:bCs/>
          <w:i/>
          <w:iCs/>
          <w:color w:val="000000"/>
          <w:sz w:val="24"/>
          <w:szCs w:val="24"/>
        </w:rPr>
      </w:pPr>
    </w:p>
    <w:p w14:paraId="40BDB453" w14:textId="77777777" w:rsidR="00512BA7" w:rsidRPr="001F1B43" w:rsidRDefault="00511F8F" w:rsidP="00512BA7">
      <w:pPr>
        <w:jc w:val="both"/>
        <w:rPr>
          <w:rFonts w:ascii="Times New Roman" w:eastAsia="Calibri" w:hAnsi="Times New Roman" w:cs="Times New Roman"/>
          <w:b/>
          <w:bCs/>
          <w:i/>
          <w:sz w:val="24"/>
          <w:szCs w:val="24"/>
          <w:u w:val="single"/>
        </w:rPr>
      </w:pPr>
      <w:r>
        <w:rPr>
          <w:rFonts w:ascii="Times New Roman" w:eastAsia="Calibri" w:hAnsi="Times New Roman" w:cs="Times New Roman"/>
          <w:b/>
          <w:bCs/>
          <w:i/>
          <w:sz w:val="24"/>
          <w:szCs w:val="24"/>
          <w:u w:val="single"/>
        </w:rPr>
        <w:t xml:space="preserve">3.1.4 </w:t>
      </w:r>
      <w:r w:rsidR="001E24E8">
        <w:rPr>
          <w:rFonts w:ascii="Times New Roman" w:eastAsia="Calibri" w:hAnsi="Times New Roman" w:cs="Times New Roman"/>
          <w:b/>
          <w:bCs/>
          <w:i/>
          <w:sz w:val="24"/>
          <w:szCs w:val="24"/>
          <w:u w:val="single"/>
        </w:rPr>
        <w:t>Odôvodnenie</w:t>
      </w:r>
      <w:r w:rsidR="008F6ADE" w:rsidRPr="00804BC8">
        <w:rPr>
          <w:rFonts w:ascii="Times New Roman" w:eastAsia="Calibri" w:hAnsi="Times New Roman" w:cs="Times New Roman"/>
          <w:b/>
          <w:bCs/>
          <w:i/>
          <w:sz w:val="24"/>
          <w:szCs w:val="24"/>
          <w:u w:val="single"/>
        </w:rPr>
        <w:t xml:space="preserve"> </w:t>
      </w:r>
      <w:proofErr w:type="spellStart"/>
      <w:r w:rsidR="008F6ADE" w:rsidRPr="00804BC8">
        <w:rPr>
          <w:rFonts w:ascii="Times New Roman" w:eastAsia="Calibri" w:hAnsi="Times New Roman" w:cs="Times New Roman"/>
          <w:b/>
          <w:bCs/>
          <w:i/>
          <w:sz w:val="24"/>
          <w:szCs w:val="24"/>
          <w:u w:val="single"/>
        </w:rPr>
        <w:t>goldplating</w:t>
      </w:r>
      <w:r w:rsidR="0016512E">
        <w:rPr>
          <w:rFonts w:ascii="Times New Roman" w:eastAsia="Calibri" w:hAnsi="Times New Roman" w:cs="Times New Roman"/>
          <w:b/>
          <w:bCs/>
          <w:i/>
          <w:sz w:val="24"/>
          <w:szCs w:val="24"/>
          <w:u w:val="single"/>
        </w:rPr>
        <w:t>u</w:t>
      </w:r>
      <w:proofErr w:type="spellEnd"/>
      <w:r w:rsidR="001E24E8">
        <w:rPr>
          <w:rFonts w:ascii="Times New Roman" w:eastAsia="Calibri" w:hAnsi="Times New Roman" w:cs="Times New Roman"/>
          <w:b/>
          <w:bCs/>
          <w:i/>
          <w:sz w:val="24"/>
          <w:szCs w:val="24"/>
          <w:u w:val="single"/>
        </w:rPr>
        <w:t xml:space="preserve"> </w:t>
      </w:r>
      <w:r w:rsidR="008F6ADE" w:rsidRPr="00804BC8">
        <w:rPr>
          <w:rFonts w:ascii="Times New Roman" w:eastAsia="Calibri" w:hAnsi="Times New Roman" w:cs="Times New Roman"/>
          <w:b/>
          <w:bCs/>
          <w:i/>
          <w:sz w:val="24"/>
          <w:szCs w:val="24"/>
          <w:u w:val="single"/>
        </w:rPr>
        <w:t xml:space="preserve">podľa bodu 4 časti III </w:t>
      </w:r>
      <w:r w:rsidR="00FA6FFE">
        <w:rPr>
          <w:rFonts w:ascii="Times New Roman" w:eastAsia="Calibri" w:hAnsi="Times New Roman" w:cs="Times New Roman"/>
          <w:b/>
          <w:bCs/>
          <w:i/>
          <w:sz w:val="24"/>
          <w:szCs w:val="24"/>
          <w:u w:val="single"/>
        </w:rPr>
        <w:t>j</w:t>
      </w:r>
      <w:r w:rsidR="001E24E8">
        <w:rPr>
          <w:rFonts w:ascii="Times New Roman" w:eastAsia="Calibri" w:hAnsi="Times New Roman" w:cs="Times New Roman"/>
          <w:b/>
          <w:bCs/>
          <w:i/>
          <w:sz w:val="24"/>
          <w:szCs w:val="24"/>
          <w:u w:val="single"/>
        </w:rPr>
        <w:t xml:space="preserve">ednotnej metodiky </w:t>
      </w:r>
      <w:r w:rsidR="00400BA5">
        <w:rPr>
          <w:rFonts w:ascii="Times New Roman" w:eastAsia="Calibri" w:hAnsi="Times New Roman" w:cs="Times New Roman"/>
          <w:b/>
          <w:bCs/>
          <w:i/>
          <w:sz w:val="24"/>
          <w:szCs w:val="24"/>
          <w:u w:val="single"/>
        </w:rPr>
        <w:t>a </w:t>
      </w:r>
      <w:r w:rsidR="00B21D1F">
        <w:rPr>
          <w:rFonts w:ascii="Times New Roman" w:eastAsia="Calibri" w:hAnsi="Times New Roman" w:cs="Times New Roman"/>
          <w:b/>
          <w:bCs/>
          <w:i/>
          <w:sz w:val="24"/>
          <w:szCs w:val="24"/>
          <w:u w:val="single"/>
        </w:rPr>
        <w:t>ďalšie</w:t>
      </w:r>
      <w:r w:rsidR="00400BA5">
        <w:rPr>
          <w:rFonts w:ascii="Times New Roman" w:eastAsia="Calibri" w:hAnsi="Times New Roman" w:cs="Times New Roman"/>
          <w:b/>
          <w:bCs/>
          <w:i/>
          <w:sz w:val="24"/>
          <w:szCs w:val="24"/>
          <w:u w:val="single"/>
        </w:rPr>
        <w:t xml:space="preserve"> d</w:t>
      </w:r>
      <w:r w:rsidR="00512BA7" w:rsidRPr="001F1B43">
        <w:rPr>
          <w:rFonts w:ascii="Times New Roman" w:eastAsia="Calibri" w:hAnsi="Times New Roman" w:cs="Times New Roman"/>
          <w:b/>
          <w:bCs/>
          <w:i/>
          <w:sz w:val="24"/>
          <w:szCs w:val="24"/>
          <w:u w:val="single"/>
        </w:rPr>
        <w:t>oplňujúce informácie</w:t>
      </w:r>
      <w:r w:rsidR="00512BA7">
        <w:rPr>
          <w:rStyle w:val="Odkaznapoznmkupodiarou"/>
          <w:rFonts w:ascii="Times New Roman" w:eastAsia="Calibri" w:hAnsi="Times New Roman" w:cs="Times New Roman"/>
          <w:b/>
          <w:bCs/>
          <w:i/>
          <w:sz w:val="24"/>
          <w:szCs w:val="24"/>
          <w:u w:val="single"/>
        </w:rPr>
        <w:footnoteReference w:id="2"/>
      </w:r>
      <w:r w:rsidR="00512BA7" w:rsidRPr="001F1B43">
        <w:rPr>
          <w:rFonts w:ascii="Times New Roman" w:eastAsia="Calibri" w:hAnsi="Times New Roman" w:cs="Times New Roman"/>
          <w:b/>
          <w:bCs/>
          <w:i/>
          <w:sz w:val="24"/>
          <w:szCs w:val="24"/>
          <w:u w:val="single"/>
        </w:rPr>
        <w:t xml:space="preserve"> </w:t>
      </w:r>
    </w:p>
    <w:p w14:paraId="48BB9B42" w14:textId="77777777" w:rsidR="000C5419" w:rsidRPr="000C5419" w:rsidRDefault="000C5419" w:rsidP="000C5419">
      <w:pPr>
        <w:jc w:val="both"/>
        <w:rPr>
          <w:rFonts w:ascii="Times New Roman" w:eastAsia="Calibri" w:hAnsi="Times New Roman" w:cs="Times New Roman"/>
          <w:bCs/>
          <w:i/>
          <w:iCs/>
          <w:color w:val="000000"/>
          <w:sz w:val="24"/>
          <w:szCs w:val="24"/>
        </w:rPr>
      </w:pPr>
      <w:r w:rsidRPr="000C5419">
        <w:rPr>
          <w:rFonts w:ascii="Times New Roman" w:eastAsia="Calibri" w:hAnsi="Times New Roman" w:cs="Times New Roman"/>
          <w:bCs/>
          <w:i/>
          <w:iCs/>
          <w:color w:val="000000"/>
          <w:sz w:val="24"/>
          <w:szCs w:val="24"/>
        </w:rPr>
        <w:t xml:space="preserve">Požadované informácie </w:t>
      </w:r>
      <w:r w:rsidR="00F153D7">
        <w:rPr>
          <w:rFonts w:ascii="Times New Roman" w:eastAsia="Calibri" w:hAnsi="Times New Roman" w:cs="Times New Roman"/>
          <w:bCs/>
          <w:i/>
          <w:iCs/>
          <w:color w:val="000000"/>
          <w:sz w:val="24"/>
          <w:szCs w:val="24"/>
        </w:rPr>
        <w:t>uveďte</w:t>
      </w:r>
      <w:r w:rsidRPr="000C5419">
        <w:rPr>
          <w:rFonts w:ascii="Times New Roman" w:eastAsia="Calibri" w:hAnsi="Times New Roman" w:cs="Times New Roman"/>
          <w:bCs/>
          <w:i/>
          <w:iCs/>
          <w:color w:val="000000"/>
          <w:sz w:val="24"/>
          <w:szCs w:val="24"/>
        </w:rPr>
        <w:t xml:space="preserve"> osobitne ku každému identifikovanému </w:t>
      </w:r>
      <w:proofErr w:type="spellStart"/>
      <w:r w:rsidRPr="000C5419">
        <w:rPr>
          <w:rFonts w:ascii="Times New Roman" w:eastAsia="Calibri" w:hAnsi="Times New Roman" w:cs="Times New Roman"/>
          <w:bCs/>
          <w:i/>
          <w:iCs/>
          <w:color w:val="000000"/>
          <w:sz w:val="24"/>
          <w:szCs w:val="24"/>
        </w:rPr>
        <w:t>goldplatingu</w:t>
      </w:r>
      <w:proofErr w:type="spellEnd"/>
      <w:r w:rsidRPr="000C5419">
        <w:rPr>
          <w:rFonts w:ascii="Times New Roman" w:eastAsia="Calibri" w:hAnsi="Times New Roman" w:cs="Times New Roman"/>
          <w:bCs/>
          <w:i/>
          <w:iCs/>
          <w:color w:val="000000"/>
          <w:sz w:val="24"/>
          <w:szCs w:val="24"/>
        </w:rPr>
        <w:t xml:space="preserve"> (ku každej hodnotenej regulácii s </w:t>
      </w:r>
      <w:proofErr w:type="spellStart"/>
      <w:r w:rsidRPr="000C5419">
        <w:rPr>
          <w:rFonts w:ascii="Times New Roman" w:eastAsia="Calibri" w:hAnsi="Times New Roman" w:cs="Times New Roman"/>
          <w:bCs/>
          <w:i/>
          <w:iCs/>
          <w:color w:val="000000"/>
          <w:sz w:val="24"/>
          <w:szCs w:val="24"/>
        </w:rPr>
        <w:t>goldplatingom</w:t>
      </w:r>
      <w:proofErr w:type="spellEnd"/>
      <w:r w:rsidRPr="000C5419">
        <w:rPr>
          <w:rFonts w:ascii="Times New Roman" w:eastAsia="Calibri" w:hAnsi="Times New Roman" w:cs="Times New Roman"/>
          <w:bCs/>
          <w:i/>
          <w:iCs/>
          <w:color w:val="000000"/>
          <w:sz w:val="24"/>
          <w:szCs w:val="24"/>
        </w:rPr>
        <w:t xml:space="preserve"> osobitne). </w:t>
      </w:r>
    </w:p>
    <w:p w14:paraId="60401B46" w14:textId="77777777" w:rsidR="0016512E" w:rsidRPr="000C5419" w:rsidRDefault="0016512E" w:rsidP="0016512E">
      <w:pPr>
        <w:jc w:val="both"/>
        <w:rPr>
          <w:rFonts w:ascii="Times New Roman" w:eastAsia="Calibri" w:hAnsi="Times New Roman" w:cs="Times New Roman"/>
          <w:bCs/>
          <w:i/>
          <w:iCs/>
          <w:color w:val="000000"/>
          <w:sz w:val="24"/>
          <w:szCs w:val="24"/>
        </w:rPr>
      </w:pPr>
      <w:r>
        <w:rPr>
          <w:rFonts w:ascii="Times New Roman" w:eastAsia="Calibri" w:hAnsi="Times New Roman" w:cs="Times New Roman"/>
          <w:bCs/>
          <w:i/>
          <w:iCs/>
          <w:color w:val="000000"/>
          <w:sz w:val="24"/>
          <w:szCs w:val="24"/>
        </w:rPr>
        <w:t>Uveďte</w:t>
      </w:r>
      <w:r w:rsidR="004239D1">
        <w:rPr>
          <w:rFonts w:ascii="Times New Roman" w:eastAsia="Calibri" w:hAnsi="Times New Roman" w:cs="Times New Roman"/>
          <w:bCs/>
          <w:i/>
          <w:iCs/>
          <w:color w:val="000000"/>
          <w:sz w:val="24"/>
          <w:szCs w:val="24"/>
        </w:rPr>
        <w:t xml:space="preserve"> o</w:t>
      </w:r>
      <w:r w:rsidR="004239D1" w:rsidRPr="004239D1">
        <w:rPr>
          <w:rFonts w:ascii="Times New Roman" w:eastAsia="Calibri" w:hAnsi="Times New Roman" w:cs="Times New Roman"/>
          <w:bCs/>
          <w:i/>
          <w:iCs/>
          <w:color w:val="000000"/>
          <w:sz w:val="24"/>
          <w:szCs w:val="24"/>
        </w:rPr>
        <w:t xml:space="preserve">dôvodnenie </w:t>
      </w:r>
      <w:proofErr w:type="spellStart"/>
      <w:r w:rsidR="004239D1" w:rsidRPr="004239D1">
        <w:rPr>
          <w:rFonts w:ascii="Times New Roman" w:eastAsia="Calibri" w:hAnsi="Times New Roman" w:cs="Times New Roman"/>
          <w:bCs/>
          <w:i/>
          <w:iCs/>
          <w:color w:val="000000"/>
          <w:sz w:val="24"/>
          <w:szCs w:val="24"/>
        </w:rPr>
        <w:t>goldplatingu</w:t>
      </w:r>
      <w:proofErr w:type="spellEnd"/>
      <w:r w:rsidR="004239D1" w:rsidRPr="004239D1">
        <w:rPr>
          <w:rFonts w:ascii="Times New Roman" w:eastAsia="Calibri" w:hAnsi="Times New Roman" w:cs="Times New Roman"/>
          <w:bCs/>
          <w:i/>
          <w:iCs/>
          <w:color w:val="000000"/>
          <w:sz w:val="24"/>
          <w:szCs w:val="24"/>
        </w:rPr>
        <w:t xml:space="preserve"> </w:t>
      </w:r>
      <w:r w:rsidR="004239D1">
        <w:rPr>
          <w:rFonts w:ascii="Times New Roman" w:eastAsia="Calibri" w:hAnsi="Times New Roman" w:cs="Times New Roman"/>
          <w:bCs/>
          <w:i/>
          <w:iCs/>
          <w:color w:val="000000"/>
          <w:sz w:val="24"/>
          <w:szCs w:val="24"/>
        </w:rPr>
        <w:t xml:space="preserve">z hľadiska </w:t>
      </w:r>
      <w:r w:rsidR="004239D1" w:rsidRPr="004239D1">
        <w:rPr>
          <w:rFonts w:ascii="Times New Roman" w:eastAsia="Calibri" w:hAnsi="Times New Roman" w:cs="Times New Roman"/>
          <w:bCs/>
          <w:i/>
          <w:iCs/>
          <w:color w:val="000000"/>
          <w:sz w:val="24"/>
          <w:szCs w:val="24"/>
        </w:rPr>
        <w:t>jeho nespochybniteľnej nevyhnutnosti.</w:t>
      </w:r>
      <w:r>
        <w:rPr>
          <w:rFonts w:ascii="Times New Roman" w:eastAsia="Calibri" w:hAnsi="Times New Roman" w:cs="Times New Roman"/>
          <w:bCs/>
          <w:i/>
          <w:iCs/>
          <w:color w:val="000000"/>
          <w:sz w:val="24"/>
          <w:szCs w:val="24"/>
        </w:rPr>
        <w:t xml:space="preserve"> Odôvodnenie doložte dôkladným hodnotením prínosov a</w:t>
      </w:r>
      <w:r w:rsidR="005D39D8">
        <w:rPr>
          <w:rFonts w:ascii="Times New Roman" w:eastAsia="Calibri" w:hAnsi="Times New Roman" w:cs="Times New Roman"/>
          <w:bCs/>
          <w:i/>
          <w:iCs/>
          <w:color w:val="000000"/>
          <w:sz w:val="24"/>
          <w:szCs w:val="24"/>
        </w:rPr>
        <w:t> </w:t>
      </w:r>
      <w:r>
        <w:rPr>
          <w:rFonts w:ascii="Times New Roman" w:eastAsia="Calibri" w:hAnsi="Times New Roman" w:cs="Times New Roman"/>
          <w:bCs/>
          <w:i/>
          <w:iCs/>
          <w:color w:val="000000"/>
          <w:sz w:val="24"/>
          <w:szCs w:val="24"/>
        </w:rPr>
        <w:t>nákladov</w:t>
      </w:r>
      <w:r w:rsidR="005D39D8">
        <w:rPr>
          <w:rFonts w:ascii="Times New Roman" w:eastAsia="Calibri" w:hAnsi="Times New Roman" w:cs="Times New Roman"/>
          <w:bCs/>
          <w:i/>
          <w:iCs/>
          <w:color w:val="000000"/>
          <w:sz w:val="24"/>
          <w:szCs w:val="24"/>
        </w:rPr>
        <w:t xml:space="preserve">. </w:t>
      </w:r>
      <w:r w:rsidR="005D39D8" w:rsidRPr="005D39D8">
        <w:rPr>
          <w:rFonts w:ascii="Times New Roman" w:eastAsia="Calibri" w:hAnsi="Times New Roman" w:cs="Times New Roman"/>
          <w:bCs/>
          <w:i/>
          <w:iCs/>
          <w:color w:val="000000"/>
          <w:sz w:val="24"/>
          <w:szCs w:val="24"/>
        </w:rPr>
        <w:t>Uveďte zvážené alternatívne riešenia.</w:t>
      </w:r>
      <w:r>
        <w:rPr>
          <w:rFonts w:ascii="Times New Roman" w:eastAsia="Calibri" w:hAnsi="Times New Roman" w:cs="Times New Roman"/>
          <w:bCs/>
          <w:i/>
          <w:iCs/>
          <w:color w:val="000000"/>
          <w:sz w:val="24"/>
          <w:szCs w:val="24"/>
        </w:rPr>
        <w:t>.</w:t>
      </w:r>
    </w:p>
    <w:p w14:paraId="166346A4" w14:textId="77777777" w:rsidR="000C5419" w:rsidRPr="000C5419" w:rsidRDefault="00990813" w:rsidP="000C5419">
      <w:pPr>
        <w:jc w:val="both"/>
        <w:rPr>
          <w:rFonts w:ascii="Times New Roman" w:eastAsia="Calibri" w:hAnsi="Times New Roman" w:cs="Times New Roman"/>
          <w:bCs/>
          <w:i/>
          <w:iCs/>
          <w:color w:val="000000"/>
          <w:sz w:val="24"/>
          <w:szCs w:val="24"/>
        </w:rPr>
      </w:pPr>
      <w:r>
        <w:rPr>
          <w:rFonts w:ascii="Times New Roman" w:eastAsia="Calibri" w:hAnsi="Times New Roman" w:cs="Times New Roman"/>
          <w:bCs/>
          <w:i/>
          <w:iCs/>
          <w:color w:val="000000"/>
          <w:sz w:val="24"/>
          <w:szCs w:val="24"/>
        </w:rPr>
        <w:t xml:space="preserve">Zároveň </w:t>
      </w:r>
      <w:r w:rsidR="00D5309D">
        <w:rPr>
          <w:rFonts w:ascii="Times New Roman" w:eastAsia="Calibri" w:hAnsi="Times New Roman" w:cs="Times New Roman"/>
          <w:bCs/>
          <w:i/>
          <w:iCs/>
          <w:color w:val="000000"/>
          <w:sz w:val="24"/>
          <w:szCs w:val="24"/>
        </w:rPr>
        <w:t>uveďte</w:t>
      </w:r>
      <w:r w:rsidR="000C5419">
        <w:rPr>
          <w:rFonts w:ascii="Times New Roman" w:eastAsia="Calibri" w:hAnsi="Times New Roman" w:cs="Times New Roman"/>
          <w:bCs/>
          <w:i/>
          <w:iCs/>
          <w:color w:val="000000"/>
          <w:sz w:val="24"/>
          <w:szCs w:val="24"/>
        </w:rPr>
        <w:t xml:space="preserve"> </w:t>
      </w:r>
      <w:r w:rsidR="000C5419" w:rsidRPr="00284B8C">
        <w:rPr>
          <w:rFonts w:ascii="Times New Roman" w:eastAsia="Calibri" w:hAnsi="Times New Roman" w:cs="Times New Roman"/>
          <w:bCs/>
          <w:i/>
          <w:iCs/>
          <w:color w:val="000000"/>
          <w:sz w:val="24"/>
          <w:szCs w:val="24"/>
        </w:rPr>
        <w:t>konkrétne informácie súvisiace s </w:t>
      </w:r>
      <w:r>
        <w:rPr>
          <w:rFonts w:ascii="Times New Roman" w:eastAsia="Calibri" w:hAnsi="Times New Roman" w:cs="Times New Roman"/>
          <w:bCs/>
          <w:i/>
          <w:iCs/>
          <w:color w:val="000000"/>
          <w:sz w:val="24"/>
          <w:szCs w:val="24"/>
        </w:rPr>
        <w:t>kategóriou</w:t>
      </w:r>
      <w:r w:rsidRPr="00284B8C">
        <w:rPr>
          <w:rFonts w:ascii="Times New Roman" w:eastAsia="Calibri" w:hAnsi="Times New Roman" w:cs="Times New Roman"/>
          <w:bCs/>
          <w:i/>
          <w:iCs/>
          <w:color w:val="000000"/>
          <w:sz w:val="24"/>
          <w:szCs w:val="24"/>
        </w:rPr>
        <w:t xml:space="preserve"> </w:t>
      </w:r>
      <w:proofErr w:type="spellStart"/>
      <w:r w:rsidR="000C5419" w:rsidRPr="00284B8C">
        <w:rPr>
          <w:rFonts w:ascii="Times New Roman" w:eastAsia="Calibri" w:hAnsi="Times New Roman" w:cs="Times New Roman"/>
          <w:bCs/>
          <w:i/>
          <w:iCs/>
          <w:color w:val="000000"/>
          <w:sz w:val="24"/>
          <w:szCs w:val="24"/>
        </w:rPr>
        <w:t>goldplatingu</w:t>
      </w:r>
      <w:proofErr w:type="spellEnd"/>
      <w:r>
        <w:rPr>
          <w:rFonts w:ascii="Times New Roman" w:eastAsia="Calibri" w:hAnsi="Times New Roman" w:cs="Times New Roman"/>
          <w:bCs/>
          <w:i/>
          <w:iCs/>
          <w:color w:val="000000"/>
          <w:sz w:val="24"/>
          <w:szCs w:val="24"/>
        </w:rPr>
        <w:t xml:space="preserve"> podľa </w:t>
      </w:r>
      <w:r w:rsidR="00D114ED">
        <w:rPr>
          <w:rFonts w:ascii="Times New Roman" w:eastAsia="Calibri" w:hAnsi="Times New Roman" w:cs="Times New Roman"/>
          <w:bCs/>
          <w:i/>
          <w:iCs/>
          <w:color w:val="000000"/>
          <w:sz w:val="24"/>
          <w:szCs w:val="24"/>
        </w:rPr>
        <w:t>jednotnej metodiky</w:t>
      </w:r>
      <w:r w:rsidR="000C5419" w:rsidRPr="00284B8C">
        <w:rPr>
          <w:rFonts w:ascii="Times New Roman" w:eastAsia="Calibri" w:hAnsi="Times New Roman" w:cs="Times New Roman"/>
          <w:bCs/>
          <w:i/>
          <w:iCs/>
          <w:color w:val="000000"/>
          <w:sz w:val="24"/>
          <w:szCs w:val="24"/>
        </w:rPr>
        <w:t>, najmä: na aké subjekty sa nad rámec navrhuje rozšíriť pôsobnosť smernice a z akého dôvodu; aké požiadavky sa navyšujú a na aké subjekty nad rámec minimálnych požiadaviek smernice; aká  menej prísnejšia výnimka alebo úprava vyplývajúca zo smernice nebola využitá a prečo; z akého dôvodu sa navrhujú prísnejšie sankčné režimy; z akého dôvodu sa navrhuje skoršia transpozícia; z akého dôvodu sa ponechávajú v platnosti už existujúce prísnejšie vnútroštátne</w:t>
      </w:r>
      <w:r w:rsidR="000C5419" w:rsidRPr="000C5419">
        <w:rPr>
          <w:rFonts w:ascii="Times New Roman" w:eastAsia="Calibri" w:hAnsi="Times New Roman" w:cs="Times New Roman"/>
          <w:bCs/>
          <w:i/>
          <w:iCs/>
          <w:color w:val="000000"/>
          <w:sz w:val="24"/>
          <w:szCs w:val="24"/>
        </w:rPr>
        <w:t xml:space="preserve"> požiadavky. </w:t>
      </w:r>
    </w:p>
    <w:p w14:paraId="7999BEDE" w14:textId="77777777" w:rsidR="00D114ED" w:rsidRPr="00F244DC" w:rsidRDefault="00D114ED" w:rsidP="00751DA9">
      <w:pPr>
        <w:jc w:val="both"/>
        <w:rPr>
          <w:rFonts w:ascii="Times New Roman" w:eastAsia="Calibri" w:hAnsi="Times New Roman" w:cs="Times New Roman"/>
          <w:bCs/>
          <w:i/>
          <w:iCs/>
          <w:sz w:val="24"/>
          <w:szCs w:val="24"/>
        </w:rPr>
      </w:pPr>
      <w:r w:rsidRPr="00F244DC">
        <w:rPr>
          <w:rFonts w:ascii="Times New Roman" w:eastAsia="Calibri" w:hAnsi="Times New Roman" w:cs="Times New Roman"/>
          <w:bCs/>
          <w:i/>
          <w:iCs/>
          <w:sz w:val="24"/>
          <w:szCs w:val="24"/>
        </w:rPr>
        <w:t xml:space="preserve">Využitie </w:t>
      </w:r>
      <w:proofErr w:type="spellStart"/>
      <w:r w:rsidRPr="00F244DC">
        <w:rPr>
          <w:rFonts w:ascii="Times New Roman" w:eastAsia="Calibri" w:hAnsi="Times New Roman" w:cs="Times New Roman"/>
          <w:bCs/>
          <w:i/>
          <w:iCs/>
          <w:sz w:val="24"/>
          <w:szCs w:val="24"/>
        </w:rPr>
        <w:t>goldplatingu</w:t>
      </w:r>
      <w:proofErr w:type="spellEnd"/>
      <w:r w:rsidRPr="00F244DC">
        <w:rPr>
          <w:rFonts w:ascii="Times New Roman" w:eastAsia="Calibri" w:hAnsi="Times New Roman" w:cs="Times New Roman"/>
          <w:bCs/>
          <w:i/>
          <w:iCs/>
          <w:sz w:val="24"/>
          <w:szCs w:val="24"/>
        </w:rPr>
        <w:t xml:space="preserve"> pri transpozícii alebo implementácii legislatívy EÚ je v zásade nežiadúce, keďže takýto postup môže viesť k zníženiu konkurencieschopnosti domácich podnikov v porovnaní s podnikmi z krajín, kde právne predpisy nie sú natoľko prísne. Využitie </w:t>
      </w:r>
      <w:proofErr w:type="spellStart"/>
      <w:r w:rsidRPr="00F244DC">
        <w:rPr>
          <w:rFonts w:ascii="Times New Roman" w:eastAsia="Calibri" w:hAnsi="Times New Roman" w:cs="Times New Roman"/>
          <w:bCs/>
          <w:i/>
          <w:iCs/>
          <w:sz w:val="24"/>
          <w:szCs w:val="24"/>
        </w:rPr>
        <w:t>goldplatingu</w:t>
      </w:r>
      <w:proofErr w:type="spellEnd"/>
      <w:r w:rsidRPr="00F244DC">
        <w:rPr>
          <w:rFonts w:ascii="Times New Roman" w:eastAsia="Calibri" w:hAnsi="Times New Roman" w:cs="Times New Roman"/>
          <w:bCs/>
          <w:i/>
          <w:iCs/>
          <w:sz w:val="24"/>
          <w:szCs w:val="24"/>
        </w:rPr>
        <w:t xml:space="preserve"> predkladateľom je preto prípustné iba vo výnimočných prípadoch, riadne odôvodnených a vysvetlených v analýze vplyvov na podnikateľské prostredie z hľadiska jeho nevyhnutnosti, spoločenského významu, nákladov, prekonzultovaných s dotknutými podnikateľmi a posúdených Komisiou.</w:t>
      </w:r>
    </w:p>
    <w:p w14:paraId="1A3C3AD2" w14:textId="77777777" w:rsidR="00054C41" w:rsidRPr="00D8247C" w:rsidRDefault="00054C41" w:rsidP="00054C41">
      <w:pPr>
        <w:rPr>
          <w:rFonts w:ascii="Times New Roman" w:eastAsia="Calibri" w:hAnsi="Times New Roman" w:cs="Times New Roman"/>
          <w:i/>
          <w:sz w:val="24"/>
          <w:szCs w:val="24"/>
        </w:rPr>
      </w:pPr>
    </w:p>
    <w:p w14:paraId="13A93A9F" w14:textId="77777777" w:rsidR="00024EE4" w:rsidRDefault="00024EE4" w:rsidP="00054C41">
      <w:pPr>
        <w:jc w:val="both"/>
        <w:rPr>
          <w:rFonts w:ascii="Times New Roman" w:eastAsia="Calibri" w:hAnsi="Times New Roman" w:cs="Times New Roman"/>
          <w:b/>
          <w:sz w:val="24"/>
          <w:szCs w:val="24"/>
        </w:rPr>
      </w:pPr>
    </w:p>
    <w:p w14:paraId="5E3A9F4E" w14:textId="77777777" w:rsidR="00024EE4" w:rsidRDefault="00024EE4" w:rsidP="00054C41">
      <w:pPr>
        <w:jc w:val="both"/>
        <w:rPr>
          <w:rFonts w:ascii="Times New Roman" w:eastAsia="Calibri" w:hAnsi="Times New Roman" w:cs="Times New Roman"/>
          <w:b/>
          <w:sz w:val="24"/>
          <w:szCs w:val="24"/>
        </w:rPr>
      </w:pPr>
    </w:p>
    <w:p w14:paraId="09FE605C"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lastRenderedPageBreak/>
        <w:t>3.2 Vyhodnotenie konzultácií s podnikateľskými subjektmi pred predbežným pripomienkovým konaním</w:t>
      </w:r>
    </w:p>
    <w:p w14:paraId="7EC367E9"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formu konzultácií vrátane zdôvodnenia jej výberu a trvanie konzultácií, termíny stretnutí. Uveďte spôsob oslovenia dotknutých subjektov, zoznam konzultujúcich subjektov, tiež </w:t>
      </w:r>
      <w:proofErr w:type="spellStart"/>
      <w:r w:rsidRPr="00D8247C">
        <w:rPr>
          <w:rFonts w:ascii="Times New Roman" w:eastAsia="Calibri" w:hAnsi="Times New Roman" w:cs="Times New Roman"/>
          <w:i/>
          <w:sz w:val="24"/>
          <w:szCs w:val="24"/>
        </w:rPr>
        <w:t>link</w:t>
      </w:r>
      <w:proofErr w:type="spellEnd"/>
      <w:r w:rsidRPr="00D8247C">
        <w:rPr>
          <w:rFonts w:ascii="Times New Roman" w:eastAsia="Calibri" w:hAnsi="Times New Roman" w:cs="Times New Roman"/>
          <w:i/>
          <w:sz w:val="24"/>
          <w:szCs w:val="24"/>
        </w:rPr>
        <w:t xml:space="preserve"> na webovú stránku, na ktorej boli konzultácie zverejnené. </w:t>
      </w:r>
    </w:p>
    <w:p w14:paraId="29764238"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hlavné body konzultácií a ich závery. </w:t>
      </w:r>
    </w:p>
    <w:p w14:paraId="38D71977"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zoznam predložených alternatívnych riešení problematiky od konzultujúcich subjektov, ako aj návrhy od konzultujúcich subjektov na zníženie nákladov regulácií na PP, ktoré neboli akceptované a dôvod neakceptovania. </w:t>
      </w:r>
    </w:p>
    <w:p w14:paraId="2EF8A9C5" w14:textId="77777777" w:rsidR="00F90570"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Alternatívne namiesto vypĺňania bodu 3.2 môžete uviesť ako samostatnú prílohu tejto analýzy Záznam z konzultácií obsahujúci požadované informácie. </w:t>
      </w:r>
    </w:p>
    <w:p w14:paraId="1495C59B" w14:textId="0AB0B0FC" w:rsidR="00F90570" w:rsidRPr="002B6B0F" w:rsidRDefault="00F90570" w:rsidP="00F90570">
      <w:pPr>
        <w:spacing w:before="100" w:beforeAutospacing="1" w:after="100" w:afterAutospacing="1" w:line="240" w:lineRule="auto"/>
        <w:jc w:val="both"/>
        <w:rPr>
          <w:rFonts w:ascii="Times New Roman" w:eastAsia="Times New Roman" w:hAnsi="Times New Roman" w:cs="Times New Roman"/>
          <w:sz w:val="24"/>
          <w:szCs w:val="24"/>
          <w:lang w:eastAsia="sk-SK"/>
        </w:rPr>
      </w:pPr>
      <w:r w:rsidRPr="00331844">
        <w:rPr>
          <w:rFonts w:ascii="Times New Roman" w:eastAsia="Times New Roman" w:hAnsi="Times New Roman" w:cs="Times New Roman"/>
          <w:sz w:val="24"/>
          <w:szCs w:val="24"/>
          <w:lang w:eastAsia="sk-SK"/>
        </w:rPr>
        <w:t>Prerokovanie návrhu</w:t>
      </w:r>
      <w:r w:rsidRPr="002B6B0F">
        <w:rPr>
          <w:rFonts w:ascii="Times New Roman" w:eastAsia="Times New Roman" w:hAnsi="Times New Roman" w:cs="Times New Roman"/>
          <w:sz w:val="24"/>
          <w:szCs w:val="24"/>
          <w:lang w:eastAsia="sk-SK"/>
        </w:rPr>
        <w:t xml:space="preserve"> </w:t>
      </w:r>
      <w:proofErr w:type="spellStart"/>
      <w:r w:rsidRPr="002B6B0F">
        <w:rPr>
          <w:rFonts w:ascii="Times New Roman" w:eastAsia="Times New Roman" w:hAnsi="Times New Roman" w:cs="Times New Roman"/>
          <w:sz w:val="24"/>
          <w:szCs w:val="24"/>
          <w:lang w:eastAsia="sk-SK"/>
        </w:rPr>
        <w:t>zonácie</w:t>
      </w:r>
      <w:proofErr w:type="spellEnd"/>
      <w:r w:rsidRPr="002B6B0F">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Tatranského národného parku (ďalej len „TANAP“ alebo „NP“) </w:t>
      </w:r>
      <w:r w:rsidRPr="002B6B0F">
        <w:rPr>
          <w:rFonts w:ascii="Times New Roman" w:eastAsia="Times New Roman" w:hAnsi="Times New Roman" w:cs="Times New Roman"/>
          <w:sz w:val="24"/>
          <w:szCs w:val="24"/>
          <w:lang w:eastAsia="sk-SK"/>
        </w:rPr>
        <w:t xml:space="preserve">prebehlo v súlade s § 50 zákona č. 543/2002 Z. </w:t>
      </w:r>
      <w:r>
        <w:rPr>
          <w:rFonts w:ascii="Times New Roman" w:eastAsia="Times New Roman" w:hAnsi="Times New Roman" w:cs="Times New Roman"/>
          <w:sz w:val="24"/>
          <w:szCs w:val="24"/>
          <w:lang w:eastAsia="sk-SK"/>
        </w:rPr>
        <w:t xml:space="preserve">z. </w:t>
      </w:r>
      <w:r w:rsidRPr="002B6B0F">
        <w:rPr>
          <w:rFonts w:ascii="Times New Roman" w:eastAsia="Times New Roman" w:hAnsi="Times New Roman" w:cs="Times New Roman"/>
          <w:sz w:val="24"/>
          <w:szCs w:val="24"/>
          <w:lang w:eastAsia="sk-SK"/>
        </w:rPr>
        <w:t>o ochrane prírody a krajiny v znení neskorších predpisov</w:t>
      </w:r>
      <w:r>
        <w:rPr>
          <w:rFonts w:ascii="Times New Roman" w:eastAsia="Times New Roman" w:hAnsi="Times New Roman" w:cs="Times New Roman"/>
          <w:sz w:val="24"/>
          <w:szCs w:val="24"/>
          <w:lang w:eastAsia="sk-SK"/>
        </w:rPr>
        <w:t xml:space="preserve"> </w:t>
      </w:r>
      <w:r w:rsidRPr="002B6B0F">
        <w:rPr>
          <w:rFonts w:ascii="Times New Roman" w:eastAsia="Times New Roman" w:hAnsi="Times New Roman" w:cs="Times New Roman"/>
          <w:sz w:val="24"/>
          <w:szCs w:val="24"/>
          <w:lang w:eastAsia="sk-SK"/>
        </w:rPr>
        <w:t>formou viacerých stretnutí so zástupcami dotknutých subjektov. V rám</w:t>
      </w:r>
      <w:r w:rsidR="00331844">
        <w:rPr>
          <w:rFonts w:ascii="Times New Roman" w:eastAsia="Times New Roman" w:hAnsi="Times New Roman" w:cs="Times New Roman"/>
          <w:sz w:val="24"/>
          <w:szCs w:val="24"/>
          <w:lang w:eastAsia="sk-SK"/>
        </w:rPr>
        <w:t xml:space="preserve">ci celého procesu sa uskutočnili </w:t>
      </w:r>
      <w:r w:rsidRPr="002B6B0F">
        <w:rPr>
          <w:rFonts w:ascii="Times New Roman" w:eastAsia="Times New Roman" w:hAnsi="Times New Roman" w:cs="Times New Roman"/>
          <w:sz w:val="24"/>
          <w:szCs w:val="24"/>
          <w:lang w:eastAsia="sk-SK"/>
        </w:rPr>
        <w:t>rokovan</w:t>
      </w:r>
      <w:r w:rsidR="00331844">
        <w:rPr>
          <w:rFonts w:ascii="Times New Roman" w:eastAsia="Times New Roman" w:hAnsi="Times New Roman" w:cs="Times New Roman"/>
          <w:sz w:val="24"/>
          <w:szCs w:val="24"/>
          <w:lang w:eastAsia="sk-SK"/>
        </w:rPr>
        <w:t xml:space="preserve">ia so </w:t>
      </w:r>
      <w:r w:rsidR="00331844" w:rsidRPr="002B6B0F">
        <w:rPr>
          <w:rFonts w:ascii="Times New Roman" w:eastAsia="Times New Roman" w:hAnsi="Times New Roman" w:cs="Times New Roman"/>
          <w:sz w:val="24"/>
          <w:szCs w:val="24"/>
          <w:lang w:eastAsia="sk-SK"/>
        </w:rPr>
        <w:t>zástupc</w:t>
      </w:r>
      <w:r w:rsidR="00331844">
        <w:rPr>
          <w:rFonts w:ascii="Times New Roman" w:eastAsia="Times New Roman" w:hAnsi="Times New Roman" w:cs="Times New Roman"/>
          <w:sz w:val="24"/>
          <w:szCs w:val="24"/>
          <w:lang w:eastAsia="sk-SK"/>
        </w:rPr>
        <w:t>ami</w:t>
      </w:r>
      <w:r w:rsidR="00331844" w:rsidRPr="002B6B0F">
        <w:rPr>
          <w:rFonts w:ascii="Times New Roman" w:eastAsia="Times New Roman" w:hAnsi="Times New Roman" w:cs="Times New Roman"/>
          <w:sz w:val="24"/>
          <w:szCs w:val="24"/>
          <w:lang w:eastAsia="sk-SK"/>
        </w:rPr>
        <w:t xml:space="preserve"> vlastníkov, obcí a ď</w:t>
      </w:r>
      <w:r w:rsidR="00331844">
        <w:rPr>
          <w:rFonts w:ascii="Times New Roman" w:eastAsia="Times New Roman" w:hAnsi="Times New Roman" w:cs="Times New Roman"/>
          <w:sz w:val="24"/>
          <w:szCs w:val="24"/>
          <w:lang w:eastAsia="sk-SK"/>
        </w:rPr>
        <w:t>alších relevantných organizácií,</w:t>
      </w:r>
      <w:r w:rsidR="00331844" w:rsidRPr="002B6B0F">
        <w:rPr>
          <w:rFonts w:ascii="Times New Roman" w:eastAsia="Times New Roman" w:hAnsi="Times New Roman" w:cs="Times New Roman"/>
          <w:sz w:val="24"/>
          <w:szCs w:val="24"/>
          <w:lang w:eastAsia="sk-SK"/>
        </w:rPr>
        <w:t xml:space="preserve"> </w:t>
      </w:r>
      <w:r w:rsidR="00331844">
        <w:rPr>
          <w:rFonts w:ascii="Times New Roman" w:eastAsia="Times New Roman" w:hAnsi="Times New Roman" w:cs="Times New Roman"/>
          <w:sz w:val="24"/>
          <w:szCs w:val="24"/>
          <w:lang w:eastAsia="sk-SK"/>
        </w:rPr>
        <w:t>o</w:t>
      </w:r>
      <w:r w:rsidR="00331844" w:rsidRPr="002B6B0F">
        <w:rPr>
          <w:rFonts w:ascii="Times New Roman" w:eastAsia="Times New Roman" w:hAnsi="Times New Roman" w:cs="Times New Roman"/>
          <w:sz w:val="24"/>
          <w:szCs w:val="24"/>
          <w:lang w:eastAsia="sk-SK"/>
        </w:rPr>
        <w:t>rganizovan</w:t>
      </w:r>
      <w:r w:rsidR="00331844">
        <w:rPr>
          <w:rFonts w:ascii="Times New Roman" w:eastAsia="Times New Roman" w:hAnsi="Times New Roman" w:cs="Times New Roman"/>
          <w:sz w:val="24"/>
          <w:szCs w:val="24"/>
          <w:lang w:eastAsia="sk-SK"/>
        </w:rPr>
        <w:t>é</w:t>
      </w:r>
      <w:r w:rsidR="00331844" w:rsidRPr="002B6B0F">
        <w:rPr>
          <w:rFonts w:ascii="Times New Roman" w:eastAsia="Times New Roman" w:hAnsi="Times New Roman" w:cs="Times New Roman"/>
          <w:sz w:val="24"/>
          <w:szCs w:val="24"/>
          <w:lang w:eastAsia="sk-SK"/>
        </w:rPr>
        <w:t xml:space="preserve"> </w:t>
      </w:r>
      <w:r w:rsidRPr="002B6B0F">
        <w:rPr>
          <w:rFonts w:ascii="Times New Roman" w:eastAsia="Times New Roman" w:hAnsi="Times New Roman" w:cs="Times New Roman"/>
          <w:sz w:val="24"/>
          <w:szCs w:val="24"/>
          <w:lang w:eastAsia="sk-SK"/>
        </w:rPr>
        <w:t xml:space="preserve">Okresným úradom </w:t>
      </w:r>
      <w:r>
        <w:rPr>
          <w:rFonts w:ascii="Times New Roman" w:eastAsia="Times New Roman" w:hAnsi="Times New Roman" w:cs="Times New Roman"/>
          <w:sz w:val="24"/>
          <w:szCs w:val="24"/>
          <w:lang w:eastAsia="sk-SK"/>
        </w:rPr>
        <w:t>Prešov</w:t>
      </w:r>
      <w:r w:rsidR="00331844">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 xml:space="preserve"> </w:t>
      </w:r>
      <w:r w:rsidRPr="002B6B0F">
        <w:rPr>
          <w:rFonts w:ascii="Times New Roman" w:eastAsia="Times New Roman" w:hAnsi="Times New Roman" w:cs="Times New Roman"/>
          <w:sz w:val="24"/>
          <w:szCs w:val="24"/>
          <w:lang w:eastAsia="sk-SK"/>
        </w:rPr>
        <w:t xml:space="preserve">Správa </w:t>
      </w:r>
      <w:r>
        <w:rPr>
          <w:rFonts w:ascii="Times New Roman" w:eastAsia="Times New Roman" w:hAnsi="Times New Roman" w:cs="Times New Roman"/>
          <w:sz w:val="24"/>
          <w:szCs w:val="24"/>
          <w:lang w:eastAsia="sk-SK"/>
        </w:rPr>
        <w:t xml:space="preserve">Tatranského národného parku </w:t>
      </w:r>
      <w:r w:rsidRPr="002B6B0F">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so sídlom v Tatranskej Lomnici (ďalej len „Správa TANAP-u“) </w:t>
      </w:r>
      <w:r w:rsidRPr="002B6B0F">
        <w:rPr>
          <w:rFonts w:ascii="Times New Roman" w:eastAsia="Times New Roman" w:hAnsi="Times New Roman" w:cs="Times New Roman"/>
          <w:sz w:val="24"/>
          <w:szCs w:val="24"/>
          <w:lang w:eastAsia="sk-SK"/>
        </w:rPr>
        <w:t xml:space="preserve">zrealizovala </w:t>
      </w:r>
      <w:r w:rsidR="00331844">
        <w:rPr>
          <w:rFonts w:ascii="Times New Roman" w:eastAsia="Times New Roman" w:hAnsi="Times New Roman" w:cs="Times New Roman"/>
          <w:sz w:val="24"/>
          <w:szCs w:val="24"/>
          <w:lang w:eastAsia="sk-SK"/>
        </w:rPr>
        <w:t>aj</w:t>
      </w:r>
      <w:r w:rsidRPr="002B6B0F">
        <w:rPr>
          <w:rFonts w:ascii="Times New Roman" w:eastAsia="Times New Roman" w:hAnsi="Times New Roman" w:cs="Times New Roman"/>
          <w:sz w:val="24"/>
          <w:szCs w:val="24"/>
          <w:lang w:eastAsia="sk-SK"/>
        </w:rPr>
        <w:t xml:space="preserve"> samostatn</w:t>
      </w:r>
      <w:r w:rsidR="00331844">
        <w:rPr>
          <w:rFonts w:ascii="Times New Roman" w:eastAsia="Times New Roman" w:hAnsi="Times New Roman" w:cs="Times New Roman"/>
          <w:sz w:val="24"/>
          <w:szCs w:val="24"/>
          <w:lang w:eastAsia="sk-SK"/>
        </w:rPr>
        <w:t>é</w:t>
      </w:r>
      <w:r w:rsidRPr="002B6B0F">
        <w:rPr>
          <w:rFonts w:ascii="Times New Roman" w:eastAsia="Times New Roman" w:hAnsi="Times New Roman" w:cs="Times New Roman"/>
          <w:sz w:val="24"/>
          <w:szCs w:val="24"/>
          <w:lang w:eastAsia="sk-SK"/>
        </w:rPr>
        <w:t xml:space="preserve"> pracovn</w:t>
      </w:r>
      <w:r w:rsidR="00331844">
        <w:rPr>
          <w:rFonts w:ascii="Times New Roman" w:eastAsia="Times New Roman" w:hAnsi="Times New Roman" w:cs="Times New Roman"/>
          <w:sz w:val="24"/>
          <w:szCs w:val="24"/>
          <w:lang w:eastAsia="sk-SK"/>
        </w:rPr>
        <w:t>é</w:t>
      </w:r>
      <w:r w:rsidRPr="002B6B0F">
        <w:rPr>
          <w:rFonts w:ascii="Times New Roman" w:eastAsia="Times New Roman" w:hAnsi="Times New Roman" w:cs="Times New Roman"/>
          <w:sz w:val="24"/>
          <w:szCs w:val="24"/>
          <w:lang w:eastAsia="sk-SK"/>
        </w:rPr>
        <w:t xml:space="preserve"> stretnut</w:t>
      </w:r>
      <w:r w:rsidR="00331844">
        <w:rPr>
          <w:rFonts w:ascii="Times New Roman" w:eastAsia="Times New Roman" w:hAnsi="Times New Roman" w:cs="Times New Roman"/>
          <w:sz w:val="24"/>
          <w:szCs w:val="24"/>
          <w:lang w:eastAsia="sk-SK"/>
        </w:rPr>
        <w:t>ia</w:t>
      </w:r>
      <w:r w:rsidRPr="002B6B0F">
        <w:rPr>
          <w:rFonts w:ascii="Times New Roman" w:eastAsia="Times New Roman" w:hAnsi="Times New Roman" w:cs="Times New Roman"/>
          <w:sz w:val="24"/>
          <w:szCs w:val="24"/>
          <w:lang w:eastAsia="sk-SK"/>
        </w:rPr>
        <w:t xml:space="preserve"> s jednotlivými obcami a pozemkovými spoločenstvami, počas ktorých sa podrobne diskutovali pripomienky a návrhy riešení v konkrétnych katastrálnych územiach.</w:t>
      </w:r>
    </w:p>
    <w:p w14:paraId="50CA9962" w14:textId="77777777" w:rsidR="00F90570" w:rsidRPr="002B6B0F" w:rsidRDefault="00F90570" w:rsidP="00F90570">
      <w:pPr>
        <w:spacing w:before="100" w:beforeAutospacing="1" w:after="100" w:afterAutospacing="1" w:line="240" w:lineRule="auto"/>
        <w:jc w:val="both"/>
        <w:rPr>
          <w:rFonts w:ascii="Times New Roman" w:eastAsia="Times New Roman" w:hAnsi="Times New Roman" w:cs="Times New Roman"/>
          <w:sz w:val="24"/>
          <w:szCs w:val="24"/>
          <w:lang w:eastAsia="sk-SK"/>
        </w:rPr>
      </w:pPr>
      <w:r w:rsidRPr="002B6B0F">
        <w:rPr>
          <w:rFonts w:ascii="Times New Roman" w:eastAsia="Times New Roman" w:hAnsi="Times New Roman" w:cs="Times New Roman"/>
          <w:sz w:val="24"/>
          <w:szCs w:val="24"/>
          <w:lang w:eastAsia="sk-SK"/>
        </w:rPr>
        <w:t>Súčasťou procesu bolo aj viacero neformálnych konzultácií a pracovných rokovaní, na ktorých sa priebežne vyhodnocovali návrhy a odborné podklad</w:t>
      </w:r>
      <w:r>
        <w:rPr>
          <w:rFonts w:ascii="Times New Roman" w:eastAsia="Times New Roman" w:hAnsi="Times New Roman" w:cs="Times New Roman"/>
          <w:sz w:val="24"/>
          <w:szCs w:val="24"/>
          <w:lang w:eastAsia="sk-SK"/>
        </w:rPr>
        <w:t>y vrátane máp a výpočtov náhrad</w:t>
      </w:r>
      <w:r w:rsidRPr="002B6B0F">
        <w:rPr>
          <w:rFonts w:ascii="Times New Roman" w:eastAsia="Times New Roman" w:hAnsi="Times New Roman" w:cs="Times New Roman"/>
          <w:sz w:val="24"/>
          <w:szCs w:val="24"/>
          <w:lang w:eastAsia="sk-SK"/>
        </w:rPr>
        <w:t>.</w:t>
      </w:r>
    </w:p>
    <w:p w14:paraId="076B28C9" w14:textId="5365383A" w:rsidR="00054C41" w:rsidRPr="00410FF5" w:rsidRDefault="00F90570" w:rsidP="00410FF5">
      <w:pPr>
        <w:spacing w:before="100" w:beforeAutospacing="1" w:after="100" w:afterAutospacing="1" w:line="240" w:lineRule="auto"/>
        <w:jc w:val="both"/>
        <w:rPr>
          <w:rFonts w:ascii="Times New Roman" w:eastAsia="Calibri" w:hAnsi="Times New Roman" w:cs="Times New Roman"/>
          <w:sz w:val="24"/>
          <w:szCs w:val="24"/>
        </w:rPr>
      </w:pPr>
      <w:r w:rsidRPr="002B6B0F">
        <w:rPr>
          <w:rFonts w:ascii="Times New Roman" w:eastAsia="Times New Roman" w:hAnsi="Times New Roman" w:cs="Times New Roman"/>
          <w:sz w:val="24"/>
          <w:szCs w:val="24"/>
          <w:lang w:eastAsia="sk-SK"/>
        </w:rPr>
        <w:t xml:space="preserve">Proces predrokovania </w:t>
      </w:r>
      <w:r w:rsidR="00410FF5">
        <w:rPr>
          <w:rFonts w:ascii="Times New Roman" w:eastAsia="Times New Roman" w:hAnsi="Times New Roman" w:cs="Times New Roman"/>
          <w:sz w:val="24"/>
          <w:szCs w:val="24"/>
          <w:lang w:eastAsia="sk-SK"/>
        </w:rPr>
        <w:t xml:space="preserve">a prerokovania </w:t>
      </w:r>
      <w:r w:rsidRPr="002B6B0F">
        <w:rPr>
          <w:rFonts w:ascii="Times New Roman" w:eastAsia="Times New Roman" w:hAnsi="Times New Roman" w:cs="Times New Roman"/>
          <w:sz w:val="24"/>
          <w:szCs w:val="24"/>
          <w:lang w:eastAsia="sk-SK"/>
        </w:rPr>
        <w:t xml:space="preserve">bol týmto ukončený. Upravený návrh </w:t>
      </w:r>
      <w:proofErr w:type="spellStart"/>
      <w:r w:rsidRPr="002B6B0F">
        <w:rPr>
          <w:rFonts w:ascii="Times New Roman" w:eastAsia="Times New Roman" w:hAnsi="Times New Roman" w:cs="Times New Roman"/>
          <w:sz w:val="24"/>
          <w:szCs w:val="24"/>
          <w:lang w:eastAsia="sk-SK"/>
        </w:rPr>
        <w:t>zonácie</w:t>
      </w:r>
      <w:proofErr w:type="spellEnd"/>
      <w:r w:rsidRPr="002B6B0F">
        <w:rPr>
          <w:rFonts w:ascii="Times New Roman" w:eastAsia="Times New Roman" w:hAnsi="Times New Roman" w:cs="Times New Roman"/>
          <w:sz w:val="24"/>
          <w:szCs w:val="24"/>
          <w:lang w:eastAsia="sk-SK"/>
        </w:rPr>
        <w:t xml:space="preserve"> bol vypracovaný </w:t>
      </w:r>
      <w:proofErr w:type="spellStart"/>
      <w:r w:rsidRPr="002B6B0F">
        <w:rPr>
          <w:rFonts w:ascii="Times New Roman" w:eastAsia="Times New Roman" w:hAnsi="Times New Roman" w:cs="Times New Roman"/>
          <w:sz w:val="24"/>
          <w:szCs w:val="24"/>
          <w:lang w:eastAsia="sk-SK"/>
        </w:rPr>
        <w:t>participatívnym</w:t>
      </w:r>
      <w:proofErr w:type="spellEnd"/>
      <w:r w:rsidRPr="002B6B0F">
        <w:rPr>
          <w:rFonts w:ascii="Times New Roman" w:eastAsia="Times New Roman" w:hAnsi="Times New Roman" w:cs="Times New Roman"/>
          <w:sz w:val="24"/>
          <w:szCs w:val="24"/>
          <w:lang w:eastAsia="sk-SK"/>
        </w:rPr>
        <w:t xml:space="preserve"> spôsobom v spolupráci s kľúčovými partnermi, pričom dôraz bol kladený na dialóg s neštátnymi vlastníkmi a dotknutými </w:t>
      </w:r>
      <w:r>
        <w:rPr>
          <w:rFonts w:ascii="Times New Roman" w:eastAsia="Times New Roman" w:hAnsi="Times New Roman" w:cs="Times New Roman"/>
          <w:sz w:val="24"/>
          <w:szCs w:val="24"/>
          <w:lang w:eastAsia="sk-SK"/>
        </w:rPr>
        <w:t>samosprávami</w:t>
      </w:r>
      <w:r w:rsidRPr="002B6B0F">
        <w:rPr>
          <w:rFonts w:ascii="Times New Roman" w:eastAsia="Times New Roman" w:hAnsi="Times New Roman" w:cs="Times New Roman"/>
          <w:sz w:val="24"/>
          <w:szCs w:val="24"/>
          <w:lang w:eastAsia="sk-SK"/>
        </w:rPr>
        <w:t>. Výstupy z rokovaní boli zapracované do finálneho návrhu tak, aby zohľadňoval národné i medzinárodné záväzky v oblasti ochrany prírody</w:t>
      </w:r>
      <w:r w:rsidR="00262B5D">
        <w:rPr>
          <w:rFonts w:ascii="Times New Roman" w:eastAsia="Times New Roman" w:hAnsi="Times New Roman" w:cs="Times New Roman"/>
          <w:sz w:val="24"/>
          <w:szCs w:val="24"/>
          <w:lang w:eastAsia="sk-SK"/>
        </w:rPr>
        <w:t xml:space="preserve"> a krajiny</w:t>
      </w:r>
      <w:r w:rsidRPr="002B6B0F">
        <w:rPr>
          <w:rFonts w:ascii="Times New Roman" w:eastAsia="Times New Roman" w:hAnsi="Times New Roman" w:cs="Times New Roman"/>
          <w:sz w:val="24"/>
          <w:szCs w:val="24"/>
          <w:lang w:eastAsia="sk-SK"/>
        </w:rPr>
        <w:t>.</w:t>
      </w:r>
    </w:p>
    <w:p w14:paraId="350854E0" w14:textId="77777777" w:rsidR="00054C41" w:rsidRPr="001F1B43" w:rsidRDefault="00054C41" w:rsidP="00054C41">
      <w:pPr>
        <w:jc w:val="both"/>
        <w:rPr>
          <w:rFonts w:ascii="Times New Roman" w:eastAsia="Calibri" w:hAnsi="Times New Roman" w:cs="Times New Roman"/>
          <w:b/>
          <w:sz w:val="24"/>
          <w:szCs w:val="24"/>
        </w:rPr>
      </w:pPr>
      <w:bookmarkStart w:id="0" w:name="_Hlk47698091"/>
      <w:r w:rsidRPr="001F1B43">
        <w:rPr>
          <w:rFonts w:ascii="Times New Roman" w:eastAsia="Calibri" w:hAnsi="Times New Roman" w:cs="Times New Roman"/>
          <w:b/>
          <w:sz w:val="24"/>
          <w:szCs w:val="24"/>
        </w:rPr>
        <w:t>3.3 Vplyvy na konkurencieschopnosť a produktivitu</w:t>
      </w:r>
    </w:p>
    <w:bookmarkEnd w:id="0"/>
    <w:p w14:paraId="1BACF583" w14:textId="77777777" w:rsidR="00054C41"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Dochádza k vytvoreniu resp. k zmene bariér na trhu? </w:t>
      </w:r>
    </w:p>
    <w:p w14:paraId="555357CA" w14:textId="77777777" w:rsidR="00410FF5" w:rsidRPr="00D01882" w:rsidRDefault="00410FF5" w:rsidP="00410FF5">
      <w:p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D01882">
        <w:rPr>
          <w:rFonts w:ascii="Times New Roman" w:eastAsia="Times New Roman" w:hAnsi="Times New Roman" w:cs="Times New Roman"/>
          <w:sz w:val="24"/>
          <w:szCs w:val="24"/>
          <w:lang w:eastAsia="sk-SK"/>
        </w:rPr>
        <w:t>Áno, pre určité podnikateľské subjekty dôjde k vzniku bariér na trhu. Nakoľko sa zvyšuje</w:t>
      </w:r>
      <w:r>
        <w:rPr>
          <w:rFonts w:ascii="Times New Roman" w:eastAsia="Times New Roman" w:hAnsi="Times New Roman" w:cs="Times New Roman"/>
          <w:sz w:val="24"/>
          <w:szCs w:val="24"/>
          <w:lang w:eastAsia="sk-SK"/>
        </w:rPr>
        <w:t xml:space="preserve"> </w:t>
      </w:r>
      <w:proofErr w:type="spellStart"/>
      <w:r w:rsidRPr="00D01882">
        <w:rPr>
          <w:rFonts w:ascii="Times New Roman" w:eastAsia="Times New Roman" w:hAnsi="Times New Roman" w:cs="Times New Roman"/>
          <w:sz w:val="24"/>
          <w:szCs w:val="24"/>
          <w:lang w:eastAsia="sk-SK"/>
        </w:rPr>
        <w:t>bezzásahová</w:t>
      </w:r>
      <w:proofErr w:type="spellEnd"/>
      <w:r w:rsidRPr="00D01882">
        <w:rPr>
          <w:rFonts w:ascii="Times New Roman" w:eastAsia="Times New Roman" w:hAnsi="Times New Roman" w:cs="Times New Roman"/>
          <w:sz w:val="24"/>
          <w:szCs w:val="24"/>
          <w:lang w:eastAsia="sk-SK"/>
        </w:rPr>
        <w:t xml:space="preserve"> zóna, podnikateľské subjekty nebudú môcť realizovať svoju podnikateľskú</w:t>
      </w:r>
      <w:r>
        <w:rPr>
          <w:rFonts w:ascii="Times New Roman" w:eastAsia="Times New Roman" w:hAnsi="Times New Roman" w:cs="Times New Roman"/>
          <w:sz w:val="24"/>
          <w:szCs w:val="24"/>
          <w:lang w:eastAsia="sk-SK"/>
        </w:rPr>
        <w:t xml:space="preserve"> </w:t>
      </w:r>
      <w:r w:rsidRPr="00D01882">
        <w:rPr>
          <w:rFonts w:ascii="Times New Roman" w:eastAsia="Times New Roman" w:hAnsi="Times New Roman" w:cs="Times New Roman"/>
          <w:sz w:val="24"/>
          <w:szCs w:val="24"/>
          <w:lang w:eastAsia="sk-SK"/>
        </w:rPr>
        <w:t>činnosť. Na druhej strane sa predpokladá rozšírenie trhových možnosti (zvýšenie návštevnosti</w:t>
      </w:r>
    </w:p>
    <w:p w14:paraId="795BB8DF" w14:textId="77777777" w:rsidR="00410FF5" w:rsidRDefault="00410FF5" w:rsidP="00410FF5">
      <w:pPr>
        <w:spacing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Tatranského národného parku </w:t>
      </w:r>
      <w:r w:rsidRPr="00D01882">
        <w:rPr>
          <w:rFonts w:ascii="Times New Roman" w:eastAsia="Times New Roman" w:hAnsi="Times New Roman" w:cs="Times New Roman"/>
          <w:sz w:val="24"/>
          <w:szCs w:val="24"/>
          <w:lang w:eastAsia="sk-SK"/>
        </w:rPr>
        <w:t>a služieb viazaných na udržateľné formy cestovného ruchu).</w:t>
      </w:r>
    </w:p>
    <w:p w14:paraId="4ED030B5" w14:textId="77777777" w:rsidR="00410FF5" w:rsidRPr="00D8247C" w:rsidRDefault="00410FF5" w:rsidP="00054C41">
      <w:pPr>
        <w:spacing w:after="0"/>
        <w:jc w:val="both"/>
        <w:rPr>
          <w:rFonts w:ascii="Times New Roman" w:eastAsia="Calibri" w:hAnsi="Times New Roman" w:cs="Times New Roman"/>
          <w:i/>
          <w:sz w:val="24"/>
          <w:szCs w:val="24"/>
        </w:rPr>
      </w:pPr>
    </w:p>
    <w:p w14:paraId="23E96699" w14:textId="77777777" w:rsidR="00054C41"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Bude sa s niektorými podnikmi alebo produktmi zaobchádzať v porovnateľnej situácii rôzne (napr. špeciálne režimy pre </w:t>
      </w:r>
      <w:proofErr w:type="spellStart"/>
      <w:r w:rsidRPr="00D8247C">
        <w:rPr>
          <w:rFonts w:ascii="Times New Roman" w:eastAsia="Calibri" w:hAnsi="Times New Roman" w:cs="Times New Roman"/>
          <w:i/>
          <w:sz w:val="24"/>
          <w:szCs w:val="24"/>
        </w:rPr>
        <w:t>mikro</w:t>
      </w:r>
      <w:proofErr w:type="spellEnd"/>
      <w:r w:rsidRPr="00D8247C">
        <w:rPr>
          <w:rFonts w:ascii="Times New Roman" w:eastAsia="Calibri" w:hAnsi="Times New Roman" w:cs="Times New Roman"/>
          <w:i/>
          <w:sz w:val="24"/>
          <w:szCs w:val="24"/>
        </w:rPr>
        <w:t xml:space="preserve">, malé a stredné podniky tzv. MSP)? </w:t>
      </w:r>
    </w:p>
    <w:p w14:paraId="4C11C310" w14:textId="77777777" w:rsidR="00410FF5" w:rsidRDefault="00410FF5" w:rsidP="00410FF5">
      <w:pPr>
        <w:spacing w:after="0"/>
        <w:jc w:val="both"/>
        <w:rPr>
          <w:rFonts w:ascii="Times New Roman" w:eastAsia="Times New Roman" w:hAnsi="Times New Roman" w:cs="Times New Roman"/>
          <w:sz w:val="24"/>
          <w:szCs w:val="24"/>
          <w:lang w:eastAsia="sk-SK"/>
        </w:rPr>
      </w:pPr>
      <w:r w:rsidRPr="00D01882">
        <w:rPr>
          <w:rFonts w:ascii="Times New Roman" w:eastAsia="Times New Roman" w:hAnsi="Times New Roman" w:cs="Times New Roman"/>
          <w:sz w:val="24"/>
          <w:szCs w:val="24"/>
          <w:lang w:eastAsia="sk-SK"/>
        </w:rPr>
        <w:t xml:space="preserve">Nepredpokladá sa rozdiel v zaobchádzaní. </w:t>
      </w:r>
    </w:p>
    <w:p w14:paraId="60752197" w14:textId="77777777" w:rsidR="00410FF5" w:rsidRPr="00D8247C" w:rsidRDefault="00410FF5" w:rsidP="00054C41">
      <w:pPr>
        <w:spacing w:after="0"/>
        <w:jc w:val="both"/>
        <w:rPr>
          <w:rFonts w:ascii="Times New Roman" w:eastAsia="Calibri" w:hAnsi="Times New Roman" w:cs="Times New Roman"/>
          <w:i/>
          <w:sz w:val="24"/>
          <w:szCs w:val="24"/>
        </w:rPr>
      </w:pPr>
    </w:p>
    <w:p w14:paraId="08968376" w14:textId="77777777" w:rsidR="00054C41"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Ovplyvňuje zmena regulácie cezhraničné investície (príliv/odliv zahraničných investícií resp. uplatnenie slovenských podnikov na zahraničných trhoch)? </w:t>
      </w:r>
    </w:p>
    <w:p w14:paraId="113E0509" w14:textId="77777777" w:rsidR="00410FF5" w:rsidRDefault="00410FF5" w:rsidP="00410FF5">
      <w:pPr>
        <w:spacing w:after="0"/>
        <w:jc w:val="both"/>
        <w:rPr>
          <w:rFonts w:ascii="Times New Roman" w:eastAsia="Times New Roman" w:hAnsi="Times New Roman" w:cs="Times New Roman"/>
          <w:sz w:val="24"/>
          <w:szCs w:val="24"/>
          <w:lang w:eastAsia="sk-SK"/>
        </w:rPr>
      </w:pPr>
      <w:r w:rsidRPr="00D01882">
        <w:rPr>
          <w:rFonts w:ascii="Times New Roman" w:eastAsia="Times New Roman" w:hAnsi="Times New Roman" w:cs="Times New Roman"/>
          <w:sz w:val="24"/>
          <w:szCs w:val="24"/>
          <w:lang w:eastAsia="sk-SK"/>
        </w:rPr>
        <w:t>Nepredpokladá sa vplyv na cezhraničné investície.</w:t>
      </w:r>
    </w:p>
    <w:p w14:paraId="1353E278" w14:textId="77777777" w:rsidR="00410FF5" w:rsidRPr="00D8247C" w:rsidRDefault="00410FF5" w:rsidP="00054C41">
      <w:pPr>
        <w:spacing w:after="0"/>
        <w:jc w:val="both"/>
        <w:rPr>
          <w:rFonts w:ascii="Times New Roman" w:eastAsia="Calibri" w:hAnsi="Times New Roman" w:cs="Times New Roman"/>
          <w:i/>
          <w:sz w:val="24"/>
          <w:szCs w:val="24"/>
        </w:rPr>
      </w:pPr>
    </w:p>
    <w:p w14:paraId="1423D1EA" w14:textId="77777777" w:rsidR="00054C41"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Ovplyvní dostupnosť základných zdrojov (financie, pracovná sila, suroviny, mechanizmy, energie atď.)? </w:t>
      </w:r>
    </w:p>
    <w:p w14:paraId="3D38B9F3" w14:textId="77777777" w:rsidR="00410FF5" w:rsidRPr="00D01882" w:rsidRDefault="00410FF5" w:rsidP="00410FF5">
      <w:pPr>
        <w:spacing w:after="0"/>
        <w:jc w:val="both"/>
        <w:rPr>
          <w:rFonts w:ascii="Times New Roman" w:eastAsia="Times New Roman" w:hAnsi="Times New Roman" w:cs="Times New Roman"/>
          <w:sz w:val="24"/>
          <w:szCs w:val="24"/>
          <w:lang w:eastAsia="sk-SK"/>
        </w:rPr>
      </w:pPr>
      <w:r w:rsidRPr="00D01882">
        <w:rPr>
          <w:rFonts w:ascii="Times New Roman" w:eastAsia="Times New Roman" w:hAnsi="Times New Roman" w:cs="Times New Roman"/>
          <w:sz w:val="24"/>
          <w:szCs w:val="24"/>
          <w:lang w:eastAsia="sk-SK"/>
        </w:rPr>
        <w:lastRenderedPageBreak/>
        <w:t xml:space="preserve">Nakoľko sa zvyšuje </w:t>
      </w:r>
      <w:proofErr w:type="spellStart"/>
      <w:r w:rsidRPr="00D01882">
        <w:rPr>
          <w:rFonts w:ascii="Times New Roman" w:eastAsia="Times New Roman" w:hAnsi="Times New Roman" w:cs="Times New Roman"/>
          <w:sz w:val="24"/>
          <w:szCs w:val="24"/>
          <w:lang w:eastAsia="sk-SK"/>
        </w:rPr>
        <w:t>bezzásahová</w:t>
      </w:r>
      <w:proofErr w:type="spellEnd"/>
      <w:r w:rsidRPr="00D01882">
        <w:rPr>
          <w:rFonts w:ascii="Times New Roman" w:eastAsia="Times New Roman" w:hAnsi="Times New Roman" w:cs="Times New Roman"/>
          <w:sz w:val="24"/>
          <w:szCs w:val="24"/>
          <w:lang w:eastAsia="sk-SK"/>
        </w:rPr>
        <w:t xml:space="preserve"> zóna, dôjde k obmedzeniu ťažby dreva, ktorú v tejto zóne nie</w:t>
      </w:r>
    </w:p>
    <w:p w14:paraId="4442851B" w14:textId="77777777" w:rsidR="00410FF5" w:rsidRPr="00D01882" w:rsidRDefault="00410FF5" w:rsidP="00410FF5">
      <w:pPr>
        <w:spacing w:after="0"/>
        <w:jc w:val="both"/>
        <w:rPr>
          <w:rFonts w:ascii="Times New Roman" w:eastAsia="Times New Roman" w:hAnsi="Times New Roman" w:cs="Times New Roman"/>
          <w:sz w:val="24"/>
          <w:szCs w:val="24"/>
          <w:lang w:eastAsia="sk-SK"/>
        </w:rPr>
      </w:pPr>
      <w:r w:rsidRPr="00D01882">
        <w:rPr>
          <w:rFonts w:ascii="Times New Roman" w:eastAsia="Times New Roman" w:hAnsi="Times New Roman" w:cs="Times New Roman"/>
          <w:sz w:val="24"/>
          <w:szCs w:val="24"/>
          <w:lang w:eastAsia="sk-SK"/>
        </w:rPr>
        <w:t>je možné realizovať.</w:t>
      </w:r>
    </w:p>
    <w:p w14:paraId="46F930E1" w14:textId="77777777" w:rsidR="00410FF5" w:rsidRDefault="00410FF5" w:rsidP="00054C41">
      <w:pPr>
        <w:spacing w:after="0"/>
        <w:jc w:val="both"/>
        <w:rPr>
          <w:rFonts w:ascii="Times New Roman" w:eastAsia="Calibri" w:hAnsi="Times New Roman" w:cs="Times New Roman"/>
          <w:i/>
          <w:sz w:val="24"/>
          <w:szCs w:val="24"/>
        </w:rPr>
      </w:pPr>
    </w:p>
    <w:p w14:paraId="60D4F9EF" w14:textId="77777777" w:rsidR="007259CB" w:rsidRDefault="007259CB" w:rsidP="00054C41">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Ovplyvňuje zmena regulácie inovácie, vedu a výskum?</w:t>
      </w:r>
    </w:p>
    <w:p w14:paraId="409ADD3B" w14:textId="321A836E" w:rsidR="00410FF5" w:rsidRDefault="00410FF5" w:rsidP="00E73CD4">
      <w:p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D01882">
        <w:rPr>
          <w:rFonts w:ascii="Times New Roman" w:eastAsia="Times New Roman" w:hAnsi="Times New Roman" w:cs="Times New Roman"/>
          <w:sz w:val="24"/>
          <w:szCs w:val="24"/>
          <w:lang w:eastAsia="sk-SK"/>
        </w:rPr>
        <w:t xml:space="preserve">Áno, rozšírenie </w:t>
      </w:r>
      <w:proofErr w:type="spellStart"/>
      <w:r w:rsidRPr="00D01882">
        <w:rPr>
          <w:rFonts w:ascii="Times New Roman" w:eastAsia="Times New Roman" w:hAnsi="Times New Roman" w:cs="Times New Roman"/>
          <w:sz w:val="24"/>
          <w:szCs w:val="24"/>
          <w:lang w:eastAsia="sk-SK"/>
        </w:rPr>
        <w:t>bezzásahovej</w:t>
      </w:r>
      <w:proofErr w:type="spellEnd"/>
      <w:r w:rsidRPr="00D01882">
        <w:rPr>
          <w:rFonts w:ascii="Times New Roman" w:eastAsia="Times New Roman" w:hAnsi="Times New Roman" w:cs="Times New Roman"/>
          <w:sz w:val="24"/>
          <w:szCs w:val="24"/>
          <w:lang w:eastAsia="sk-SK"/>
        </w:rPr>
        <w:t xml:space="preserve"> zóny </w:t>
      </w:r>
      <w:r w:rsidR="00853E02">
        <w:rPr>
          <w:rFonts w:ascii="Times New Roman" w:eastAsia="Times New Roman" w:hAnsi="Times New Roman" w:cs="Times New Roman"/>
          <w:sz w:val="24"/>
          <w:szCs w:val="24"/>
          <w:lang w:eastAsia="sk-SK"/>
        </w:rPr>
        <w:t>poskytne</w:t>
      </w:r>
      <w:r w:rsidR="00853E02" w:rsidRPr="00D01882">
        <w:rPr>
          <w:rFonts w:ascii="Times New Roman" w:eastAsia="Times New Roman" w:hAnsi="Times New Roman" w:cs="Times New Roman"/>
          <w:sz w:val="24"/>
          <w:szCs w:val="24"/>
          <w:lang w:eastAsia="sk-SK"/>
        </w:rPr>
        <w:t xml:space="preserve"> </w:t>
      </w:r>
      <w:r w:rsidRPr="00D01882">
        <w:rPr>
          <w:rFonts w:ascii="Times New Roman" w:eastAsia="Times New Roman" w:hAnsi="Times New Roman" w:cs="Times New Roman"/>
          <w:sz w:val="24"/>
          <w:szCs w:val="24"/>
          <w:lang w:eastAsia="sk-SK"/>
        </w:rPr>
        <w:t>priestor pre vedu a výskum, nakoľko bude možné</w:t>
      </w:r>
      <w:r w:rsidR="00853E02">
        <w:rPr>
          <w:rFonts w:ascii="Times New Roman" w:eastAsia="Times New Roman" w:hAnsi="Times New Roman" w:cs="Times New Roman"/>
          <w:sz w:val="24"/>
          <w:szCs w:val="24"/>
          <w:lang w:eastAsia="sk-SK"/>
        </w:rPr>
        <w:t xml:space="preserve"> m</w:t>
      </w:r>
      <w:r w:rsidRPr="00D01882">
        <w:rPr>
          <w:rFonts w:ascii="Times New Roman" w:eastAsia="Times New Roman" w:hAnsi="Times New Roman" w:cs="Times New Roman"/>
          <w:sz w:val="24"/>
          <w:szCs w:val="24"/>
          <w:lang w:eastAsia="sk-SK"/>
        </w:rPr>
        <w:t>onitorovať</w:t>
      </w:r>
      <w:r w:rsidR="00853E02">
        <w:rPr>
          <w:rFonts w:ascii="Times New Roman" w:eastAsia="Times New Roman" w:hAnsi="Times New Roman" w:cs="Times New Roman"/>
          <w:sz w:val="24"/>
          <w:szCs w:val="24"/>
          <w:lang w:eastAsia="sk-SK"/>
        </w:rPr>
        <w:t xml:space="preserve"> prirodzený vývoj biotopov.</w:t>
      </w:r>
    </w:p>
    <w:p w14:paraId="1025EED0" w14:textId="77777777" w:rsidR="00410FF5" w:rsidRDefault="00410FF5" w:rsidP="00054C41">
      <w:pPr>
        <w:spacing w:after="0"/>
        <w:jc w:val="both"/>
        <w:rPr>
          <w:rFonts w:ascii="Times New Roman" w:eastAsia="Calibri" w:hAnsi="Times New Roman" w:cs="Times New Roman"/>
          <w:i/>
          <w:sz w:val="24"/>
          <w:szCs w:val="24"/>
        </w:rPr>
      </w:pPr>
    </w:p>
    <w:p w14:paraId="1A4754E4" w14:textId="77777777" w:rsidR="00BA19B0" w:rsidRDefault="00BA19B0" w:rsidP="00054C41">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Ak bol identifikovaný </w:t>
      </w:r>
      <w:proofErr w:type="spellStart"/>
      <w:r>
        <w:rPr>
          <w:rFonts w:ascii="Times New Roman" w:eastAsia="Calibri" w:hAnsi="Times New Roman" w:cs="Times New Roman"/>
          <w:i/>
          <w:sz w:val="24"/>
          <w:szCs w:val="24"/>
        </w:rPr>
        <w:t>goldplating</w:t>
      </w:r>
      <w:proofErr w:type="spellEnd"/>
      <w:r w:rsidR="00581EB9">
        <w:rPr>
          <w:rFonts w:ascii="Times New Roman" w:eastAsia="Calibri" w:hAnsi="Times New Roman" w:cs="Times New Roman"/>
          <w:i/>
          <w:sz w:val="24"/>
          <w:szCs w:val="24"/>
        </w:rPr>
        <w:t>,</w:t>
      </w:r>
      <w:r w:rsidR="00C14655">
        <w:rPr>
          <w:rFonts w:ascii="Times New Roman" w:eastAsia="Calibri" w:hAnsi="Times New Roman" w:cs="Times New Roman"/>
          <w:i/>
          <w:sz w:val="24"/>
          <w:szCs w:val="24"/>
        </w:rPr>
        <w:t xml:space="preserve"> prispieva k zníženiu konkurencieschopnosti a produktivity?</w:t>
      </w:r>
      <w:r w:rsidR="00581EB9">
        <w:rPr>
          <w:rFonts w:ascii="Times New Roman" w:eastAsia="Calibri" w:hAnsi="Times New Roman" w:cs="Times New Roman"/>
          <w:i/>
          <w:sz w:val="24"/>
          <w:szCs w:val="24"/>
        </w:rPr>
        <w:t xml:space="preserve"> Akým spôsobom?</w:t>
      </w:r>
    </w:p>
    <w:p w14:paraId="3D907290" w14:textId="77777777" w:rsidR="00410FF5" w:rsidRPr="00D8247C" w:rsidRDefault="00410FF5" w:rsidP="00054C41">
      <w:pPr>
        <w:spacing w:after="0"/>
        <w:jc w:val="both"/>
        <w:rPr>
          <w:rFonts w:ascii="Times New Roman" w:eastAsia="Calibri" w:hAnsi="Times New Roman" w:cs="Times New Roman"/>
          <w:i/>
          <w:sz w:val="24"/>
          <w:szCs w:val="24"/>
        </w:rPr>
      </w:pPr>
    </w:p>
    <w:p w14:paraId="6987DFF1" w14:textId="77777777" w:rsidR="00054C41" w:rsidRDefault="00054C41" w:rsidP="00054C41">
      <w:pPr>
        <w:spacing w:after="0"/>
        <w:jc w:val="both"/>
        <w:rPr>
          <w:rFonts w:ascii="Times New Roman" w:eastAsia="Calibri" w:hAnsi="Times New Roman" w:cs="Times New Roman"/>
          <w:i/>
          <w:iCs/>
          <w:sz w:val="24"/>
          <w:szCs w:val="24"/>
        </w:rPr>
      </w:pPr>
      <w:r w:rsidRPr="00D8247C">
        <w:rPr>
          <w:rFonts w:ascii="Times New Roman" w:eastAsia="Calibri" w:hAnsi="Times New Roman" w:cs="Times New Roman"/>
          <w:i/>
          <w:iCs/>
          <w:sz w:val="24"/>
          <w:szCs w:val="24"/>
        </w:rPr>
        <w:t>Ako prispieva zmena regulácie k cieľu Slovenska mať najlepšie podnikateľské prostredie spomedzi susediacich krajín EÚ?</w:t>
      </w:r>
    </w:p>
    <w:p w14:paraId="1CA71464" w14:textId="77777777" w:rsidR="00410FF5" w:rsidRPr="00D01882" w:rsidRDefault="00410FF5" w:rsidP="00410FF5">
      <w:p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D01882">
        <w:rPr>
          <w:rFonts w:ascii="Times New Roman" w:eastAsia="Times New Roman" w:hAnsi="Times New Roman" w:cs="Times New Roman"/>
          <w:sz w:val="24"/>
          <w:szCs w:val="24"/>
          <w:lang w:eastAsia="sk-SK"/>
        </w:rPr>
        <w:t xml:space="preserve">Prispieva. </w:t>
      </w:r>
      <w:r>
        <w:rPr>
          <w:rFonts w:ascii="Times New Roman" w:eastAsia="Times New Roman" w:hAnsi="Times New Roman" w:cs="Times New Roman"/>
          <w:sz w:val="24"/>
          <w:szCs w:val="24"/>
          <w:lang w:eastAsia="sk-SK"/>
        </w:rPr>
        <w:t>Jedným z hlavných cieľov</w:t>
      </w:r>
      <w:r w:rsidRPr="00D01882">
        <w:rPr>
          <w:rFonts w:ascii="Times New Roman" w:eastAsia="Times New Roman" w:hAnsi="Times New Roman" w:cs="Times New Roman"/>
          <w:sz w:val="24"/>
          <w:szCs w:val="24"/>
          <w:lang w:eastAsia="sk-SK"/>
        </w:rPr>
        <w:t xml:space="preserve"> návrhu je zabezpečenie ochrany prírodných procesov a</w:t>
      </w:r>
      <w:r>
        <w:rPr>
          <w:rFonts w:ascii="Times New Roman" w:eastAsia="Times New Roman" w:hAnsi="Times New Roman" w:cs="Times New Roman"/>
          <w:sz w:val="24"/>
          <w:szCs w:val="24"/>
          <w:lang w:eastAsia="sk-SK"/>
        </w:rPr>
        <w:t> u</w:t>
      </w:r>
      <w:r w:rsidRPr="00D01882">
        <w:rPr>
          <w:rFonts w:ascii="Times New Roman" w:eastAsia="Times New Roman" w:hAnsi="Times New Roman" w:cs="Times New Roman"/>
          <w:sz w:val="24"/>
          <w:szCs w:val="24"/>
          <w:lang w:eastAsia="sk-SK"/>
        </w:rPr>
        <w:t>možnenie</w:t>
      </w:r>
      <w:r>
        <w:rPr>
          <w:rFonts w:ascii="Times New Roman" w:eastAsia="Times New Roman" w:hAnsi="Times New Roman" w:cs="Times New Roman"/>
          <w:sz w:val="24"/>
          <w:szCs w:val="24"/>
          <w:lang w:eastAsia="sk-SK"/>
        </w:rPr>
        <w:t xml:space="preserve"> </w:t>
      </w:r>
      <w:r w:rsidRPr="00D01882">
        <w:rPr>
          <w:rFonts w:ascii="Times New Roman" w:eastAsia="Times New Roman" w:hAnsi="Times New Roman" w:cs="Times New Roman"/>
          <w:sz w:val="24"/>
          <w:szCs w:val="24"/>
          <w:lang w:eastAsia="sk-SK"/>
        </w:rPr>
        <w:t>prirodzeného vývoja prírodných spoločenstiev nachádzajúcich sa na území predmetného</w:t>
      </w:r>
      <w:r>
        <w:rPr>
          <w:rFonts w:ascii="Times New Roman" w:eastAsia="Times New Roman" w:hAnsi="Times New Roman" w:cs="Times New Roman"/>
          <w:sz w:val="24"/>
          <w:szCs w:val="24"/>
          <w:lang w:eastAsia="sk-SK"/>
        </w:rPr>
        <w:t xml:space="preserve"> </w:t>
      </w:r>
      <w:r w:rsidRPr="00D01882">
        <w:rPr>
          <w:rFonts w:ascii="Times New Roman" w:eastAsia="Times New Roman" w:hAnsi="Times New Roman" w:cs="Times New Roman"/>
          <w:sz w:val="24"/>
          <w:szCs w:val="24"/>
          <w:lang w:eastAsia="sk-SK"/>
        </w:rPr>
        <w:t>chráneného územia s cieľom zabezpečiť zvýšenie záujmu o návštevu takto spravovaného</w:t>
      </w:r>
      <w:r>
        <w:rPr>
          <w:rFonts w:ascii="Times New Roman" w:eastAsia="Times New Roman" w:hAnsi="Times New Roman" w:cs="Times New Roman"/>
          <w:sz w:val="24"/>
          <w:szCs w:val="24"/>
          <w:lang w:eastAsia="sk-SK"/>
        </w:rPr>
        <w:t xml:space="preserve"> </w:t>
      </w:r>
      <w:r w:rsidRPr="00D01882">
        <w:rPr>
          <w:rFonts w:ascii="Times New Roman" w:eastAsia="Times New Roman" w:hAnsi="Times New Roman" w:cs="Times New Roman"/>
          <w:sz w:val="24"/>
          <w:szCs w:val="24"/>
          <w:lang w:eastAsia="sk-SK"/>
        </w:rPr>
        <w:t>územia, čo sa prejaví zlepšením podnikateľského prostredia v oblasti cestovného ruchu.</w:t>
      </w:r>
    </w:p>
    <w:p w14:paraId="50C61320" w14:textId="77777777" w:rsidR="00410FF5" w:rsidRPr="00D8247C" w:rsidRDefault="00410FF5" w:rsidP="00054C41">
      <w:pPr>
        <w:spacing w:after="0"/>
        <w:jc w:val="both"/>
        <w:rPr>
          <w:rFonts w:ascii="Times New Roman" w:eastAsia="Calibri" w:hAnsi="Times New Roman" w:cs="Times New Roman"/>
          <w:i/>
          <w:sz w:val="24"/>
          <w:szCs w:val="24"/>
        </w:rPr>
      </w:pPr>
    </w:p>
    <w:p w14:paraId="59D88173" w14:textId="77777777" w:rsidR="00054C41" w:rsidRPr="00D8247C" w:rsidRDefault="00054C41" w:rsidP="00054C41">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Konkurencieschopnosť:</w:t>
      </w:r>
    </w:p>
    <w:p w14:paraId="61EAF5E9"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uvedených odpovedí zaškrtnite a popíšte, či materiál konkurencieschopnosť:</w:t>
      </w:r>
    </w:p>
    <w:p w14:paraId="0DE8E362" w14:textId="77777777" w:rsidR="00054C41" w:rsidRPr="00D8247C" w:rsidRDefault="00000000" w:rsidP="00054C41">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798576880"/>
        </w:sdtPr>
        <w:sdtContent>
          <w:sdt>
            <w:sdtPr>
              <w:rPr>
                <w:rFonts w:ascii="Times New Roman" w:eastAsia="Calibri" w:hAnsi="Times New Roman" w:cs="Times New Roman"/>
                <w:i/>
                <w:sz w:val="24"/>
                <w:szCs w:val="24"/>
              </w:rPr>
              <w:id w:val="835347224"/>
            </w:sdtPr>
            <w:sdtContent>
              <w:r w:rsidR="00281953">
                <w:rPr>
                  <w:rFonts w:ascii="Times New Roman" w:eastAsia="Calibri" w:hAnsi="Times New Roman" w:cs="Times New Roman"/>
                  <w:i/>
                  <w:sz w:val="24"/>
                  <w:szCs w:val="24"/>
                </w:rPr>
                <w:t xml:space="preserve"> x </w:t>
              </w:r>
            </w:sdtContent>
          </w:sdt>
        </w:sdtContent>
      </w:sdt>
      <w:r w:rsidR="00054C41" w:rsidRPr="00D8247C">
        <w:rPr>
          <w:rFonts w:ascii="Times New Roman" w:eastAsia="Calibri" w:hAnsi="Times New Roman" w:cs="Times New Roman"/>
          <w:i/>
          <w:sz w:val="24"/>
          <w:szCs w:val="24"/>
        </w:rPr>
        <w:t xml:space="preserve">zvyšuje  </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10579887"/>
        </w:sdtPr>
        <w:sdtContent>
          <w:sdt>
            <w:sdtPr>
              <w:rPr>
                <w:rFonts w:ascii="Times New Roman" w:eastAsia="Calibri" w:hAnsi="Times New Roman" w:cs="Times New Roman"/>
                <w:i/>
                <w:sz w:val="24"/>
                <w:szCs w:val="24"/>
              </w:rPr>
              <w:id w:val="-80300261"/>
            </w:sdtPr>
            <w:sdtContent>
              <w:r w:rsidR="00F90570">
                <w:rPr>
                  <w:rFonts w:ascii="Times New Roman" w:eastAsia="Calibri" w:hAnsi="Times New Roman" w:cs="Times New Roman"/>
                  <w:i/>
                  <w:sz w:val="24"/>
                  <w:szCs w:val="24"/>
                </w:rPr>
                <w:t xml:space="preserve"> </w:t>
              </w:r>
              <w:sdt>
                <w:sdtPr>
                  <w:rPr>
                    <w:rFonts w:ascii="Times New Roman" w:eastAsia="Calibri" w:hAnsi="Times New Roman" w:cs="Times New Roman"/>
                    <w:i/>
                    <w:sz w:val="24"/>
                    <w:szCs w:val="24"/>
                  </w:rPr>
                  <w:id w:val="-1665618750"/>
                </w:sdtPr>
                <w:sdtContent>
                  <w:sdt>
                    <w:sdtPr>
                      <w:rPr>
                        <w:rFonts w:ascii="Times New Roman" w:eastAsia="Calibri" w:hAnsi="Times New Roman" w:cs="Times New Roman"/>
                        <w:i/>
                        <w:sz w:val="24"/>
                        <w:szCs w:val="24"/>
                      </w:rPr>
                      <w:id w:val="-220144512"/>
                    </w:sdtPr>
                    <w:sdtContent>
                      <w:r w:rsidR="00281953" w:rsidRPr="00D8247C">
                        <w:rPr>
                          <w:rFonts w:ascii="Segoe UI Symbol" w:eastAsia="Calibri" w:hAnsi="Segoe UI Symbol" w:cs="Segoe UI Symbol"/>
                          <w:i/>
                          <w:sz w:val="24"/>
                          <w:szCs w:val="24"/>
                        </w:rPr>
                        <w:t>☐</w:t>
                      </w:r>
                    </w:sdtContent>
                  </w:sdt>
                </w:sdtContent>
              </w:sdt>
              <w:r w:rsidR="00F90570">
                <w:rPr>
                  <w:rFonts w:ascii="Times New Roman" w:eastAsia="Calibri" w:hAnsi="Times New Roman" w:cs="Times New Roman"/>
                  <w:i/>
                  <w:sz w:val="24"/>
                  <w:szCs w:val="24"/>
                </w:rPr>
                <w:t xml:space="preserve"> </w:t>
              </w:r>
            </w:sdtContent>
          </w:sdt>
        </w:sdtContent>
      </w:sdt>
      <w:r w:rsidR="00054C41" w:rsidRPr="00D8247C">
        <w:rPr>
          <w:rFonts w:ascii="Times New Roman" w:eastAsia="Calibri" w:hAnsi="Times New Roman" w:cs="Times New Roman"/>
          <w:i/>
          <w:sz w:val="24"/>
          <w:szCs w:val="24"/>
        </w:rPr>
        <w:t xml:space="preserve"> nemení</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74604883"/>
        </w:sdtPr>
        <w:sdtContent>
          <w:r w:rsidR="00281953">
            <w:rPr>
              <w:rFonts w:ascii="Times New Roman" w:eastAsia="Calibri" w:hAnsi="Times New Roman" w:cs="Times New Roman"/>
              <w:i/>
              <w:sz w:val="24"/>
              <w:szCs w:val="24"/>
            </w:rPr>
            <w:t xml:space="preserve">x </w:t>
          </w:r>
        </w:sdtContent>
      </w:sdt>
      <w:r w:rsidR="00054C41" w:rsidRPr="00D8247C">
        <w:rPr>
          <w:rFonts w:ascii="Times New Roman" w:eastAsia="Calibri" w:hAnsi="Times New Roman" w:cs="Times New Roman"/>
          <w:i/>
          <w:sz w:val="24"/>
          <w:szCs w:val="24"/>
        </w:rPr>
        <w:t>znižuje</w:t>
      </w:r>
    </w:p>
    <w:p w14:paraId="3A67E41E" w14:textId="77777777" w:rsidR="00054C41" w:rsidRPr="00D8247C" w:rsidRDefault="00054C41" w:rsidP="00054C41">
      <w:pPr>
        <w:spacing w:after="0"/>
        <w:jc w:val="both"/>
        <w:rPr>
          <w:rFonts w:ascii="Times New Roman" w:eastAsia="Calibri" w:hAnsi="Times New Roman" w:cs="Times New Roman"/>
          <w:i/>
          <w:sz w:val="24"/>
          <w:szCs w:val="24"/>
        </w:rPr>
      </w:pPr>
    </w:p>
    <w:p w14:paraId="3EA7319C" w14:textId="77777777" w:rsidR="00054C41" w:rsidRPr="00D8247C" w:rsidRDefault="00054C41" w:rsidP="00054C41">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Produktivita:</w:t>
      </w:r>
    </w:p>
    <w:p w14:paraId="2F26F7ED"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Aký má materiál vplyv na zmenu pomeru medzi produkciou podnikov a ich nákladmi? </w:t>
      </w:r>
    </w:p>
    <w:p w14:paraId="0502192A" w14:textId="77777777" w:rsidR="00054C41" w:rsidRPr="00D8247C" w:rsidRDefault="00054C41" w:rsidP="00054C41">
      <w:pPr>
        <w:spacing w:after="0"/>
        <w:jc w:val="both"/>
        <w:rPr>
          <w:rFonts w:ascii="Times New Roman" w:eastAsia="Calibri" w:hAnsi="Times New Roman" w:cs="Times New Roman"/>
          <w:i/>
          <w:sz w:val="24"/>
          <w:szCs w:val="24"/>
        </w:rPr>
      </w:pPr>
    </w:p>
    <w:p w14:paraId="3C8C2079"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uvedenej odpovede zaškrtnite a popíšte, či materiál produktivitu:</w:t>
      </w:r>
    </w:p>
    <w:p w14:paraId="66C68EFB" w14:textId="77777777" w:rsidR="00054C41" w:rsidRPr="00D8247C" w:rsidRDefault="00000000" w:rsidP="00054C41">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1545903528"/>
        </w:sdtPr>
        <w:sdtContent>
          <w:sdt>
            <w:sdtPr>
              <w:rPr>
                <w:rFonts w:ascii="Times New Roman" w:eastAsia="Calibri" w:hAnsi="Times New Roman" w:cs="Times New Roman"/>
                <w:i/>
                <w:sz w:val="24"/>
                <w:szCs w:val="24"/>
              </w:rPr>
              <w:id w:val="825715010"/>
            </w:sdt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zvyšuje  </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353966921"/>
        </w:sdtPr>
        <w:sdtContent>
          <w:sdt>
            <w:sdtPr>
              <w:rPr>
                <w:rFonts w:ascii="Times New Roman" w:eastAsia="Calibri" w:hAnsi="Times New Roman" w:cs="Times New Roman"/>
                <w:i/>
                <w:sz w:val="24"/>
                <w:szCs w:val="24"/>
              </w:rPr>
              <w:id w:val="-1222205104"/>
            </w:sdtPr>
            <w:sdtContent>
              <w:r w:rsidR="00F90570">
                <w:rPr>
                  <w:rFonts w:ascii="Segoe UI Symbol" w:eastAsia="Calibri" w:hAnsi="Segoe UI Symbol" w:cs="Segoe UI Symbol"/>
                  <w:i/>
                  <w:sz w:val="24"/>
                  <w:szCs w:val="24"/>
                </w:rPr>
                <w:t xml:space="preserve">x </w:t>
              </w:r>
            </w:sdtContent>
          </w:sdt>
        </w:sdtContent>
      </w:sdt>
      <w:r w:rsidR="00054C41" w:rsidRPr="00D8247C">
        <w:rPr>
          <w:rFonts w:ascii="Times New Roman" w:eastAsia="Calibri" w:hAnsi="Times New Roman" w:cs="Times New Roman"/>
          <w:i/>
          <w:sz w:val="24"/>
          <w:szCs w:val="24"/>
        </w:rPr>
        <w:t xml:space="preserve"> nemení</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1457723544"/>
        </w:sdtPr>
        <w:sdtContent>
          <w:sdt>
            <w:sdtPr>
              <w:rPr>
                <w:rFonts w:ascii="Times New Roman" w:eastAsia="Calibri" w:hAnsi="Times New Roman" w:cs="Times New Roman"/>
                <w:i/>
                <w:sz w:val="24"/>
                <w:szCs w:val="24"/>
              </w:rPr>
              <w:id w:val="-623767955"/>
            </w:sdt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znižuje</w:t>
      </w:r>
    </w:p>
    <w:p w14:paraId="6A6828E5" w14:textId="77777777" w:rsidR="00054C41" w:rsidRPr="00D8247C" w:rsidRDefault="00054C41" w:rsidP="00054C41">
      <w:pPr>
        <w:spacing w:after="0"/>
        <w:jc w:val="both"/>
        <w:rPr>
          <w:rFonts w:ascii="Times New Roman" w:eastAsia="Calibri" w:hAnsi="Times New Roman" w:cs="Times New Roman"/>
          <w:i/>
          <w:sz w:val="24"/>
          <w:szCs w:val="24"/>
        </w:rPr>
      </w:pPr>
    </w:p>
    <w:p w14:paraId="38F5C0BE" w14:textId="77777777" w:rsidR="00054C41" w:rsidRDefault="00054C41" w:rsidP="00054C41">
      <w:pPr>
        <w:spacing w:after="0"/>
        <w:jc w:val="both"/>
        <w:rPr>
          <w:rFonts w:ascii="Times New Roman" w:eastAsia="Calibri" w:hAnsi="Times New Roman" w:cs="Times New Roman"/>
          <w:i/>
          <w:sz w:val="24"/>
          <w:szCs w:val="24"/>
        </w:rPr>
      </w:pPr>
    </w:p>
    <w:p w14:paraId="46F013E9"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 xml:space="preserve">3.4  Iné vplyvy na podnikateľské prostredie </w:t>
      </w:r>
    </w:p>
    <w:p w14:paraId="0338B827" w14:textId="77777777" w:rsidR="00FF414B" w:rsidRDefault="00FF414B" w:rsidP="00FF414B">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Ak má materiál vplyvy na PP, ktoré nemožno zaradiť do predchádzajúcich častí, či už pozitívne alebo negatívne, tu ich uveďte.  Patria sem: </w:t>
      </w:r>
    </w:p>
    <w:p w14:paraId="31FD4FDD" w14:textId="77777777"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14:paraId="5DEDA4C2" w14:textId="77777777"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regulované ceny podľa zákona č. 18/1996 Z. z. o cenách;</w:t>
      </w:r>
    </w:p>
    <w:p w14:paraId="00D67E4C" w14:textId="77777777" w:rsidR="00FF414B" w:rsidRPr="00F244DC"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iné </w:t>
      </w:r>
      <w:r w:rsidRPr="00F244DC">
        <w:rPr>
          <w:rFonts w:ascii="Times New Roman" w:eastAsia="Calibri" w:hAnsi="Times New Roman" w:cs="Times New Roman"/>
          <w:i/>
          <w:sz w:val="24"/>
          <w:szCs w:val="24"/>
        </w:rPr>
        <w:t>vplyvy, ktoré predpokladá materiál, ale nemožno ich zaradiť do častí 3.1 a 3.3.</w:t>
      </w:r>
      <w:r w:rsidR="00E214C0" w:rsidRPr="00F244DC">
        <w:rPr>
          <w:rFonts w:ascii="Times New Roman" w:eastAsia="Calibri" w:hAnsi="Times New Roman" w:cs="Times New Roman"/>
          <w:i/>
          <w:sz w:val="24"/>
          <w:szCs w:val="24"/>
        </w:rPr>
        <w:t>,</w:t>
      </w:r>
    </w:p>
    <w:p w14:paraId="3FB7D897" w14:textId="77777777" w:rsidR="00D114ED" w:rsidRPr="00F244DC" w:rsidRDefault="00D114ED" w:rsidP="00D114ED">
      <w:pPr>
        <w:pStyle w:val="Odsekzoznamu"/>
        <w:numPr>
          <w:ilvl w:val="0"/>
          <w:numId w:val="6"/>
        </w:numPr>
        <w:spacing w:after="0" w:line="254" w:lineRule="auto"/>
        <w:jc w:val="both"/>
        <w:rPr>
          <w:rFonts w:ascii="Times New Roman" w:eastAsia="Calibri" w:hAnsi="Times New Roman" w:cs="Times New Roman"/>
          <w:i/>
          <w:sz w:val="24"/>
          <w:szCs w:val="24"/>
        </w:rPr>
      </w:pPr>
      <w:r w:rsidRPr="00F244DC">
        <w:rPr>
          <w:rFonts w:ascii="Times New Roman" w:eastAsia="Calibri" w:hAnsi="Times New Roman" w:cs="Times New Roman"/>
          <w:i/>
          <w:sz w:val="24"/>
          <w:szCs w:val="24"/>
        </w:rPr>
        <w:t xml:space="preserve">iné vplyvy podľa písm. a) až c), ktoré sú </w:t>
      </w:r>
      <w:proofErr w:type="spellStart"/>
      <w:r w:rsidRPr="00F244DC">
        <w:rPr>
          <w:rFonts w:ascii="Times New Roman" w:eastAsia="Calibri" w:hAnsi="Times New Roman" w:cs="Times New Roman"/>
          <w:i/>
          <w:sz w:val="24"/>
          <w:szCs w:val="24"/>
        </w:rPr>
        <w:t>goldplatingom</w:t>
      </w:r>
      <w:proofErr w:type="spellEnd"/>
      <w:r w:rsidRPr="00F244DC">
        <w:rPr>
          <w:rFonts w:ascii="Times New Roman" w:eastAsia="Calibri" w:hAnsi="Times New Roman" w:cs="Times New Roman"/>
          <w:i/>
          <w:sz w:val="24"/>
          <w:szCs w:val="24"/>
        </w:rPr>
        <w:t>.</w:t>
      </w:r>
    </w:p>
    <w:p w14:paraId="0AFCEE6E" w14:textId="77777777" w:rsidR="00B21D1F" w:rsidRDefault="00B21D1F" w:rsidP="00054C41">
      <w:pPr>
        <w:spacing w:after="0" w:line="240" w:lineRule="auto"/>
        <w:jc w:val="center"/>
        <w:rPr>
          <w:rFonts w:ascii="Times New Roman" w:eastAsia="Times New Roman" w:hAnsi="Times New Roman" w:cs="Times New Roman"/>
          <w:b/>
          <w:sz w:val="28"/>
          <w:szCs w:val="28"/>
          <w:lang w:eastAsia="sk-SK"/>
        </w:rPr>
      </w:pPr>
    </w:p>
    <w:p w14:paraId="24539B2C" w14:textId="77777777" w:rsidR="00FF5125" w:rsidRDefault="00FF5125" w:rsidP="00FF5125">
      <w:pPr>
        <w:shd w:val="clear" w:color="auto" w:fill="FFFFFF"/>
        <w:spacing w:before="100" w:beforeAutospacing="1" w:after="0" w:line="240" w:lineRule="auto"/>
        <w:jc w:val="both"/>
        <w:rPr>
          <w:rFonts w:ascii="Times New Roman" w:eastAsia="Times New Roman" w:hAnsi="Times New Roman" w:cs="Times New Roman"/>
          <w:color w:val="222222"/>
          <w:sz w:val="24"/>
          <w:szCs w:val="24"/>
          <w:lang w:eastAsia="sk-SK"/>
        </w:rPr>
      </w:pPr>
      <w:r w:rsidRPr="00331844">
        <w:rPr>
          <w:rFonts w:ascii="Times New Roman" w:eastAsia="Times New Roman" w:hAnsi="Times New Roman" w:cs="Times New Roman"/>
          <w:color w:val="222222"/>
          <w:sz w:val="24"/>
          <w:szCs w:val="24"/>
          <w:lang w:eastAsia="sk-SK"/>
        </w:rPr>
        <w:t xml:space="preserve">Vyhlásenie </w:t>
      </w:r>
      <w:r w:rsidR="00F048A3" w:rsidRPr="00331844">
        <w:rPr>
          <w:rFonts w:ascii="Times New Roman" w:eastAsia="Times New Roman" w:hAnsi="Times New Roman" w:cs="Times New Roman"/>
          <w:color w:val="222222"/>
          <w:sz w:val="24"/>
          <w:szCs w:val="24"/>
          <w:lang w:eastAsia="sk-SK"/>
        </w:rPr>
        <w:t>T</w:t>
      </w:r>
      <w:r w:rsidR="00331844" w:rsidRPr="00331844">
        <w:rPr>
          <w:rFonts w:ascii="Times New Roman" w:eastAsia="Times New Roman" w:hAnsi="Times New Roman" w:cs="Times New Roman"/>
          <w:color w:val="222222"/>
          <w:sz w:val="24"/>
          <w:szCs w:val="24"/>
          <w:lang w:eastAsia="sk-SK"/>
        </w:rPr>
        <w:t>atranského národného parku</w:t>
      </w:r>
      <w:r w:rsidRPr="00331844">
        <w:rPr>
          <w:rFonts w:ascii="Times New Roman" w:eastAsia="Times New Roman" w:hAnsi="Times New Roman" w:cs="Times New Roman"/>
          <w:color w:val="222222"/>
          <w:sz w:val="24"/>
          <w:szCs w:val="24"/>
          <w:lang w:eastAsia="sk-SK"/>
        </w:rPr>
        <w:t>, jeho zón a ochranného pásma bude mať pozitívny</w:t>
      </w:r>
      <w:r w:rsidRPr="002F3965">
        <w:rPr>
          <w:rFonts w:ascii="Times New Roman" w:eastAsia="Times New Roman" w:hAnsi="Times New Roman" w:cs="Times New Roman"/>
          <w:color w:val="222222"/>
          <w:sz w:val="24"/>
          <w:szCs w:val="24"/>
          <w:lang w:eastAsia="sk-SK"/>
        </w:rPr>
        <w:t xml:space="preserve"> vplyv</w:t>
      </w:r>
      <w:r w:rsidRPr="000F60E2">
        <w:rPr>
          <w:rFonts w:ascii="Times New Roman" w:eastAsia="Times New Roman" w:hAnsi="Times New Roman" w:cs="Times New Roman"/>
          <w:color w:val="222222"/>
          <w:sz w:val="24"/>
          <w:szCs w:val="24"/>
          <w:lang w:eastAsia="sk-SK"/>
        </w:rPr>
        <w:t xml:space="preserve"> (zvýšenie dopytu po služb</w:t>
      </w:r>
      <w:r>
        <w:rPr>
          <w:rFonts w:ascii="Times New Roman" w:eastAsia="Times New Roman" w:hAnsi="Times New Roman" w:cs="Times New Roman"/>
          <w:color w:val="222222"/>
          <w:sz w:val="24"/>
          <w:szCs w:val="24"/>
          <w:lang w:eastAsia="sk-SK"/>
        </w:rPr>
        <w:t>ách v</w:t>
      </w:r>
      <w:r w:rsidR="00F048A3">
        <w:rPr>
          <w:rFonts w:ascii="Times New Roman" w:eastAsia="Times New Roman" w:hAnsi="Times New Roman" w:cs="Times New Roman"/>
          <w:color w:val="222222"/>
          <w:sz w:val="24"/>
          <w:szCs w:val="24"/>
          <w:lang w:eastAsia="sk-SK"/>
        </w:rPr>
        <w:t> starostlivosti o lesné a nelesné biotopy)</w:t>
      </w:r>
      <w:r>
        <w:rPr>
          <w:rFonts w:ascii="Times New Roman" w:eastAsia="Times New Roman" w:hAnsi="Times New Roman" w:cs="Times New Roman"/>
          <w:color w:val="222222"/>
          <w:sz w:val="24"/>
          <w:szCs w:val="24"/>
          <w:lang w:eastAsia="sk-SK"/>
        </w:rPr>
        <w:t xml:space="preserve"> </w:t>
      </w:r>
      <w:r w:rsidRPr="000F60E2">
        <w:rPr>
          <w:rFonts w:ascii="Times New Roman" w:eastAsia="Times New Roman" w:hAnsi="Times New Roman" w:cs="Times New Roman"/>
          <w:color w:val="222222"/>
          <w:sz w:val="24"/>
          <w:szCs w:val="24"/>
          <w:lang w:eastAsia="sk-SK"/>
        </w:rPr>
        <w:t>v dôsledku zvýšenej potreby pracovnej sily na realizáciu opa</w:t>
      </w:r>
      <w:r>
        <w:rPr>
          <w:rFonts w:ascii="Times New Roman" w:eastAsia="Times New Roman" w:hAnsi="Times New Roman" w:cs="Times New Roman"/>
          <w:color w:val="222222"/>
          <w:sz w:val="24"/>
          <w:szCs w:val="24"/>
          <w:lang w:eastAsia="sk-SK"/>
        </w:rPr>
        <w:t xml:space="preserve">trení na obnovu </w:t>
      </w:r>
      <w:r w:rsidRPr="000F60E2">
        <w:rPr>
          <w:rFonts w:ascii="Times New Roman" w:eastAsia="Times New Roman" w:hAnsi="Times New Roman" w:cs="Times New Roman"/>
          <w:color w:val="222222"/>
          <w:sz w:val="24"/>
          <w:szCs w:val="24"/>
          <w:lang w:eastAsia="sk-SK"/>
        </w:rPr>
        <w:t>prirodzeného drevinového zloženia lesných ekosystémov</w:t>
      </w:r>
      <w:r w:rsidR="00F048A3">
        <w:rPr>
          <w:rFonts w:ascii="Times New Roman" w:eastAsia="Times New Roman" w:hAnsi="Times New Roman" w:cs="Times New Roman"/>
          <w:color w:val="222222"/>
          <w:sz w:val="24"/>
          <w:szCs w:val="24"/>
          <w:lang w:eastAsia="sk-SK"/>
        </w:rPr>
        <w:t xml:space="preserve"> a realizáciu výchovných opatrení v mladých lesných porastoch, vrátane opatrení v hlucháních oblastiach.   </w:t>
      </w:r>
      <w:r w:rsidRPr="000F60E2">
        <w:rPr>
          <w:rFonts w:ascii="Times New Roman" w:eastAsia="Times New Roman" w:hAnsi="Times New Roman" w:cs="Times New Roman"/>
          <w:color w:val="222222"/>
          <w:sz w:val="24"/>
          <w:szCs w:val="24"/>
          <w:lang w:eastAsia="sk-SK"/>
        </w:rPr>
        <w:t xml:space="preserve"> </w:t>
      </w:r>
    </w:p>
    <w:p w14:paraId="3674BD14" w14:textId="77777777" w:rsidR="00FF5125" w:rsidRPr="000F60E2" w:rsidRDefault="00FF5125" w:rsidP="00FF5125">
      <w:pPr>
        <w:shd w:val="clear" w:color="auto" w:fill="FFFFFF"/>
        <w:spacing w:before="100" w:beforeAutospacing="1" w:after="0" w:line="240" w:lineRule="auto"/>
        <w:jc w:val="both"/>
        <w:rPr>
          <w:rFonts w:ascii="Times New Roman" w:eastAsia="Times New Roman" w:hAnsi="Times New Roman" w:cs="Times New Roman"/>
          <w:color w:val="222222"/>
          <w:sz w:val="24"/>
          <w:szCs w:val="24"/>
          <w:lang w:eastAsia="sk-SK"/>
        </w:rPr>
      </w:pPr>
      <w:r w:rsidRPr="000F60E2">
        <w:rPr>
          <w:rFonts w:ascii="Times New Roman" w:eastAsia="Times New Roman" w:hAnsi="Times New Roman" w:cs="Times New Roman"/>
          <w:color w:val="222222"/>
          <w:sz w:val="24"/>
          <w:szCs w:val="24"/>
          <w:lang w:eastAsia="sk-SK"/>
        </w:rPr>
        <w:lastRenderedPageBreak/>
        <w:t>V</w:t>
      </w:r>
      <w:r w:rsidR="00F048A3">
        <w:rPr>
          <w:rFonts w:ascii="Times New Roman" w:eastAsia="Times New Roman" w:hAnsi="Times New Roman" w:cs="Times New Roman"/>
          <w:color w:val="222222"/>
          <w:sz w:val="24"/>
          <w:szCs w:val="24"/>
          <w:lang w:eastAsia="sk-SK"/>
        </w:rPr>
        <w:t xml:space="preserve"> TANAP-e </w:t>
      </w:r>
      <w:r>
        <w:rPr>
          <w:rFonts w:ascii="Times New Roman" w:eastAsia="Times New Roman" w:hAnsi="Times New Roman" w:cs="Times New Roman"/>
          <w:color w:val="222222"/>
          <w:sz w:val="24"/>
          <w:szCs w:val="24"/>
          <w:lang w:eastAsia="sk-SK"/>
        </w:rPr>
        <w:t>sa</w:t>
      </w:r>
      <w:r w:rsidR="00F048A3">
        <w:rPr>
          <w:rFonts w:ascii="Times New Roman" w:eastAsia="Times New Roman" w:hAnsi="Times New Roman" w:cs="Times New Roman"/>
          <w:color w:val="222222"/>
          <w:sz w:val="24"/>
          <w:szCs w:val="24"/>
          <w:lang w:eastAsia="sk-SK"/>
        </w:rPr>
        <w:t xml:space="preserve"> v značných objemoch vykonávala </w:t>
      </w:r>
      <w:r>
        <w:rPr>
          <w:rFonts w:ascii="Times New Roman" w:eastAsia="Times New Roman" w:hAnsi="Times New Roman" w:cs="Times New Roman"/>
          <w:color w:val="222222"/>
          <w:sz w:val="24"/>
          <w:szCs w:val="24"/>
          <w:lang w:eastAsia="sk-SK"/>
        </w:rPr>
        <w:t xml:space="preserve">asanačná ťažba. </w:t>
      </w:r>
      <w:proofErr w:type="spellStart"/>
      <w:r>
        <w:rPr>
          <w:rFonts w:ascii="Times New Roman" w:eastAsia="Times New Roman" w:hAnsi="Times New Roman" w:cs="Times New Roman"/>
          <w:color w:val="222222"/>
          <w:sz w:val="24"/>
          <w:szCs w:val="24"/>
          <w:lang w:eastAsia="sk-SK"/>
        </w:rPr>
        <w:t>Zonácia</w:t>
      </w:r>
      <w:proofErr w:type="spellEnd"/>
      <w:r>
        <w:rPr>
          <w:rFonts w:ascii="Times New Roman" w:eastAsia="Times New Roman" w:hAnsi="Times New Roman" w:cs="Times New Roman"/>
          <w:color w:val="222222"/>
          <w:sz w:val="24"/>
          <w:szCs w:val="24"/>
          <w:lang w:eastAsia="sk-SK"/>
        </w:rPr>
        <w:t xml:space="preserve"> ne</w:t>
      </w:r>
      <w:r w:rsidRPr="000F60E2">
        <w:rPr>
          <w:rFonts w:ascii="Times New Roman" w:eastAsia="Times New Roman" w:hAnsi="Times New Roman" w:cs="Times New Roman"/>
          <w:color w:val="222222"/>
          <w:sz w:val="24"/>
          <w:szCs w:val="24"/>
          <w:lang w:eastAsia="sk-SK"/>
        </w:rPr>
        <w:t>ovplyvní poskytovateľov služieb v tomto sektore.</w:t>
      </w:r>
    </w:p>
    <w:p w14:paraId="378676CB" w14:textId="567E088C" w:rsidR="00FF5125" w:rsidRPr="000F60E2" w:rsidRDefault="00FF5125" w:rsidP="00FF5125">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sk-SK"/>
        </w:rPr>
      </w:pPr>
      <w:r w:rsidRPr="000F60E2">
        <w:rPr>
          <w:rFonts w:ascii="Times New Roman" w:eastAsia="Times New Roman" w:hAnsi="Times New Roman" w:cs="Times New Roman"/>
          <w:color w:val="222222"/>
          <w:sz w:val="24"/>
          <w:szCs w:val="24"/>
          <w:lang w:eastAsia="sk-SK"/>
        </w:rPr>
        <w:t xml:space="preserve">V rámci </w:t>
      </w:r>
      <w:proofErr w:type="spellStart"/>
      <w:r w:rsidRPr="000F60E2">
        <w:rPr>
          <w:rFonts w:ascii="Times New Roman" w:eastAsia="Times New Roman" w:hAnsi="Times New Roman" w:cs="Times New Roman"/>
          <w:color w:val="222222"/>
          <w:sz w:val="24"/>
          <w:szCs w:val="24"/>
          <w:lang w:eastAsia="sk-SK"/>
        </w:rPr>
        <w:t>pestovnej</w:t>
      </w:r>
      <w:proofErr w:type="spellEnd"/>
      <w:r w:rsidRPr="000F60E2">
        <w:rPr>
          <w:rFonts w:ascii="Times New Roman" w:eastAsia="Times New Roman" w:hAnsi="Times New Roman" w:cs="Times New Roman"/>
          <w:color w:val="222222"/>
          <w:sz w:val="24"/>
          <w:szCs w:val="24"/>
          <w:lang w:eastAsia="sk-SK"/>
        </w:rPr>
        <w:t xml:space="preserve"> činnosti je priestor pre podnikateľské subjekty pri realizácií starostlivosti o mladé lesné porasty (</w:t>
      </w:r>
      <w:proofErr w:type="spellStart"/>
      <w:r w:rsidRPr="000F60E2">
        <w:rPr>
          <w:rFonts w:ascii="Times New Roman" w:eastAsia="Times New Roman" w:hAnsi="Times New Roman" w:cs="Times New Roman"/>
          <w:color w:val="222222"/>
          <w:sz w:val="24"/>
          <w:szCs w:val="24"/>
          <w:lang w:eastAsia="sk-SK"/>
        </w:rPr>
        <w:t>prečistky</w:t>
      </w:r>
      <w:proofErr w:type="spellEnd"/>
      <w:r>
        <w:rPr>
          <w:rFonts w:ascii="Times New Roman" w:eastAsia="Times New Roman" w:hAnsi="Times New Roman" w:cs="Times New Roman"/>
          <w:color w:val="222222"/>
          <w:sz w:val="24"/>
          <w:szCs w:val="24"/>
          <w:lang w:eastAsia="sk-SK"/>
        </w:rPr>
        <w:t xml:space="preserve"> a prebierky</w:t>
      </w:r>
      <w:r w:rsidRPr="000F60E2">
        <w:rPr>
          <w:rFonts w:ascii="Times New Roman" w:eastAsia="Times New Roman" w:hAnsi="Times New Roman" w:cs="Times New Roman"/>
          <w:color w:val="222222"/>
          <w:sz w:val="24"/>
          <w:szCs w:val="24"/>
          <w:lang w:eastAsia="sk-SK"/>
        </w:rPr>
        <w:t xml:space="preserve">). </w:t>
      </w:r>
      <w:r w:rsidR="00C75363">
        <w:rPr>
          <w:rFonts w:ascii="Times New Roman" w:eastAsia="Times New Roman" w:hAnsi="Times New Roman" w:cs="Times New Roman"/>
          <w:color w:val="222222"/>
          <w:sz w:val="24"/>
          <w:szCs w:val="24"/>
          <w:lang w:eastAsia="sk-SK"/>
        </w:rPr>
        <w:t xml:space="preserve">Na úseku </w:t>
      </w:r>
      <w:r w:rsidR="006E4F92">
        <w:rPr>
          <w:rFonts w:ascii="Times New Roman" w:eastAsia="Times New Roman" w:hAnsi="Times New Roman" w:cs="Times New Roman"/>
          <w:color w:val="222222"/>
          <w:sz w:val="24"/>
          <w:szCs w:val="24"/>
          <w:lang w:eastAsia="sk-SK"/>
        </w:rPr>
        <w:t>starostlivosti</w:t>
      </w:r>
      <w:r w:rsidR="00C75363">
        <w:rPr>
          <w:rFonts w:ascii="Times New Roman" w:eastAsia="Times New Roman" w:hAnsi="Times New Roman" w:cs="Times New Roman"/>
          <w:color w:val="222222"/>
          <w:sz w:val="24"/>
          <w:szCs w:val="24"/>
          <w:lang w:eastAsia="sk-SK"/>
        </w:rPr>
        <w:t xml:space="preserve"> o</w:t>
      </w:r>
      <w:r w:rsidR="006E4F92">
        <w:rPr>
          <w:rFonts w:ascii="Times New Roman" w:eastAsia="Times New Roman" w:hAnsi="Times New Roman" w:cs="Times New Roman"/>
          <w:color w:val="222222"/>
          <w:sz w:val="24"/>
          <w:szCs w:val="24"/>
          <w:lang w:eastAsia="sk-SK"/>
        </w:rPr>
        <w:t xml:space="preserve"> </w:t>
      </w:r>
      <w:r w:rsidR="00C75363">
        <w:rPr>
          <w:rFonts w:ascii="Times New Roman" w:eastAsia="Times New Roman" w:hAnsi="Times New Roman" w:cs="Times New Roman"/>
          <w:color w:val="222222"/>
          <w:sz w:val="24"/>
          <w:szCs w:val="24"/>
          <w:lang w:eastAsia="sk-SK"/>
        </w:rPr>
        <w:t>nelesné biot</w:t>
      </w:r>
      <w:r w:rsidR="006E4F92">
        <w:rPr>
          <w:rFonts w:ascii="Times New Roman" w:eastAsia="Times New Roman" w:hAnsi="Times New Roman" w:cs="Times New Roman"/>
          <w:color w:val="222222"/>
          <w:sz w:val="24"/>
          <w:szCs w:val="24"/>
          <w:lang w:eastAsia="sk-SK"/>
        </w:rPr>
        <w:t>opy sa plánuje intenzívnejšia spolupráca s miestn</w:t>
      </w:r>
      <w:r w:rsidR="00BA0283">
        <w:rPr>
          <w:rFonts w:ascii="Times New Roman" w:eastAsia="Times New Roman" w:hAnsi="Times New Roman" w:cs="Times New Roman"/>
          <w:color w:val="222222"/>
          <w:sz w:val="24"/>
          <w:szCs w:val="24"/>
          <w:lang w:eastAsia="sk-SK"/>
        </w:rPr>
        <w:t>y</w:t>
      </w:r>
      <w:r w:rsidR="006E4F92">
        <w:rPr>
          <w:rFonts w:ascii="Times New Roman" w:eastAsia="Times New Roman" w:hAnsi="Times New Roman" w:cs="Times New Roman"/>
          <w:color w:val="222222"/>
          <w:sz w:val="24"/>
          <w:szCs w:val="24"/>
          <w:lang w:eastAsia="sk-SK"/>
        </w:rPr>
        <w:t>m</w:t>
      </w:r>
      <w:r w:rsidR="009F3F34">
        <w:rPr>
          <w:rFonts w:ascii="Times New Roman" w:eastAsia="Times New Roman" w:hAnsi="Times New Roman" w:cs="Times New Roman"/>
          <w:color w:val="222222"/>
          <w:sz w:val="24"/>
          <w:szCs w:val="24"/>
          <w:lang w:eastAsia="sk-SK"/>
        </w:rPr>
        <w:t>i</w:t>
      </w:r>
      <w:r w:rsidR="006E4F92">
        <w:rPr>
          <w:rFonts w:ascii="Times New Roman" w:eastAsia="Times New Roman" w:hAnsi="Times New Roman" w:cs="Times New Roman"/>
          <w:color w:val="222222"/>
          <w:sz w:val="24"/>
          <w:szCs w:val="24"/>
          <w:lang w:eastAsia="sk-SK"/>
        </w:rPr>
        <w:t xml:space="preserve"> drobnými farmármi. Údržba a prevádzka  turistickej infraštruktúry umožní rozšíriť podnikateľské aktivity v tejto oblasti.  </w:t>
      </w:r>
    </w:p>
    <w:p w14:paraId="3C880B02" w14:textId="4CFA2D76" w:rsidR="00FF5125" w:rsidRDefault="00FF5125" w:rsidP="00FF5125">
      <w:pPr>
        <w:shd w:val="clear" w:color="auto" w:fill="FFFFFF"/>
        <w:spacing w:before="100" w:beforeAutospacing="1" w:after="0" w:line="240" w:lineRule="auto"/>
        <w:jc w:val="both"/>
        <w:rPr>
          <w:rFonts w:ascii="Times New Roman" w:eastAsia="Times New Roman" w:hAnsi="Times New Roman" w:cs="Times New Roman"/>
          <w:color w:val="222222"/>
          <w:sz w:val="24"/>
          <w:szCs w:val="24"/>
          <w:lang w:eastAsia="sk-SK"/>
        </w:rPr>
      </w:pPr>
      <w:r w:rsidRPr="000F60E2">
        <w:rPr>
          <w:rFonts w:ascii="Times New Roman" w:eastAsia="Times New Roman" w:hAnsi="Times New Roman" w:cs="Times New Roman"/>
          <w:color w:val="222222"/>
          <w:sz w:val="24"/>
          <w:szCs w:val="24"/>
          <w:lang w:eastAsia="sk-SK"/>
        </w:rPr>
        <w:t xml:space="preserve">Po ukončení procesu delimitácie </w:t>
      </w:r>
      <w:r w:rsidR="00F048A3">
        <w:rPr>
          <w:rFonts w:ascii="Times New Roman" w:eastAsia="Times New Roman" w:hAnsi="Times New Roman" w:cs="Times New Roman"/>
          <w:color w:val="222222"/>
          <w:sz w:val="24"/>
          <w:szCs w:val="24"/>
          <w:lang w:eastAsia="sk-SK"/>
        </w:rPr>
        <w:t>sa nepatrne navýši</w:t>
      </w:r>
      <w:r w:rsidRPr="000F60E2">
        <w:rPr>
          <w:rFonts w:ascii="Times New Roman" w:eastAsia="Times New Roman" w:hAnsi="Times New Roman" w:cs="Times New Roman"/>
          <w:color w:val="222222"/>
          <w:sz w:val="24"/>
          <w:szCs w:val="24"/>
          <w:lang w:eastAsia="sk-SK"/>
        </w:rPr>
        <w:t xml:space="preserve"> výmera štátnych pozemkov pod Správou </w:t>
      </w:r>
      <w:r w:rsidR="00F048A3">
        <w:rPr>
          <w:rFonts w:ascii="Times New Roman" w:eastAsia="Times New Roman" w:hAnsi="Times New Roman" w:cs="Times New Roman"/>
          <w:color w:val="222222"/>
          <w:sz w:val="24"/>
          <w:szCs w:val="24"/>
          <w:lang w:eastAsia="sk-SK"/>
        </w:rPr>
        <w:t>TANAP-u</w:t>
      </w:r>
      <w:r w:rsidRPr="009650E4">
        <w:rPr>
          <w:rFonts w:ascii="Times New Roman" w:eastAsia="Times New Roman" w:hAnsi="Times New Roman" w:cs="Times New Roman"/>
          <w:color w:val="222222"/>
          <w:sz w:val="24"/>
          <w:szCs w:val="24"/>
          <w:lang w:eastAsia="sk-SK"/>
        </w:rPr>
        <w:t>.</w:t>
      </w:r>
      <w:r w:rsidRPr="000F60E2">
        <w:rPr>
          <w:rFonts w:ascii="Times New Roman" w:eastAsia="Times New Roman" w:hAnsi="Times New Roman" w:cs="Times New Roman"/>
          <w:color w:val="222222"/>
          <w:sz w:val="24"/>
          <w:szCs w:val="24"/>
          <w:lang w:eastAsia="sk-SK"/>
        </w:rPr>
        <w:t xml:space="preserve"> </w:t>
      </w:r>
      <w:r w:rsidRPr="00B501A9">
        <w:rPr>
          <w:rFonts w:ascii="Times New Roman" w:eastAsia="Times New Roman" w:hAnsi="Times New Roman" w:cs="Times New Roman"/>
          <w:color w:val="222222"/>
          <w:sz w:val="24"/>
          <w:szCs w:val="24"/>
          <w:lang w:eastAsia="sk-SK"/>
        </w:rPr>
        <w:t xml:space="preserve">Finančné prostriedky potrebné na mzdové výdavky </w:t>
      </w:r>
      <w:r w:rsidR="00F048A3">
        <w:rPr>
          <w:rFonts w:ascii="Times New Roman" w:eastAsia="Times New Roman" w:hAnsi="Times New Roman" w:cs="Times New Roman"/>
          <w:color w:val="222222"/>
          <w:sz w:val="24"/>
          <w:szCs w:val="24"/>
          <w:lang w:eastAsia="sk-SK"/>
        </w:rPr>
        <w:t>sa nezmenia.</w:t>
      </w:r>
    </w:p>
    <w:p w14:paraId="4A1B2D95" w14:textId="77777777" w:rsidR="006E4F92" w:rsidRDefault="006E4F92" w:rsidP="00FF5125">
      <w:pPr>
        <w:autoSpaceDE w:val="0"/>
        <w:autoSpaceDN w:val="0"/>
        <w:adjustRightInd w:val="0"/>
        <w:spacing w:after="0" w:line="240" w:lineRule="auto"/>
        <w:jc w:val="both"/>
        <w:rPr>
          <w:rFonts w:ascii="Times New Roman" w:eastAsia="Calibri" w:hAnsi="Times New Roman" w:cs="Times New Roman"/>
          <w:color w:val="000000"/>
          <w:sz w:val="24"/>
          <w:szCs w:val="24"/>
        </w:rPr>
      </w:pPr>
    </w:p>
    <w:p w14:paraId="0FB08F83" w14:textId="474A701F" w:rsidR="00FF5125" w:rsidRPr="000F60E2" w:rsidRDefault="00FF5125" w:rsidP="00FF5125">
      <w:pPr>
        <w:autoSpaceDE w:val="0"/>
        <w:autoSpaceDN w:val="0"/>
        <w:adjustRightInd w:val="0"/>
        <w:spacing w:after="0" w:line="240" w:lineRule="auto"/>
        <w:jc w:val="both"/>
        <w:rPr>
          <w:rFonts w:ascii="Times New Roman" w:eastAsia="Calibri" w:hAnsi="Times New Roman" w:cs="Times New Roman"/>
          <w:color w:val="000000"/>
          <w:sz w:val="24"/>
          <w:szCs w:val="24"/>
        </w:rPr>
      </w:pPr>
      <w:r w:rsidRPr="00331844">
        <w:rPr>
          <w:rFonts w:ascii="Times New Roman" w:eastAsia="Calibri" w:hAnsi="Times New Roman" w:cs="Times New Roman"/>
          <w:color w:val="000000"/>
          <w:sz w:val="24"/>
          <w:szCs w:val="24"/>
        </w:rPr>
        <w:t>Potenciálny negatívny vplyv z obmedzenia ťažby bude vo výraznej miere kompenzovaný</w:t>
      </w:r>
      <w:r>
        <w:rPr>
          <w:rFonts w:ascii="Times New Roman" w:eastAsia="Calibri" w:hAnsi="Times New Roman" w:cs="Times New Roman"/>
          <w:color w:val="000000"/>
          <w:sz w:val="24"/>
          <w:szCs w:val="24"/>
        </w:rPr>
        <w:t xml:space="preserve"> </w:t>
      </w:r>
      <w:r w:rsidRPr="000F60E2">
        <w:rPr>
          <w:rFonts w:ascii="Times New Roman" w:eastAsia="Calibri" w:hAnsi="Times New Roman" w:cs="Times New Roman"/>
          <w:color w:val="000000"/>
          <w:sz w:val="24"/>
          <w:szCs w:val="24"/>
        </w:rPr>
        <w:t xml:space="preserve">zvýšením hodnoty ekosystémových služieb, predovšetkým pre územie regiónu </w:t>
      </w:r>
      <w:r w:rsidR="006E4F92">
        <w:rPr>
          <w:rFonts w:ascii="Times New Roman" w:eastAsia="Calibri" w:hAnsi="Times New Roman" w:cs="Times New Roman"/>
          <w:color w:val="000000"/>
          <w:sz w:val="24"/>
          <w:szCs w:val="24"/>
        </w:rPr>
        <w:t>TANAP-u</w:t>
      </w:r>
      <w:r w:rsidRPr="000F60E2">
        <w:rPr>
          <w:rFonts w:ascii="Times New Roman" w:eastAsia="Calibri" w:hAnsi="Times New Roman" w:cs="Times New Roman"/>
          <w:color w:val="000000"/>
          <w:sz w:val="24"/>
          <w:szCs w:val="24"/>
        </w:rPr>
        <w:t xml:space="preserve">, ako aj súvisiacim rozvojom a podporou investícií v oblasti mäkkého turizmu, resp. cestovného ruchu. Z tohto hľadiska budú </w:t>
      </w:r>
      <w:proofErr w:type="spellStart"/>
      <w:r w:rsidRPr="000F60E2">
        <w:rPr>
          <w:rFonts w:ascii="Times New Roman" w:eastAsia="Calibri" w:hAnsi="Times New Roman" w:cs="Times New Roman"/>
          <w:color w:val="000000"/>
          <w:sz w:val="24"/>
          <w:szCs w:val="24"/>
        </w:rPr>
        <w:t>zonáciou</w:t>
      </w:r>
      <w:proofErr w:type="spellEnd"/>
      <w:r w:rsidRPr="000F60E2">
        <w:rPr>
          <w:rFonts w:ascii="Times New Roman" w:eastAsia="Calibri" w:hAnsi="Times New Roman" w:cs="Times New Roman"/>
          <w:color w:val="000000"/>
          <w:sz w:val="24"/>
          <w:szCs w:val="24"/>
        </w:rPr>
        <w:t xml:space="preserve"> pozitívne ovplyvnení poskytovatelia</w:t>
      </w:r>
      <w:r>
        <w:rPr>
          <w:rFonts w:ascii="Times New Roman" w:eastAsia="Calibri" w:hAnsi="Times New Roman" w:cs="Times New Roman"/>
          <w:color w:val="000000"/>
          <w:sz w:val="24"/>
          <w:szCs w:val="24"/>
        </w:rPr>
        <w:t xml:space="preserve"> </w:t>
      </w:r>
      <w:r w:rsidRPr="000F60E2">
        <w:rPr>
          <w:rFonts w:ascii="Times New Roman" w:eastAsia="Calibri" w:hAnsi="Times New Roman" w:cs="Times New Roman"/>
          <w:color w:val="000000"/>
          <w:sz w:val="24"/>
          <w:szCs w:val="24"/>
        </w:rPr>
        <w:t xml:space="preserve">služieb </w:t>
      </w:r>
      <w:r w:rsidR="00410FF5">
        <w:rPr>
          <w:rFonts w:ascii="Times New Roman" w:eastAsia="Calibri" w:hAnsi="Times New Roman" w:cs="Times New Roman"/>
          <w:color w:val="000000"/>
          <w:sz w:val="24"/>
          <w:szCs w:val="24"/>
        </w:rPr>
        <w:br/>
      </w:r>
      <w:r w:rsidRPr="000F60E2">
        <w:rPr>
          <w:rFonts w:ascii="Times New Roman" w:eastAsia="Calibri" w:hAnsi="Times New Roman" w:cs="Times New Roman"/>
          <w:color w:val="000000"/>
          <w:sz w:val="24"/>
          <w:szCs w:val="24"/>
        </w:rPr>
        <w:t>v cestovnom ruchu, hlavne prírodného cestovného ruchu, ktorý vyvolá uplatňovanie</w:t>
      </w:r>
      <w:r>
        <w:rPr>
          <w:rFonts w:ascii="Times New Roman" w:eastAsia="Calibri" w:hAnsi="Times New Roman" w:cs="Times New Roman"/>
          <w:color w:val="000000"/>
          <w:sz w:val="24"/>
          <w:szCs w:val="24"/>
        </w:rPr>
        <w:t xml:space="preserve"> </w:t>
      </w:r>
      <w:r w:rsidRPr="000F60E2">
        <w:rPr>
          <w:rFonts w:ascii="Times New Roman" w:eastAsia="Calibri" w:hAnsi="Times New Roman" w:cs="Times New Roman"/>
          <w:color w:val="000000"/>
          <w:sz w:val="24"/>
          <w:szCs w:val="24"/>
        </w:rPr>
        <w:t>marketingové</w:t>
      </w:r>
      <w:r>
        <w:rPr>
          <w:rFonts w:ascii="Times New Roman" w:eastAsia="Calibri" w:hAnsi="Times New Roman" w:cs="Times New Roman"/>
          <w:color w:val="000000"/>
          <w:sz w:val="24"/>
          <w:szCs w:val="24"/>
        </w:rPr>
        <w:t xml:space="preserve">ho manažmentu cestovného ruchu </w:t>
      </w:r>
      <w:r w:rsidR="006E4F92">
        <w:rPr>
          <w:rFonts w:ascii="Times New Roman" w:eastAsia="Calibri" w:hAnsi="Times New Roman" w:cs="Times New Roman"/>
          <w:color w:val="000000"/>
          <w:sz w:val="24"/>
          <w:szCs w:val="24"/>
        </w:rPr>
        <w:t>TANAP-u</w:t>
      </w:r>
      <w:r w:rsidRPr="000F60E2">
        <w:rPr>
          <w:rFonts w:ascii="Times New Roman" w:eastAsia="Calibri" w:hAnsi="Times New Roman" w:cs="Times New Roman"/>
          <w:color w:val="000000"/>
          <w:sz w:val="24"/>
          <w:szCs w:val="24"/>
        </w:rPr>
        <w:t>. Ide napríklad o</w:t>
      </w:r>
      <w:r w:rsidR="006E4F92">
        <w:rPr>
          <w:rFonts w:ascii="Times New Roman" w:eastAsia="Calibri" w:hAnsi="Times New Roman" w:cs="Times New Roman"/>
          <w:color w:val="000000"/>
          <w:sz w:val="24"/>
          <w:szCs w:val="24"/>
        </w:rPr>
        <w:t> športovú činnosť</w:t>
      </w:r>
      <w:r w:rsidR="00330C40">
        <w:rPr>
          <w:rFonts w:ascii="Times New Roman" w:eastAsia="Calibri" w:hAnsi="Times New Roman" w:cs="Times New Roman"/>
          <w:color w:val="000000"/>
          <w:sz w:val="24"/>
          <w:szCs w:val="24"/>
        </w:rPr>
        <w:t>,</w:t>
      </w:r>
      <w:r w:rsidR="006E4F92">
        <w:rPr>
          <w:rFonts w:ascii="Times New Roman" w:eastAsia="Calibri" w:hAnsi="Times New Roman" w:cs="Times New Roman"/>
          <w:color w:val="000000"/>
          <w:sz w:val="24"/>
          <w:szCs w:val="24"/>
        </w:rPr>
        <w:t xml:space="preserve"> a</w:t>
      </w:r>
      <w:r w:rsidR="00331844">
        <w:rPr>
          <w:rFonts w:ascii="Times New Roman" w:eastAsia="Calibri" w:hAnsi="Times New Roman" w:cs="Times New Roman"/>
          <w:color w:val="000000"/>
          <w:sz w:val="24"/>
          <w:szCs w:val="24"/>
        </w:rPr>
        <w:t>ko</w:t>
      </w:r>
      <w:r w:rsidR="006E4F92">
        <w:rPr>
          <w:rFonts w:ascii="Times New Roman" w:eastAsia="Calibri" w:hAnsi="Times New Roman" w:cs="Times New Roman"/>
          <w:color w:val="000000"/>
          <w:sz w:val="24"/>
          <w:szCs w:val="24"/>
        </w:rPr>
        <w:t xml:space="preserve"> je </w:t>
      </w:r>
      <w:r w:rsidRPr="000F60E2">
        <w:rPr>
          <w:rFonts w:ascii="Times New Roman" w:eastAsia="Calibri" w:hAnsi="Times New Roman" w:cs="Times New Roman"/>
          <w:color w:val="000000"/>
          <w:sz w:val="24"/>
          <w:szCs w:val="24"/>
        </w:rPr>
        <w:t>turistik</w:t>
      </w:r>
      <w:r w:rsidR="006E4F92">
        <w:rPr>
          <w:rFonts w:ascii="Times New Roman" w:eastAsia="Calibri" w:hAnsi="Times New Roman" w:cs="Times New Roman"/>
          <w:color w:val="000000"/>
          <w:sz w:val="24"/>
          <w:szCs w:val="24"/>
        </w:rPr>
        <w:t>a, horolezectvo</w:t>
      </w:r>
      <w:r w:rsidRPr="000F60E2">
        <w:rPr>
          <w:rFonts w:ascii="Times New Roman" w:eastAsia="Calibri" w:hAnsi="Times New Roman" w:cs="Times New Roman"/>
          <w:color w:val="000000"/>
          <w:sz w:val="24"/>
          <w:szCs w:val="24"/>
        </w:rPr>
        <w:t xml:space="preserve"> a cykloturistiku, pre ktoré má región už teraz vynikajúce podmienky a ktoré je žiad</w:t>
      </w:r>
      <w:r>
        <w:rPr>
          <w:rFonts w:ascii="Times New Roman" w:eastAsia="Calibri" w:hAnsi="Times New Roman" w:cs="Times New Roman"/>
          <w:color w:val="000000"/>
          <w:sz w:val="24"/>
          <w:szCs w:val="24"/>
        </w:rPr>
        <w:t>ú</w:t>
      </w:r>
      <w:r w:rsidRPr="000F60E2">
        <w:rPr>
          <w:rFonts w:ascii="Times New Roman" w:eastAsia="Calibri" w:hAnsi="Times New Roman" w:cs="Times New Roman"/>
          <w:color w:val="000000"/>
          <w:sz w:val="24"/>
          <w:szCs w:val="24"/>
        </w:rPr>
        <w:t>ce rozširovať (</w:t>
      </w:r>
      <w:r>
        <w:rPr>
          <w:rFonts w:ascii="Times New Roman" w:eastAsia="Calibri" w:hAnsi="Times New Roman" w:cs="Times New Roman"/>
          <w:color w:val="000000"/>
          <w:sz w:val="24"/>
          <w:szCs w:val="24"/>
        </w:rPr>
        <w:t xml:space="preserve">predovšetkým v ochrannom pásme). </w:t>
      </w:r>
      <w:r w:rsidRPr="000F60E2">
        <w:rPr>
          <w:rFonts w:ascii="Times New Roman" w:eastAsia="Calibri" w:hAnsi="Times New Roman" w:cs="Times New Roman"/>
          <w:color w:val="000000"/>
          <w:sz w:val="24"/>
          <w:szCs w:val="24"/>
        </w:rPr>
        <w:t>Atraktívne prostredie obohatené veľkým historickým a kultúrnym potenciálom krajiny</w:t>
      </w:r>
      <w:r>
        <w:rPr>
          <w:rFonts w:ascii="Times New Roman" w:eastAsia="Calibri" w:hAnsi="Times New Roman" w:cs="Times New Roman"/>
          <w:color w:val="000000"/>
          <w:sz w:val="24"/>
          <w:szCs w:val="24"/>
        </w:rPr>
        <w:t xml:space="preserve"> s podporou tradičného spôsobu obhospodarovania lúk a</w:t>
      </w:r>
      <w:r w:rsidR="00374256">
        <w:rPr>
          <w:rFonts w:ascii="Times New Roman" w:eastAsia="Calibri" w:hAnsi="Times New Roman" w:cs="Times New Roman"/>
          <w:color w:val="000000"/>
          <w:sz w:val="24"/>
          <w:szCs w:val="24"/>
        </w:rPr>
        <w:t> </w:t>
      </w:r>
      <w:r>
        <w:rPr>
          <w:rFonts w:ascii="Times New Roman" w:eastAsia="Calibri" w:hAnsi="Times New Roman" w:cs="Times New Roman"/>
          <w:color w:val="000000"/>
          <w:sz w:val="24"/>
          <w:szCs w:val="24"/>
        </w:rPr>
        <w:t>pasienkov</w:t>
      </w:r>
      <w:r w:rsidR="00374256">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ako aj</w:t>
      </w:r>
      <w:r w:rsidRPr="000F60E2">
        <w:rPr>
          <w:rFonts w:ascii="Times New Roman" w:eastAsia="Calibri" w:hAnsi="Times New Roman" w:cs="Times New Roman"/>
          <w:color w:val="000000"/>
          <w:sz w:val="24"/>
          <w:szCs w:val="24"/>
        </w:rPr>
        <w:t xml:space="preserve"> s bohatou ponukou voľnočasových programov </w:t>
      </w:r>
      <w:r>
        <w:rPr>
          <w:rFonts w:ascii="Times New Roman" w:eastAsia="Calibri" w:hAnsi="Times New Roman" w:cs="Times New Roman"/>
          <w:color w:val="000000"/>
          <w:sz w:val="24"/>
          <w:szCs w:val="24"/>
        </w:rPr>
        <w:t xml:space="preserve">a kultúrnych podujatí </w:t>
      </w:r>
      <w:r w:rsidRPr="000F60E2">
        <w:rPr>
          <w:rFonts w:ascii="Times New Roman" w:eastAsia="Calibri" w:hAnsi="Times New Roman" w:cs="Times New Roman"/>
          <w:color w:val="000000"/>
          <w:sz w:val="24"/>
          <w:szCs w:val="24"/>
        </w:rPr>
        <w:t xml:space="preserve">zvýši dopyt po ubytovaní, lokálnych službách a produktoch. </w:t>
      </w:r>
    </w:p>
    <w:p w14:paraId="037E5B07" w14:textId="77777777" w:rsidR="00FF5125" w:rsidRPr="000F60E2" w:rsidRDefault="00FF5125" w:rsidP="00FF5125">
      <w:pPr>
        <w:autoSpaceDE w:val="0"/>
        <w:autoSpaceDN w:val="0"/>
        <w:adjustRightInd w:val="0"/>
        <w:spacing w:after="0" w:line="240" w:lineRule="auto"/>
        <w:jc w:val="both"/>
        <w:rPr>
          <w:rFonts w:ascii="Times New Roman" w:eastAsia="Calibri" w:hAnsi="Times New Roman" w:cs="Times New Roman"/>
          <w:color w:val="000000"/>
          <w:sz w:val="24"/>
          <w:szCs w:val="24"/>
        </w:rPr>
      </w:pPr>
    </w:p>
    <w:p w14:paraId="2176C521" w14:textId="77777777" w:rsidR="00142154" w:rsidRDefault="00142154"/>
    <w:p w14:paraId="6475558F" w14:textId="77777777" w:rsidR="00945576" w:rsidRDefault="00945576"/>
    <w:sectPr w:rsidR="00945576" w:rsidSect="00231B8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8DDF2" w14:textId="77777777" w:rsidR="004A71AF" w:rsidRDefault="004A71AF" w:rsidP="00054C41">
      <w:pPr>
        <w:spacing w:after="0" w:line="240" w:lineRule="auto"/>
      </w:pPr>
      <w:r>
        <w:separator/>
      </w:r>
    </w:p>
  </w:endnote>
  <w:endnote w:type="continuationSeparator" w:id="0">
    <w:p w14:paraId="611F9E17" w14:textId="77777777" w:rsidR="004A71AF" w:rsidRDefault="004A71AF" w:rsidP="00054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6035099"/>
      <w:docPartObj>
        <w:docPartGallery w:val="Page Numbers (Bottom of Page)"/>
        <w:docPartUnique/>
      </w:docPartObj>
    </w:sdtPr>
    <w:sdtEndPr>
      <w:rPr>
        <w:rFonts w:ascii="Times New Roman" w:hAnsi="Times New Roman" w:cs="Times New Roman"/>
        <w:sz w:val="24"/>
        <w:szCs w:val="24"/>
      </w:rPr>
    </w:sdtEndPr>
    <w:sdtContent>
      <w:p w14:paraId="3E95DD25" w14:textId="532D7122" w:rsidR="00410FF5" w:rsidRPr="006045CB" w:rsidRDefault="00410FF5" w:rsidP="00054C41">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BE5204">
          <w:rPr>
            <w:rFonts w:ascii="Times New Roman" w:hAnsi="Times New Roman" w:cs="Times New Roman"/>
            <w:noProof/>
            <w:sz w:val="24"/>
            <w:szCs w:val="24"/>
          </w:rPr>
          <w:t>1</w:t>
        </w:r>
        <w:r w:rsidRPr="006045CB">
          <w:rPr>
            <w:rFonts w:ascii="Times New Roman" w:hAnsi="Times New Roman" w:cs="Times New Roman"/>
            <w:sz w:val="24"/>
            <w:szCs w:val="24"/>
          </w:rPr>
          <w:fldChar w:fldCharType="end"/>
        </w:r>
      </w:p>
    </w:sdtContent>
  </w:sdt>
  <w:p w14:paraId="1651B687" w14:textId="77777777" w:rsidR="00410FF5" w:rsidRPr="00FF7125" w:rsidRDefault="00410FF5" w:rsidP="00054C41">
    <w:pPr>
      <w:pStyle w:val="Pta"/>
      <w:rPr>
        <w:sz w:val="24"/>
        <w:szCs w:val="24"/>
      </w:rPr>
    </w:pPr>
  </w:p>
  <w:p w14:paraId="57D4039A" w14:textId="77777777" w:rsidR="00410FF5" w:rsidRDefault="00410FF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A1EA2" w14:textId="77777777" w:rsidR="004A71AF" w:rsidRDefault="004A71AF" w:rsidP="00054C41">
      <w:pPr>
        <w:spacing w:after="0" w:line="240" w:lineRule="auto"/>
      </w:pPr>
      <w:r>
        <w:separator/>
      </w:r>
    </w:p>
  </w:footnote>
  <w:footnote w:type="continuationSeparator" w:id="0">
    <w:p w14:paraId="6EF6BABC" w14:textId="77777777" w:rsidR="004A71AF" w:rsidRDefault="004A71AF" w:rsidP="00054C41">
      <w:pPr>
        <w:spacing w:after="0" w:line="240" w:lineRule="auto"/>
      </w:pPr>
      <w:r>
        <w:continuationSeparator/>
      </w:r>
    </w:p>
  </w:footnote>
  <w:footnote w:id="1">
    <w:p w14:paraId="3C3F1A38" w14:textId="77777777" w:rsidR="00410FF5" w:rsidRPr="000A6B7F" w:rsidRDefault="00410FF5" w:rsidP="00C929AE">
      <w:pPr>
        <w:pStyle w:val="Textpoznmkypodiarou"/>
        <w:rPr>
          <w:rFonts w:ascii="Times New Roman" w:hAnsi="Times New Roman" w:cs="Times New Roman"/>
        </w:rPr>
      </w:pPr>
      <w:r>
        <w:rPr>
          <w:rStyle w:val="Odkaznapoznmkupodiarou"/>
        </w:rPr>
        <w:footnoteRef/>
      </w:r>
      <w:r>
        <w:t xml:space="preserve"> </w:t>
      </w:r>
      <w:r w:rsidRPr="000A6B7F">
        <w:rPr>
          <w:rFonts w:ascii="Times New Roman" w:hAnsi="Times New Roman" w:cs="Times New Roman"/>
        </w:rPr>
        <w:t xml:space="preserve">Definícia </w:t>
      </w:r>
      <w:proofErr w:type="spellStart"/>
      <w:r w:rsidRPr="000A6B7F">
        <w:rPr>
          <w:rFonts w:ascii="Times New Roman" w:hAnsi="Times New Roman" w:cs="Times New Roman"/>
        </w:rPr>
        <w:t>goldplatingu</w:t>
      </w:r>
      <w:proofErr w:type="spellEnd"/>
      <w:r w:rsidRPr="000A6B7F">
        <w:rPr>
          <w:rFonts w:ascii="Times New Roman" w:hAnsi="Times New Roman" w:cs="Times New Roman"/>
        </w:rPr>
        <w:t xml:space="preserve"> </w:t>
      </w:r>
      <w:r w:rsidRPr="00D114ED">
        <w:rPr>
          <w:rFonts w:ascii="Times New Roman" w:hAnsi="Times New Roman" w:cs="Times New Roman"/>
        </w:rPr>
        <w:t>je uvedená v bode 4 časti III. jednotnej metodiky.</w:t>
      </w:r>
    </w:p>
  </w:footnote>
  <w:footnote w:id="2">
    <w:p w14:paraId="5BDDAD1C" w14:textId="77777777" w:rsidR="00410FF5" w:rsidRPr="00804BC8" w:rsidRDefault="00410FF5" w:rsidP="00804BC8">
      <w:pPr>
        <w:pStyle w:val="Textpoznmkypodiarou"/>
        <w:jc w:val="both"/>
        <w:rPr>
          <w:rFonts w:ascii="Times New Roman" w:hAnsi="Times New Roman" w:cs="Times New Roman"/>
        </w:rPr>
      </w:pPr>
      <w:r w:rsidRPr="0099544D">
        <w:rPr>
          <w:rStyle w:val="Odkaznapoznmkupodiarou"/>
          <w:rFonts w:ascii="Times New Roman" w:hAnsi="Times New Roman" w:cs="Times New Roman"/>
        </w:rPr>
        <w:footnoteRef/>
      </w:r>
      <w:r w:rsidRPr="0099544D">
        <w:rPr>
          <w:rFonts w:ascii="Times New Roman" w:hAnsi="Times New Roman" w:cs="Times New Roman"/>
        </w:rPr>
        <w:t xml:space="preserve"> </w:t>
      </w:r>
      <w:r w:rsidRPr="00804BC8">
        <w:rPr>
          <w:rFonts w:ascii="Times New Roman" w:hAnsi="Times New Roman" w:cs="Times New Roman"/>
        </w:rPr>
        <w:t xml:space="preserve">Informácie sa uvádzajú  iba v prípade, ak sa predkladaným návrhom regulácie vykonáva transpozícia smernice </w:t>
      </w:r>
      <w:r w:rsidRPr="0099544D">
        <w:rPr>
          <w:rFonts w:ascii="Times New Roman" w:hAnsi="Times New Roman" w:cs="Times New Roman"/>
        </w:rPr>
        <w:t>EÚ</w:t>
      </w:r>
      <w:r w:rsidRPr="00804BC8">
        <w:rPr>
          <w:rFonts w:ascii="Times New Roman" w:hAnsi="Times New Roman" w:cs="Times New Roman"/>
        </w:rPr>
        <w:t xml:space="preserve"> a bol identifikovaný </w:t>
      </w:r>
      <w:proofErr w:type="spellStart"/>
      <w:r w:rsidRPr="00804BC8">
        <w:rPr>
          <w:rFonts w:ascii="Times New Roman" w:hAnsi="Times New Roman" w:cs="Times New Roman"/>
        </w:rPr>
        <w:t>goldplating</w:t>
      </w:r>
      <w:proofErr w:type="spellEnd"/>
      <w:r w:rsidRPr="00804BC8">
        <w:rPr>
          <w:rFonts w:ascii="Times New Roman" w:hAnsi="Times New Roman" w:cs="Times New Roman"/>
        </w:rPr>
        <w:t xml:space="preserve"> podľa tabuľky zhody alebo sa vykonáva implementácia nariadenia EÚ s </w:t>
      </w:r>
      <w:proofErr w:type="spellStart"/>
      <w:r w:rsidRPr="00804BC8">
        <w:rPr>
          <w:rFonts w:ascii="Times New Roman" w:hAnsi="Times New Roman" w:cs="Times New Roman"/>
        </w:rPr>
        <w:t>goldplatingom</w:t>
      </w:r>
      <w:proofErr w:type="spellEnd"/>
      <w:r w:rsidRPr="00804BC8">
        <w:rPr>
          <w:rFonts w:ascii="Times New Roman" w:hAnsi="Times New Roman" w:cs="Times New Roman"/>
        </w:rPr>
        <w:t>.</w:t>
      </w:r>
      <w:r>
        <w:rPr>
          <w:rFonts w:ascii="Times New Roman" w:hAnsi="Times New Roman" w:cs="Times New Roman"/>
        </w:rPr>
        <w:t xml:space="preserve"> Informácie sa uvádzajú aj v prípade</w:t>
      </w:r>
      <w:r w:rsidRPr="00CF4D09">
        <w:rPr>
          <w:rFonts w:ascii="Times New Roman" w:hAnsi="Times New Roman" w:cs="Times New Roman"/>
        </w:rPr>
        <w:t xml:space="preserve"> (ak nejde o transpozíciu smernice EÚ alebo implementáciu nariadenia EÚ)</w:t>
      </w:r>
      <w:r>
        <w:rPr>
          <w:rFonts w:ascii="Times New Roman" w:hAnsi="Times New Roman" w:cs="Times New Roman"/>
        </w:rPr>
        <w:t xml:space="preserve">, ak sa predloženým návrhom odstraňuje </w:t>
      </w:r>
      <w:proofErr w:type="spellStart"/>
      <w:r>
        <w:rPr>
          <w:rFonts w:ascii="Times New Roman" w:hAnsi="Times New Roman" w:cs="Times New Roman"/>
        </w:rPr>
        <w:t>goldplating</w:t>
      </w:r>
      <w:proofErr w:type="spellEnd"/>
      <w:r>
        <w:rPr>
          <w:rFonts w:ascii="Times New Roman" w:hAnsi="Times New Roman" w:cs="Times New Roman"/>
        </w:rPr>
        <w:t>, ktorého pôvod je v skoršom zachovaní existujúcej právnej úpravy (existujúcich vnútroštátnych požiadaviek).</w:t>
      </w:r>
    </w:p>
    <w:p w14:paraId="6246F20C" w14:textId="77777777" w:rsidR="00410FF5" w:rsidRDefault="00410FF5" w:rsidP="00512BA7">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3A059" w14:textId="77777777" w:rsidR="00410FF5" w:rsidRPr="006045CB" w:rsidRDefault="00410FF5" w:rsidP="00142154">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sidRPr="006045CB">
      <w:rPr>
        <w:rFonts w:ascii="Times New Roman" w:eastAsia="Times New Roman" w:hAnsi="Times New Roman" w:cs="Times New Roman"/>
        <w:sz w:val="24"/>
        <w:szCs w:val="24"/>
        <w:lang w:eastAsia="sk-SK"/>
      </w:rPr>
      <w:t xml:space="preserve">Príloha č. </w:t>
    </w:r>
    <w:r>
      <w:rPr>
        <w:rFonts w:ascii="Times New Roman" w:eastAsia="Times New Roman" w:hAnsi="Times New Roman" w:cs="Times New Roman"/>
        <w:sz w:val="24"/>
        <w:szCs w:val="24"/>
        <w:lang w:eastAsia="sk-SK"/>
      </w:rPr>
      <w:t>3a</w:t>
    </w:r>
  </w:p>
  <w:p w14:paraId="030B5738" w14:textId="77777777" w:rsidR="00410FF5" w:rsidRPr="006045CB" w:rsidRDefault="00410FF5" w:rsidP="0014215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A226B"/>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16B66859"/>
    <w:multiLevelType w:val="hybridMultilevel"/>
    <w:tmpl w:val="6BFACF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75E2235"/>
    <w:multiLevelType w:val="hybridMultilevel"/>
    <w:tmpl w:val="93EC2C2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1F982F49"/>
    <w:multiLevelType w:val="hybridMultilevel"/>
    <w:tmpl w:val="22E4D50E"/>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49B4294"/>
    <w:multiLevelType w:val="hybridMultilevel"/>
    <w:tmpl w:val="DB90B4D4"/>
    <w:lvl w:ilvl="0" w:tplc="A80C46B4">
      <w:start w:val="3"/>
      <w:numFmt w:val="bullet"/>
      <w:lvlText w:val="-"/>
      <w:lvlJc w:val="left"/>
      <w:pPr>
        <w:ind w:left="720" w:hanging="360"/>
      </w:pPr>
      <w:rPr>
        <w:rFonts w:ascii="Times New Roman" w:eastAsia="Calibri" w:hAnsi="Times New Roman" w:cs="Times New Roman" w:hint="default"/>
        <w:b/>
        <w:i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9F7276D"/>
    <w:multiLevelType w:val="hybridMultilevel"/>
    <w:tmpl w:val="50AE82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D21570F"/>
    <w:multiLevelType w:val="hybridMultilevel"/>
    <w:tmpl w:val="22E4D50E"/>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F252805"/>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70BB77D5"/>
    <w:multiLevelType w:val="hybridMultilevel"/>
    <w:tmpl w:val="F7CE663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736C4BD0"/>
    <w:multiLevelType w:val="hybridMultilevel"/>
    <w:tmpl w:val="5AD88732"/>
    <w:lvl w:ilvl="0" w:tplc="3E049D2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6FD0C6E"/>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145"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2125465401">
    <w:abstractNumId w:val="1"/>
  </w:num>
  <w:num w:numId="2" w16cid:durableId="1576932954">
    <w:abstractNumId w:val="9"/>
  </w:num>
  <w:num w:numId="3" w16cid:durableId="289357933">
    <w:abstractNumId w:val="10"/>
  </w:num>
  <w:num w:numId="4" w16cid:durableId="101997096">
    <w:abstractNumId w:val="8"/>
  </w:num>
  <w:num w:numId="5" w16cid:durableId="177741556">
    <w:abstractNumId w:val="6"/>
  </w:num>
  <w:num w:numId="6" w16cid:durableId="14620717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4269675">
    <w:abstractNumId w:val="10"/>
  </w:num>
  <w:num w:numId="8" w16cid:durableId="1618952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3199666">
    <w:abstractNumId w:val="7"/>
  </w:num>
  <w:num w:numId="10" w16cid:durableId="940453104">
    <w:abstractNumId w:val="3"/>
  </w:num>
  <w:num w:numId="11" w16cid:durableId="1030649760">
    <w:abstractNumId w:val="4"/>
  </w:num>
  <w:num w:numId="12" w16cid:durableId="359819262">
    <w:abstractNumId w:val="0"/>
  </w:num>
  <w:num w:numId="13" w16cid:durableId="127482405">
    <w:abstractNumId w:val="11"/>
  </w:num>
  <w:num w:numId="14" w16cid:durableId="17021678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C41"/>
    <w:rsid w:val="0002425A"/>
    <w:rsid w:val="00024EE4"/>
    <w:rsid w:val="00047C70"/>
    <w:rsid w:val="00050AAB"/>
    <w:rsid w:val="00054A53"/>
    <w:rsid w:val="00054C41"/>
    <w:rsid w:val="00060DA1"/>
    <w:rsid w:val="00061E85"/>
    <w:rsid w:val="000820E0"/>
    <w:rsid w:val="00091A43"/>
    <w:rsid w:val="0009490E"/>
    <w:rsid w:val="000A6B7F"/>
    <w:rsid w:val="000C5419"/>
    <w:rsid w:val="000C5E9A"/>
    <w:rsid w:val="000D15F0"/>
    <w:rsid w:val="000D4FE9"/>
    <w:rsid w:val="0011003B"/>
    <w:rsid w:val="001133DA"/>
    <w:rsid w:val="00126A2B"/>
    <w:rsid w:val="00142154"/>
    <w:rsid w:val="001476A4"/>
    <w:rsid w:val="00162C6C"/>
    <w:rsid w:val="0016512E"/>
    <w:rsid w:val="0018715C"/>
    <w:rsid w:val="001A1561"/>
    <w:rsid w:val="001B4C03"/>
    <w:rsid w:val="001C7B91"/>
    <w:rsid w:val="001D1083"/>
    <w:rsid w:val="001D3FA0"/>
    <w:rsid w:val="001E24E8"/>
    <w:rsid w:val="001E53CB"/>
    <w:rsid w:val="00207F43"/>
    <w:rsid w:val="002232D3"/>
    <w:rsid w:val="00225A83"/>
    <w:rsid w:val="00231B8F"/>
    <w:rsid w:val="00262B5D"/>
    <w:rsid w:val="00270EA5"/>
    <w:rsid w:val="002712B9"/>
    <w:rsid w:val="00281953"/>
    <w:rsid w:val="00284B8C"/>
    <w:rsid w:val="0029483F"/>
    <w:rsid w:val="002C2FC0"/>
    <w:rsid w:val="00302A17"/>
    <w:rsid w:val="00314D25"/>
    <w:rsid w:val="00315BE2"/>
    <w:rsid w:val="00330C40"/>
    <w:rsid w:val="00331844"/>
    <w:rsid w:val="003322EE"/>
    <w:rsid w:val="00337630"/>
    <w:rsid w:val="00340CFD"/>
    <w:rsid w:val="003413D5"/>
    <w:rsid w:val="00342621"/>
    <w:rsid w:val="00357F22"/>
    <w:rsid w:val="0036748D"/>
    <w:rsid w:val="00374256"/>
    <w:rsid w:val="00376039"/>
    <w:rsid w:val="0038255E"/>
    <w:rsid w:val="00391648"/>
    <w:rsid w:val="0039304E"/>
    <w:rsid w:val="0039334E"/>
    <w:rsid w:val="00394AD2"/>
    <w:rsid w:val="003A02AF"/>
    <w:rsid w:val="003A3124"/>
    <w:rsid w:val="003A686F"/>
    <w:rsid w:val="003E58B8"/>
    <w:rsid w:val="003F06D7"/>
    <w:rsid w:val="00400224"/>
    <w:rsid w:val="00400BA5"/>
    <w:rsid w:val="00410E62"/>
    <w:rsid w:val="00410FF5"/>
    <w:rsid w:val="00414FA7"/>
    <w:rsid w:val="00420090"/>
    <w:rsid w:val="004239D1"/>
    <w:rsid w:val="00445638"/>
    <w:rsid w:val="00446432"/>
    <w:rsid w:val="00446512"/>
    <w:rsid w:val="00466D7A"/>
    <w:rsid w:val="0048237B"/>
    <w:rsid w:val="00484D16"/>
    <w:rsid w:val="00491853"/>
    <w:rsid w:val="0049358E"/>
    <w:rsid w:val="004A14CD"/>
    <w:rsid w:val="004A2C6B"/>
    <w:rsid w:val="004A3184"/>
    <w:rsid w:val="004A71AF"/>
    <w:rsid w:val="004D20CB"/>
    <w:rsid w:val="004D65B2"/>
    <w:rsid w:val="004D681D"/>
    <w:rsid w:val="004E2324"/>
    <w:rsid w:val="004F63E6"/>
    <w:rsid w:val="005103DA"/>
    <w:rsid w:val="00511F8F"/>
    <w:rsid w:val="00512BA7"/>
    <w:rsid w:val="00515726"/>
    <w:rsid w:val="00562527"/>
    <w:rsid w:val="00562A1E"/>
    <w:rsid w:val="00563427"/>
    <w:rsid w:val="00581EB9"/>
    <w:rsid w:val="005B4E6E"/>
    <w:rsid w:val="005B56E4"/>
    <w:rsid w:val="005C795C"/>
    <w:rsid w:val="005D0E50"/>
    <w:rsid w:val="005D39D8"/>
    <w:rsid w:val="005E5FBC"/>
    <w:rsid w:val="0061097B"/>
    <w:rsid w:val="0061612F"/>
    <w:rsid w:val="006177C8"/>
    <w:rsid w:val="0062600A"/>
    <w:rsid w:val="0063777D"/>
    <w:rsid w:val="00643358"/>
    <w:rsid w:val="00646084"/>
    <w:rsid w:val="006564C3"/>
    <w:rsid w:val="006578CB"/>
    <w:rsid w:val="006A4E85"/>
    <w:rsid w:val="006A60C0"/>
    <w:rsid w:val="006A712F"/>
    <w:rsid w:val="006B5D74"/>
    <w:rsid w:val="006C25BE"/>
    <w:rsid w:val="006D7AD8"/>
    <w:rsid w:val="006E4F92"/>
    <w:rsid w:val="006F1D57"/>
    <w:rsid w:val="0070364C"/>
    <w:rsid w:val="00710EDF"/>
    <w:rsid w:val="0072221D"/>
    <w:rsid w:val="0072357C"/>
    <w:rsid w:val="007259CB"/>
    <w:rsid w:val="00726031"/>
    <w:rsid w:val="00751DA9"/>
    <w:rsid w:val="00755E69"/>
    <w:rsid w:val="007648EE"/>
    <w:rsid w:val="0077106D"/>
    <w:rsid w:val="00780ACC"/>
    <w:rsid w:val="00787A11"/>
    <w:rsid w:val="00797B40"/>
    <w:rsid w:val="007A0C9D"/>
    <w:rsid w:val="007B40FB"/>
    <w:rsid w:val="007B62AF"/>
    <w:rsid w:val="007E24B2"/>
    <w:rsid w:val="007E2DA4"/>
    <w:rsid w:val="007E6815"/>
    <w:rsid w:val="007E7632"/>
    <w:rsid w:val="007F1C84"/>
    <w:rsid w:val="007F4579"/>
    <w:rsid w:val="00801596"/>
    <w:rsid w:val="00804BC8"/>
    <w:rsid w:val="00806E23"/>
    <w:rsid w:val="00807981"/>
    <w:rsid w:val="00823F5A"/>
    <w:rsid w:val="00845D3B"/>
    <w:rsid w:val="00853E02"/>
    <w:rsid w:val="008634E9"/>
    <w:rsid w:val="008801B5"/>
    <w:rsid w:val="00880578"/>
    <w:rsid w:val="00882407"/>
    <w:rsid w:val="008920C3"/>
    <w:rsid w:val="00894052"/>
    <w:rsid w:val="008A7B87"/>
    <w:rsid w:val="008B4AA1"/>
    <w:rsid w:val="008C1C71"/>
    <w:rsid w:val="008E1AD0"/>
    <w:rsid w:val="008E315F"/>
    <w:rsid w:val="008E6B82"/>
    <w:rsid w:val="008F6ADE"/>
    <w:rsid w:val="0091269B"/>
    <w:rsid w:val="00923C0C"/>
    <w:rsid w:val="00945576"/>
    <w:rsid w:val="0095170D"/>
    <w:rsid w:val="00952CF6"/>
    <w:rsid w:val="00960413"/>
    <w:rsid w:val="00981995"/>
    <w:rsid w:val="00981C7F"/>
    <w:rsid w:val="00985515"/>
    <w:rsid w:val="00990813"/>
    <w:rsid w:val="0099544D"/>
    <w:rsid w:val="00997513"/>
    <w:rsid w:val="009A0E2C"/>
    <w:rsid w:val="009A4D56"/>
    <w:rsid w:val="009B1F04"/>
    <w:rsid w:val="009E09F7"/>
    <w:rsid w:val="009E2D5C"/>
    <w:rsid w:val="009E3E44"/>
    <w:rsid w:val="009F3F34"/>
    <w:rsid w:val="009F4175"/>
    <w:rsid w:val="009F66A4"/>
    <w:rsid w:val="009F6C80"/>
    <w:rsid w:val="00A000DA"/>
    <w:rsid w:val="00A1736E"/>
    <w:rsid w:val="00A216DF"/>
    <w:rsid w:val="00A33F2C"/>
    <w:rsid w:val="00A50EE3"/>
    <w:rsid w:val="00A570DF"/>
    <w:rsid w:val="00A83E11"/>
    <w:rsid w:val="00A94A0F"/>
    <w:rsid w:val="00AA3C6D"/>
    <w:rsid w:val="00AB57C4"/>
    <w:rsid w:val="00B10911"/>
    <w:rsid w:val="00B11CF5"/>
    <w:rsid w:val="00B209FA"/>
    <w:rsid w:val="00B21D1F"/>
    <w:rsid w:val="00B410BA"/>
    <w:rsid w:val="00B43D68"/>
    <w:rsid w:val="00B44A3A"/>
    <w:rsid w:val="00B5600C"/>
    <w:rsid w:val="00B66E33"/>
    <w:rsid w:val="00B72FB1"/>
    <w:rsid w:val="00B921EF"/>
    <w:rsid w:val="00B953DA"/>
    <w:rsid w:val="00BA0283"/>
    <w:rsid w:val="00BA19B0"/>
    <w:rsid w:val="00BB3870"/>
    <w:rsid w:val="00BB45A7"/>
    <w:rsid w:val="00BC2DE5"/>
    <w:rsid w:val="00BD0EF7"/>
    <w:rsid w:val="00BD6778"/>
    <w:rsid w:val="00BE5204"/>
    <w:rsid w:val="00C01599"/>
    <w:rsid w:val="00C048D1"/>
    <w:rsid w:val="00C05563"/>
    <w:rsid w:val="00C11132"/>
    <w:rsid w:val="00C115B9"/>
    <w:rsid w:val="00C12FDD"/>
    <w:rsid w:val="00C145AA"/>
    <w:rsid w:val="00C14655"/>
    <w:rsid w:val="00C21399"/>
    <w:rsid w:val="00C446E2"/>
    <w:rsid w:val="00C535F5"/>
    <w:rsid w:val="00C560C4"/>
    <w:rsid w:val="00C65830"/>
    <w:rsid w:val="00C6748F"/>
    <w:rsid w:val="00C74337"/>
    <w:rsid w:val="00C75363"/>
    <w:rsid w:val="00C75DC8"/>
    <w:rsid w:val="00C929AE"/>
    <w:rsid w:val="00CA4344"/>
    <w:rsid w:val="00CA6348"/>
    <w:rsid w:val="00CB1232"/>
    <w:rsid w:val="00CB17A0"/>
    <w:rsid w:val="00CC3B7D"/>
    <w:rsid w:val="00CD5AE4"/>
    <w:rsid w:val="00CD5E86"/>
    <w:rsid w:val="00CE3B21"/>
    <w:rsid w:val="00CF4D09"/>
    <w:rsid w:val="00D005F2"/>
    <w:rsid w:val="00D03A8E"/>
    <w:rsid w:val="00D114ED"/>
    <w:rsid w:val="00D3032C"/>
    <w:rsid w:val="00D31A3B"/>
    <w:rsid w:val="00D5309D"/>
    <w:rsid w:val="00D5379F"/>
    <w:rsid w:val="00D631FA"/>
    <w:rsid w:val="00D71064"/>
    <w:rsid w:val="00D811BB"/>
    <w:rsid w:val="00D82356"/>
    <w:rsid w:val="00D84EEE"/>
    <w:rsid w:val="00D90A61"/>
    <w:rsid w:val="00D946EF"/>
    <w:rsid w:val="00D95553"/>
    <w:rsid w:val="00DC355F"/>
    <w:rsid w:val="00DC3C63"/>
    <w:rsid w:val="00DD1E4C"/>
    <w:rsid w:val="00DE331A"/>
    <w:rsid w:val="00DE6ACB"/>
    <w:rsid w:val="00DF02CE"/>
    <w:rsid w:val="00DF1462"/>
    <w:rsid w:val="00E030DA"/>
    <w:rsid w:val="00E2132F"/>
    <w:rsid w:val="00E214C0"/>
    <w:rsid w:val="00E30D85"/>
    <w:rsid w:val="00E444EB"/>
    <w:rsid w:val="00E471D8"/>
    <w:rsid w:val="00E73CD4"/>
    <w:rsid w:val="00E77A69"/>
    <w:rsid w:val="00E81A42"/>
    <w:rsid w:val="00E961E8"/>
    <w:rsid w:val="00E96244"/>
    <w:rsid w:val="00E96DE0"/>
    <w:rsid w:val="00EB2BEC"/>
    <w:rsid w:val="00EB74BF"/>
    <w:rsid w:val="00EC0704"/>
    <w:rsid w:val="00EC508B"/>
    <w:rsid w:val="00ED6B5D"/>
    <w:rsid w:val="00EE4C99"/>
    <w:rsid w:val="00F048A3"/>
    <w:rsid w:val="00F153D7"/>
    <w:rsid w:val="00F1599C"/>
    <w:rsid w:val="00F2433F"/>
    <w:rsid w:val="00F244DC"/>
    <w:rsid w:val="00F378F4"/>
    <w:rsid w:val="00F47912"/>
    <w:rsid w:val="00F541B6"/>
    <w:rsid w:val="00F57702"/>
    <w:rsid w:val="00F61361"/>
    <w:rsid w:val="00F613E8"/>
    <w:rsid w:val="00F65506"/>
    <w:rsid w:val="00F74D3C"/>
    <w:rsid w:val="00F74FC9"/>
    <w:rsid w:val="00F90570"/>
    <w:rsid w:val="00F91F47"/>
    <w:rsid w:val="00FA4F36"/>
    <w:rsid w:val="00FA6FFE"/>
    <w:rsid w:val="00FC121B"/>
    <w:rsid w:val="00FD3DFB"/>
    <w:rsid w:val="00FF0272"/>
    <w:rsid w:val="00FF414B"/>
    <w:rsid w:val="00FF4B7A"/>
    <w:rsid w:val="00FF5125"/>
    <w:rsid w:val="00FF6FF5"/>
    <w:rsid w:val="00FF7E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18FF1"/>
  <w15:docId w15:val="{4971B98A-309B-41B5-937D-82CDFE46E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54C41"/>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54C4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54C41"/>
  </w:style>
  <w:style w:type="paragraph" w:styleId="Normlnywebov">
    <w:name w:val="Normal (Web)"/>
    <w:basedOn w:val="Normlny"/>
    <w:uiPriority w:val="99"/>
    <w:unhideWhenUsed/>
    <w:rsid w:val="00054C41"/>
    <w:pPr>
      <w:spacing w:after="0" w:line="240" w:lineRule="auto"/>
    </w:pPr>
    <w:rPr>
      <w:rFonts w:ascii="Times New Roman" w:eastAsia="Times New Roman" w:hAnsi="Times New Roman" w:cs="Times New Roman"/>
      <w:sz w:val="24"/>
      <w:szCs w:val="24"/>
      <w:lang w:eastAsia="sk-SK"/>
    </w:rPr>
  </w:style>
  <w:style w:type="table" w:customStyle="1" w:styleId="Mriekatabuky2">
    <w:name w:val="Mriežka tabuľky2"/>
    <w:basedOn w:val="Normlnatabuka"/>
    <w:next w:val="Mriekatabuky"/>
    <w:uiPriority w:val="5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unhideWhenUsed/>
    <w:rsid w:val="00054C41"/>
    <w:pPr>
      <w:tabs>
        <w:tab w:val="center" w:pos="4536"/>
        <w:tab w:val="right" w:pos="9072"/>
      </w:tabs>
      <w:spacing w:after="0" w:line="240" w:lineRule="auto"/>
    </w:pPr>
  </w:style>
  <w:style w:type="character" w:customStyle="1" w:styleId="PtaChar">
    <w:name w:val="Päta Char"/>
    <w:basedOn w:val="Predvolenpsmoodseku"/>
    <w:link w:val="Pta"/>
    <w:uiPriority w:val="99"/>
    <w:rsid w:val="00054C41"/>
  </w:style>
  <w:style w:type="paragraph" w:styleId="Textbubliny">
    <w:name w:val="Balloon Text"/>
    <w:basedOn w:val="Normlny"/>
    <w:link w:val="TextbublinyChar"/>
    <w:uiPriority w:val="99"/>
    <w:semiHidden/>
    <w:unhideWhenUsed/>
    <w:rsid w:val="001B4C0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B4C03"/>
    <w:rPr>
      <w:rFonts w:ascii="Segoe UI" w:hAnsi="Segoe UI" w:cs="Segoe UI"/>
      <w:sz w:val="18"/>
      <w:szCs w:val="18"/>
    </w:rPr>
  </w:style>
  <w:style w:type="character" w:styleId="Odkaznakomentr">
    <w:name w:val="annotation reference"/>
    <w:basedOn w:val="Predvolenpsmoodseku"/>
    <w:uiPriority w:val="99"/>
    <w:semiHidden/>
    <w:unhideWhenUsed/>
    <w:rsid w:val="001B4C03"/>
    <w:rPr>
      <w:sz w:val="16"/>
      <w:szCs w:val="16"/>
    </w:rPr>
  </w:style>
  <w:style w:type="paragraph" w:styleId="Textkomentra">
    <w:name w:val="annotation text"/>
    <w:basedOn w:val="Normlny"/>
    <w:link w:val="TextkomentraChar"/>
    <w:uiPriority w:val="99"/>
    <w:semiHidden/>
    <w:unhideWhenUsed/>
    <w:rsid w:val="001B4C03"/>
    <w:pPr>
      <w:spacing w:line="240" w:lineRule="auto"/>
    </w:pPr>
    <w:rPr>
      <w:sz w:val="20"/>
      <w:szCs w:val="20"/>
    </w:rPr>
  </w:style>
  <w:style w:type="character" w:customStyle="1" w:styleId="TextkomentraChar">
    <w:name w:val="Text komentára Char"/>
    <w:basedOn w:val="Predvolenpsmoodseku"/>
    <w:link w:val="Textkomentra"/>
    <w:uiPriority w:val="99"/>
    <w:semiHidden/>
    <w:rsid w:val="001B4C03"/>
    <w:rPr>
      <w:sz w:val="20"/>
      <w:szCs w:val="20"/>
    </w:rPr>
  </w:style>
  <w:style w:type="paragraph" w:styleId="Predmetkomentra">
    <w:name w:val="annotation subject"/>
    <w:basedOn w:val="Textkomentra"/>
    <w:next w:val="Textkomentra"/>
    <w:link w:val="PredmetkomentraChar"/>
    <w:uiPriority w:val="99"/>
    <w:semiHidden/>
    <w:unhideWhenUsed/>
    <w:rsid w:val="001B4C03"/>
    <w:rPr>
      <w:b/>
      <w:bCs/>
    </w:rPr>
  </w:style>
  <w:style w:type="character" w:customStyle="1" w:styleId="PredmetkomentraChar">
    <w:name w:val="Predmet komentára Char"/>
    <w:basedOn w:val="TextkomentraChar"/>
    <w:link w:val="Predmetkomentra"/>
    <w:uiPriority w:val="99"/>
    <w:semiHidden/>
    <w:rsid w:val="001B4C03"/>
    <w:rPr>
      <w:b/>
      <w:bCs/>
      <w:sz w:val="20"/>
      <w:szCs w:val="20"/>
    </w:rPr>
  </w:style>
  <w:style w:type="paragraph" w:styleId="Odsekzoznamu">
    <w:name w:val="List Paragraph"/>
    <w:basedOn w:val="Normlny"/>
    <w:uiPriority w:val="34"/>
    <w:qFormat/>
    <w:rsid w:val="00EE4C99"/>
    <w:pPr>
      <w:ind w:left="720"/>
      <w:contextualSpacing/>
    </w:pPr>
  </w:style>
  <w:style w:type="paragraph" w:customStyle="1" w:styleId="gmail-m-1648484718305530482msolistparagraph">
    <w:name w:val="gmail-m_-1648484718305530482msolistparagraph"/>
    <w:basedOn w:val="Normlny"/>
    <w:rsid w:val="00A50EE3"/>
    <w:pPr>
      <w:spacing w:before="100" w:beforeAutospacing="1" w:after="100" w:afterAutospacing="1" w:line="240" w:lineRule="auto"/>
    </w:pPr>
    <w:rPr>
      <w:rFonts w:ascii="Calibri" w:hAnsi="Calibri" w:cs="Calibri"/>
      <w:lang w:eastAsia="sk-SK"/>
    </w:rPr>
  </w:style>
  <w:style w:type="paragraph" w:styleId="Textpoznmkypodiarou">
    <w:name w:val="footnote text"/>
    <w:basedOn w:val="Normlny"/>
    <w:link w:val="TextpoznmkypodiarouChar"/>
    <w:uiPriority w:val="99"/>
    <w:semiHidden/>
    <w:unhideWhenUsed/>
    <w:rsid w:val="00C929A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929AE"/>
    <w:rPr>
      <w:sz w:val="20"/>
      <w:szCs w:val="20"/>
    </w:rPr>
  </w:style>
  <w:style w:type="character" w:styleId="Odkaznapoznmkupodiarou">
    <w:name w:val="footnote reference"/>
    <w:basedOn w:val="Predvolenpsmoodseku"/>
    <w:uiPriority w:val="99"/>
    <w:semiHidden/>
    <w:unhideWhenUsed/>
    <w:rsid w:val="00C929AE"/>
    <w:rPr>
      <w:vertAlign w:val="superscript"/>
    </w:rPr>
  </w:style>
  <w:style w:type="paragraph" w:styleId="Revzia">
    <w:name w:val="Revision"/>
    <w:hidden/>
    <w:uiPriority w:val="99"/>
    <w:semiHidden/>
    <w:rsid w:val="00DE6A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17862">
      <w:bodyDiv w:val="1"/>
      <w:marLeft w:val="0"/>
      <w:marRight w:val="0"/>
      <w:marTop w:val="0"/>
      <w:marBottom w:val="0"/>
      <w:divBdr>
        <w:top w:val="none" w:sz="0" w:space="0" w:color="auto"/>
        <w:left w:val="none" w:sz="0" w:space="0" w:color="auto"/>
        <w:bottom w:val="none" w:sz="0" w:space="0" w:color="auto"/>
        <w:right w:val="none" w:sz="0" w:space="0" w:color="auto"/>
      </w:divBdr>
    </w:div>
    <w:div w:id="348797041">
      <w:bodyDiv w:val="1"/>
      <w:marLeft w:val="0"/>
      <w:marRight w:val="0"/>
      <w:marTop w:val="0"/>
      <w:marBottom w:val="0"/>
      <w:divBdr>
        <w:top w:val="none" w:sz="0" w:space="0" w:color="auto"/>
        <w:left w:val="none" w:sz="0" w:space="0" w:color="auto"/>
        <w:bottom w:val="none" w:sz="0" w:space="0" w:color="auto"/>
        <w:right w:val="none" w:sz="0" w:space="0" w:color="auto"/>
      </w:divBdr>
    </w:div>
    <w:div w:id="627048967">
      <w:bodyDiv w:val="1"/>
      <w:marLeft w:val="0"/>
      <w:marRight w:val="0"/>
      <w:marTop w:val="0"/>
      <w:marBottom w:val="0"/>
      <w:divBdr>
        <w:top w:val="none" w:sz="0" w:space="0" w:color="auto"/>
        <w:left w:val="none" w:sz="0" w:space="0" w:color="auto"/>
        <w:bottom w:val="none" w:sz="0" w:space="0" w:color="auto"/>
        <w:right w:val="none" w:sz="0" w:space="0" w:color="auto"/>
      </w:divBdr>
    </w:div>
    <w:div w:id="747580039">
      <w:bodyDiv w:val="1"/>
      <w:marLeft w:val="0"/>
      <w:marRight w:val="0"/>
      <w:marTop w:val="0"/>
      <w:marBottom w:val="0"/>
      <w:divBdr>
        <w:top w:val="none" w:sz="0" w:space="0" w:color="auto"/>
        <w:left w:val="none" w:sz="0" w:space="0" w:color="auto"/>
        <w:bottom w:val="none" w:sz="0" w:space="0" w:color="auto"/>
        <w:right w:val="none" w:sz="0" w:space="0" w:color="auto"/>
      </w:divBdr>
    </w:div>
    <w:div w:id="897276704">
      <w:bodyDiv w:val="1"/>
      <w:marLeft w:val="0"/>
      <w:marRight w:val="0"/>
      <w:marTop w:val="0"/>
      <w:marBottom w:val="0"/>
      <w:divBdr>
        <w:top w:val="none" w:sz="0" w:space="0" w:color="auto"/>
        <w:left w:val="none" w:sz="0" w:space="0" w:color="auto"/>
        <w:bottom w:val="none" w:sz="0" w:space="0" w:color="auto"/>
        <w:right w:val="none" w:sz="0" w:space="0" w:color="auto"/>
      </w:divBdr>
    </w:div>
    <w:div w:id="1098526378">
      <w:bodyDiv w:val="1"/>
      <w:marLeft w:val="0"/>
      <w:marRight w:val="0"/>
      <w:marTop w:val="0"/>
      <w:marBottom w:val="0"/>
      <w:divBdr>
        <w:top w:val="none" w:sz="0" w:space="0" w:color="auto"/>
        <w:left w:val="none" w:sz="0" w:space="0" w:color="auto"/>
        <w:bottom w:val="none" w:sz="0" w:space="0" w:color="auto"/>
        <w:right w:val="none" w:sz="0" w:space="0" w:color="auto"/>
      </w:divBdr>
    </w:div>
    <w:div w:id="1142238006">
      <w:bodyDiv w:val="1"/>
      <w:marLeft w:val="0"/>
      <w:marRight w:val="0"/>
      <w:marTop w:val="0"/>
      <w:marBottom w:val="0"/>
      <w:divBdr>
        <w:top w:val="none" w:sz="0" w:space="0" w:color="auto"/>
        <w:left w:val="none" w:sz="0" w:space="0" w:color="auto"/>
        <w:bottom w:val="none" w:sz="0" w:space="0" w:color="auto"/>
        <w:right w:val="none" w:sz="0" w:space="0" w:color="auto"/>
      </w:divBdr>
    </w:div>
    <w:div w:id="1336617123">
      <w:bodyDiv w:val="1"/>
      <w:marLeft w:val="0"/>
      <w:marRight w:val="0"/>
      <w:marTop w:val="0"/>
      <w:marBottom w:val="0"/>
      <w:divBdr>
        <w:top w:val="none" w:sz="0" w:space="0" w:color="auto"/>
        <w:left w:val="none" w:sz="0" w:space="0" w:color="auto"/>
        <w:bottom w:val="none" w:sz="0" w:space="0" w:color="auto"/>
        <w:right w:val="none" w:sz="0" w:space="0" w:color="auto"/>
      </w:divBdr>
    </w:div>
    <w:div w:id="1640454007">
      <w:bodyDiv w:val="1"/>
      <w:marLeft w:val="0"/>
      <w:marRight w:val="0"/>
      <w:marTop w:val="0"/>
      <w:marBottom w:val="0"/>
      <w:divBdr>
        <w:top w:val="none" w:sz="0" w:space="0" w:color="auto"/>
        <w:left w:val="none" w:sz="0" w:space="0" w:color="auto"/>
        <w:bottom w:val="none" w:sz="0" w:space="0" w:color="auto"/>
        <w:right w:val="none" w:sz="0" w:space="0" w:color="auto"/>
      </w:divBdr>
    </w:div>
    <w:div w:id="209285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mhsr.sk/podnikatelske-prostredie/lepsia-regulacia/regulacne-zatazenie/kalkulacka-nakladov-regulacie" TargetMode="External"/><Relationship Id="rId17"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fields xmlns:f="http://schemas.fabasoft.com/folio/2007/fields">
  <f:record ref="">
    <f:field ref="objname" par="" edit="true" text="Priloha-3a-AVnaPP-do-MPK"/>
    <f:field ref="objsubject" par="" edit="true" text=""/>
    <f:field ref="objcreatedby" par="" text="Pavlíková, Katarína, Mgr."/>
    <f:field ref="objcreatedat" par="" text="10.11.2022 9:46:51"/>
    <f:field ref="objchangedby" par="" text="Administrator, System"/>
    <f:field ref="objmodifiedat" par="" text="10.11.2022 9:46:5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5.xml><?xml version="1.0" encoding="utf-8"?>
<p:properties xmlns:p="http://schemas.microsoft.com/office/2006/metadata/properties" xmlns:xsi="http://www.w3.org/2001/XMLSchema-instance" xmlns:pc="http://schemas.microsoft.com/office/infopath/2007/PartnerControls">
  <documentManagement>
    <_dlc_DocIdUrl xmlns="e60a29af-d413-48d4-bd90-fe9d2a897e4b">
      <Url>https://ovdmasv601/sites/DMS/_layouts/15/DocIdRedir.aspx?ID=WKX3UHSAJ2R6-2-1454662</Url>
      <Description>WKX3UHSAJ2R6-2-1454662</Description>
    </_dlc_DocIdUrl>
    <_dlc_DocId xmlns="e60a29af-d413-48d4-bd90-fe9d2a897e4b">WKX3UHSAJ2R6-2-1454662</_dlc_DocId>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CB3942A-8D87-4F6D-B1AF-ECEE68B55C10}">
  <ds:schemaRefs>
    <ds:schemaRef ds:uri="http://schemas.microsoft.com/sharepoint/v3/contenttype/forms"/>
  </ds:schemaRefs>
</ds:datastoreItem>
</file>

<file path=customXml/itemProps2.xml><?xml version="1.0" encoding="utf-8"?>
<ds:datastoreItem xmlns:ds="http://schemas.openxmlformats.org/officeDocument/2006/customXml" ds:itemID="{762224FA-74A4-4B1A-935A-4BA4C6DA6C78}"/>
</file>

<file path=customXml/itemProps3.xml><?xml version="1.0" encoding="utf-8"?>
<ds:datastoreItem xmlns:ds="http://schemas.openxmlformats.org/officeDocument/2006/customXml" ds:itemID="{271736CA-247E-403A-A9A2-CEFDC3E3877A}">
  <ds:schemaRefs>
    <ds:schemaRef ds:uri="http://schemas.openxmlformats.org/officeDocument/2006/bibliography"/>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78882E39-6725-4BED-AE4F-B84F08000160}">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59754C11-E95E-4FDA-9179-0EE1B0A8DCD8}"/>
</file>

<file path=docProps/app.xml><?xml version="1.0" encoding="utf-8"?>
<Properties xmlns="http://schemas.openxmlformats.org/officeDocument/2006/extended-properties" xmlns:vt="http://schemas.openxmlformats.org/officeDocument/2006/docPropsVTypes">
  <Template>Normal</Template>
  <TotalTime>1</TotalTime>
  <Pages>6</Pages>
  <Words>1708</Words>
  <Characters>9741</Characters>
  <DocSecurity>0</DocSecurity>
  <Lines>81</Lines>
  <Paragraphs>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2026-04-09T19:09:00Z</dcterms:created>
  <dcterms:modified xsi:type="dcterms:W3CDTF">2026-04-09T19:09:00Z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2022</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Katarína Pavlíková</vt:lpwstr>
  </property>
  <property fmtid="{D5CDD505-2E9C-101B-9397-08002B2CF9AE}" pid="12" name="FSC#SKEDITIONSLOVLEX@103.510:zodppredkladatel">
    <vt:lpwstr>Ing. Karel Hirman</vt:lpwstr>
  </property>
  <property fmtid="{D5CDD505-2E9C-101B-9397-08002B2CF9AE}" pid="13" name="FSC#SKEDITIONSLOVLEX@103.510:dalsipredkladatel">
    <vt:lpwstr/>
  </property>
  <property fmtid="{D5CDD505-2E9C-101B-9397-08002B2CF9AE}" pid="14" name="FSC#SKEDITIONSLOVLEX@103.510:nazovpredpis">
    <vt:lpwstr> Návrh zmien a doplnení Jednotnej metodiky na posudzovanie vybraných vplyvov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Komponent č. 14 Plánu obnovy a odolnosti SR</vt:lpwstr>
  </property>
  <property fmtid="{D5CDD505-2E9C-101B-9397-08002B2CF9AE}" pid="23" name="FSC#SKEDITIONSLOVLEX@103.510:plnynazovpredpis">
    <vt:lpwstr> Návrh zmien a doplnení Jednotnej metodiky na posudzovanie vybraných vplyvov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44877/2022-3213-103108</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LP/2022/744</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Výrazné pozitívne vplyvy v tejto oblasti sa očakávajú po implementácii ochrany pred neopodstatneným goldplatingom.&lt;/p&gt;&lt;p style="text-align: justify;"&gt;&amp;nbs</vt:lpwstr>
  </property>
  <property fmtid="{D5CDD505-2E9C-101B-9397-08002B2CF9AE}" pid="66" name="FSC#SKEDITIONSLOVLEX@103.510:AttrStrListDocPropAltRiesenia">
    <vt:lpwstr>Nulový variant – zachovanie súčasného stavu vytvára nekontrolovaný priestor na vytváranie takej regulačnej záťaže podnikateľského prostredia, ktorá znižuje konkurencieschopnosť tuzemských podnikateľov. V prípade zachovania súčasného stavu by nebol zaveden</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minister hospodárstva_x000d_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
  </property>
  <property fmtid="{D5CDD505-2E9C-101B-9397-08002B2CF9AE}" pid="142" name="FSC#SKEDITIONSLOVLEX@103.510:funkciaZodpPredAkuzativ">
    <vt:lpwstr/>
  </property>
  <property fmtid="{D5CDD505-2E9C-101B-9397-08002B2CF9AE}" pid="143" name="FSC#SKEDITIONSLOVLEX@103.510:funkciaZodpPredDativ">
    <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Karel Hirman</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justify;"&gt;Návrh zmien a doplnení Jednotnej metodiky na posudzovanie vybraných vplyvov predkladá na rokovanie vlády Slovenskej republiky Ministerstvo hospodárstva Slovenskej republiky (ďalej len „MH SR“) v nadväznosti na Komponent č. </vt:lpwstr>
  </property>
  <property fmtid="{D5CDD505-2E9C-101B-9397-08002B2CF9AE}" pid="150" name="FSC#SKEDITIONSLOVLEX@103.510:vytvorenedna">
    <vt:lpwstr>10. 11. 2022</vt:lpwstr>
  </property>
  <property fmtid="{D5CDD505-2E9C-101B-9397-08002B2CF9AE}" pid="151" name="FSC#COOSYSTEM@1.1:Container">
    <vt:lpwstr>COO.2145.1000.3.5328105</vt:lpwstr>
  </property>
  <property fmtid="{D5CDD505-2E9C-101B-9397-08002B2CF9AE}" pid="152" name="FSC#FSCFOLIO@1.1001:docpropproject">
    <vt:lpwstr/>
  </property>
  <property fmtid="{D5CDD505-2E9C-101B-9397-08002B2CF9AE}" pid="153" name="ContentTypeId">
    <vt:lpwstr>0x0101006C0C8C3C1E3DCC44BECE3792677AD011</vt:lpwstr>
  </property>
  <property fmtid="{D5CDD505-2E9C-101B-9397-08002B2CF9AE}" pid="154" name="_dlc_DocIdItemGuid">
    <vt:lpwstr>5cf76e57-9399-48eb-99fa-87c14030ca96</vt:lpwstr>
  </property>
</Properties>
</file>