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118" w:rsidRPr="00C70B4A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C70B4A">
        <w:rPr>
          <w:rFonts w:ascii="Times New Roman" w:eastAsia="Times New Roman" w:hAnsi="Times New Roman" w:cs="Times New Roman"/>
          <w:b/>
          <w:caps/>
          <w:sz w:val="24"/>
          <w:szCs w:val="24"/>
        </w:rPr>
        <w:t>Vyhodnotenie medzirezortného pripomienkového konania</w:t>
      </w:r>
    </w:p>
    <w:p w:rsidR="00927118" w:rsidRPr="00C70B4A" w:rsidRDefault="00927118" w:rsidP="009271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35F8" w:rsidRPr="00C70B4A" w:rsidRDefault="003635F8">
      <w:pPr>
        <w:jc w:val="center"/>
        <w:divId w:val="1239898589"/>
        <w:rPr>
          <w:rFonts w:ascii="Times New Roman" w:hAnsi="Times New Roman" w:cs="Times New Roman"/>
          <w:sz w:val="24"/>
          <w:szCs w:val="24"/>
        </w:rPr>
      </w:pPr>
      <w:r w:rsidRPr="00C70B4A">
        <w:rPr>
          <w:rFonts w:ascii="Times New Roman" w:hAnsi="Times New Roman" w:cs="Times New Roman"/>
          <w:sz w:val="24"/>
          <w:szCs w:val="24"/>
        </w:rPr>
        <w:t>Návrh na uzavretie Dohody o posilnenom partnerstve a spolupráci medzi Európskou úniou a jej členskými štátmi na jednej strane a Kazašskou republikou na strane druhej</w:t>
      </w:r>
    </w:p>
    <w:p w:rsidR="00927118" w:rsidRPr="00C70B4A" w:rsidRDefault="00927118" w:rsidP="00CE47A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598" w:type="dxa"/>
        <w:tblCellMar>
          <w:left w:w="0" w:type="dxa"/>
          <w:right w:w="0" w:type="dxa"/>
        </w:tblCellMar>
        <w:tblLook w:val="0000"/>
      </w:tblPr>
      <w:tblGrid>
        <w:gridCol w:w="7797"/>
        <w:gridCol w:w="7801"/>
      </w:tblGrid>
      <w:tr w:rsidR="00927118" w:rsidRPr="00C70B4A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51BF" w:rsidRPr="00C70B4A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C70B4A" w:rsidRDefault="00A251BF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C70B4A" w:rsidRDefault="003635F8" w:rsidP="00363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28 /0</w:t>
            </w:r>
          </w:p>
        </w:tc>
      </w:tr>
      <w:tr w:rsidR="00927118" w:rsidRPr="00C70B4A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3635F8" w:rsidP="00363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927118" w:rsidRPr="00C70B4A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118" w:rsidRPr="00C70B4A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3635F8" w:rsidP="00363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12 /1</w:t>
            </w:r>
          </w:p>
        </w:tc>
      </w:tr>
      <w:tr w:rsidR="00927118" w:rsidRPr="00C70B4A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3635F8" w:rsidP="00363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/0</w:t>
            </w:r>
          </w:p>
        </w:tc>
      </w:tr>
      <w:tr w:rsidR="00927118" w:rsidRPr="00C70B4A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3635F8" w:rsidP="00363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15 /0</w:t>
            </w:r>
          </w:p>
        </w:tc>
      </w:tr>
      <w:tr w:rsidR="00927118" w:rsidRPr="00C70B4A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118" w:rsidRPr="00C70B4A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Cs/>
                <w:sz w:val="24"/>
                <w:szCs w:val="24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118" w:rsidRPr="00C70B4A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Cs/>
                <w:sz w:val="24"/>
                <w:szCs w:val="24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118" w:rsidRPr="00C70B4A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Cs/>
                <w:sz w:val="24"/>
                <w:szCs w:val="24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C70B4A" w:rsidRDefault="00927118" w:rsidP="00E16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7118" w:rsidRPr="00C70B4A" w:rsidRDefault="00927118" w:rsidP="009271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7118" w:rsidRPr="00C70B4A" w:rsidRDefault="00927118" w:rsidP="00927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0B4A">
        <w:rPr>
          <w:rFonts w:ascii="Times New Roman" w:hAnsi="Times New Roman" w:cs="Times New Roman"/>
          <w:sz w:val="24"/>
          <w:szCs w:val="24"/>
        </w:rPr>
        <w:t>Sumarizácia vznesených pripomienok podľa subjektov</w:t>
      </w:r>
    </w:p>
    <w:p w:rsidR="003635F8" w:rsidRPr="00C70B4A" w:rsidRDefault="003635F8" w:rsidP="00841FA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315"/>
        <w:gridCol w:w="7861"/>
        <w:gridCol w:w="1349"/>
        <w:gridCol w:w="1349"/>
        <w:gridCol w:w="1336"/>
        <w:gridCol w:w="1095"/>
      </w:tblGrid>
      <w:tr w:rsidR="003635F8" w:rsidRPr="00C70B4A">
        <w:trPr>
          <w:divId w:val="306860416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Vôbec nezaslali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Verejnosť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4 (4o,0z)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4 (4o,0z)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 (1o,1z)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dopravy, výstavby a regionálneho rozvoja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spravodlivosti Slovenskej republiky - Sekcia legislatívy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Kancelária prezidenta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Asociácia zamestnávatelských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635F8" w:rsidRPr="00C70B4A">
        <w:trPr>
          <w:divId w:val="306860416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28 (27o,1z)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7CE0" w:rsidRPr="00C70B4A" w:rsidRDefault="00BF7CE0" w:rsidP="00841FA6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70B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Vyhodnotenie vecných pripomienok je uvedené v tabuľkovej časti.</w:t>
      </w:r>
    </w:p>
    <w:p w:rsidR="00BF7CE0" w:rsidRPr="00C70B4A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4"/>
          <w:szCs w:val="24"/>
        </w:rPr>
      </w:pPr>
    </w:p>
    <w:tbl>
      <w:tblPr>
        <w:tblW w:w="0" w:type="auto"/>
        <w:tblLook w:val="0000"/>
      </w:tblPr>
      <w:tblGrid>
        <w:gridCol w:w="1809"/>
        <w:gridCol w:w="3119"/>
      </w:tblGrid>
      <w:tr w:rsidR="00BF7CE0" w:rsidRPr="00C70B4A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C70B4A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C70B4A">
              <w:rPr>
                <w:b w:val="0"/>
                <w:color w:val="000000"/>
                <w:sz w:val="24"/>
                <w:szCs w:val="24"/>
              </w:rPr>
              <w:t>Vysvetlivky  k použitým skratkám v tabuľke:</w:t>
            </w:r>
          </w:p>
        </w:tc>
      </w:tr>
      <w:tr w:rsidR="00BF7CE0" w:rsidRPr="00C70B4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C70B4A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C70B4A">
              <w:rPr>
                <w:b w:val="0"/>
                <w:color w:val="000000"/>
                <w:sz w:val="24"/>
                <w:szCs w:val="24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C70B4A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C70B4A">
              <w:rPr>
                <w:b w:val="0"/>
                <w:color w:val="000000"/>
                <w:sz w:val="24"/>
                <w:szCs w:val="24"/>
              </w:rPr>
              <w:t>A – akceptovaná</w:t>
            </w:r>
          </w:p>
        </w:tc>
      </w:tr>
      <w:tr w:rsidR="00BF7CE0" w:rsidRPr="00C70B4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C70B4A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C70B4A">
              <w:rPr>
                <w:b w:val="0"/>
                <w:color w:val="000000"/>
                <w:sz w:val="24"/>
                <w:szCs w:val="24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C70B4A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C70B4A">
              <w:rPr>
                <w:b w:val="0"/>
                <w:color w:val="000000"/>
                <w:sz w:val="24"/>
                <w:szCs w:val="24"/>
              </w:rPr>
              <w:t>N – neakceptovaná</w:t>
            </w:r>
          </w:p>
        </w:tc>
      </w:tr>
      <w:tr w:rsidR="00BF7CE0" w:rsidRPr="00C70B4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C70B4A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C70B4A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C70B4A">
              <w:rPr>
                <w:b w:val="0"/>
                <w:color w:val="000000"/>
                <w:sz w:val="24"/>
                <w:szCs w:val="24"/>
              </w:rPr>
              <w:t>ČA – čiastočne akceptovaná</w:t>
            </w:r>
          </w:p>
        </w:tc>
      </w:tr>
    </w:tbl>
    <w:p w:rsidR="00E85710" w:rsidRPr="00C70B4A" w:rsidRDefault="00E85710">
      <w:pPr>
        <w:rPr>
          <w:rFonts w:ascii="Times New Roman" w:hAnsi="Times New Roman" w:cs="Times New Roman"/>
          <w:sz w:val="24"/>
          <w:szCs w:val="24"/>
        </w:rPr>
      </w:pPr>
      <w:r w:rsidRPr="00C70B4A">
        <w:rPr>
          <w:rFonts w:ascii="Times New Roman" w:hAnsi="Times New Roman" w:cs="Times New Roman"/>
          <w:sz w:val="24"/>
          <w:szCs w:val="24"/>
        </w:rPr>
        <w:br w:type="page"/>
      </w:r>
    </w:p>
    <w:p w:rsidR="003635F8" w:rsidRPr="00C70B4A" w:rsidRDefault="003635F8" w:rsidP="00CE47A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362"/>
        <w:gridCol w:w="6645"/>
        <w:gridCol w:w="657"/>
        <w:gridCol w:w="657"/>
        <w:gridCol w:w="3984"/>
      </w:tblGrid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Vyh.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Spôsob vyhodnotenia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ÚJDSR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NBÚSR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Verejnosť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C70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Odporúčame termín "vlastníka" ochrannej známky nahradiť termínom "majiteľa" ochrannej známky, s cieľom dosiahnuť súlad s terminológiou používanou v relevantných všeobecne záväzných právnych predpisoch Slovenskej republiky (zákon č. 506/2009 Z. z. o ochranných známkach).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Text predloženej dohody je oficiálnym dokumentom EÚ v znení, v akom bol publikovaný v Úradnom vestníku EÚ.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Z uvedeného dôvodu nie je možné text dohody jednostranne meniť a zmena by bola možná</w:t>
            </w:r>
            <w:r w:rsidR="00C70B4A"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 len prostredníctvom korigenda.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(Poznámka: Terminologické a jazykovo-štylistické pripomienky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k slovenskému zneniu dohody bolo možné uplatniť najneskôr do 22. júla 2015, k čomu boli vyzvané ministerstvá a ostatné ústredné orgány štátnej správy. ÚPV SR však navrhovanú pripomienku neuplatnil.)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Odporúčame termín "ochrannú známku s povesťou" nahradiť termínom "ochrannú známku s dobrým menom", s cieľom dosiahnuť súlad s terminológiou používanou v relevantných všeobecne záväzných právnych predpisoch Slovenskej republiky (zákon č.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506/2009 Z. z. o ochranných známkach).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Text predloženej dohody je oficiálnym dokumentom EÚ v znení, v akom bol publikovaný v Úradnom vestníku EÚ.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Z uvedeného dôvodu nie je možné text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dohody jednostranne meniť a zmena by bola možná len prostredníctvom korigenda. (Poznámka: Terminologické a jazykovo-štylistické pripomienky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k slovenskému zneniu dohody bolo možné uplatniť najneskôr do 22. júla 2015, k čomu boli vyzvané ministerstvá a ostatné ústredné orgány štátnej správy. ÚPV SR však navrhovanú pripomienku neuplatnil.)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Odporúčame termín "skoršia ochranná známka" vo všetkých tvaroch nahradiť termínom "staršia ochranná známka" v zodpovedajúcom tvare, s cieľom dosiahnuť súlad s terminológiou používanou v relevantných všeobecne záväzných právnych predpisoch Slovenskej republiky (zákon č. 506/2009 Z. z. o ochranných známkach).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Text predloženej dohody je oficiálnym dokumentom EÚ v znení, v akom bol publikovaný v Úradnom vestníku EÚ.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Z uvedeného dôvodu nie je možné text dohody jednostranne meniť a zmena by bola možná len prostredníctvom korigenda. (Poznámka: Terminologické a jazykovo-štylistické pripomienky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k slovenskému zneniu dohody bolo možné uplatniť najneskôr do 22. júla 2015, k čomu boli vyzvané ministerstvá a ostatné ústredné orgány štátnej správy. ÚPV SR však navrhovanú pripomienku neuplatnil.)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Odporúčame termín "priemyselných dizajnov" nahradiť termínom "dizajnov" a termín "topografií integrovaných obvodov" nahradiť termínom "topografií polovodičových výrobkov", s cieľom dosiahnuť súlad s terminológiou používanou v relevantných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všeobecne záväzných právnych predpisoch Slovenskej republiky (zákon č. 444/2002 Z. z. o dizajnoch a zákon č.146/2000 Z. z. o ochrane topografií polovodičových výrobkov).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Text predloženej dohody je oficiálnym dokumentom EÚ v znení, v akom bol publikovaný v Úradnom vestníku EÚ.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Z uvedeného dôvodu nie je možné text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dohody jednostranne meniť a zmena by bola možná len prostredníctvom korigenda. (Poznámka: Terminologické a jazykovo-štylistické pripomienky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k slovenskému zneniu dohody bolo možné uplatniť najneskôr do 22. júla 2015, k čomu boli vyzvané ministerstvá a ostatné ústredné orgány štátnej správy. ÚPV SR však navrhovanú pripomienku neuplatnil. Naopak, navrhol nahradiť výraz „priemyselných vzorov“ výrazom „priemyselných dizajnov“.)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MPSVRSR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C70B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ÚVO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PMÚSR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V článku 238 odseku 2 navrhujeme zmeniť slovo „neregulárnej“ na „nelegálnej“.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Text predloženej dohody je oficiálnym dokumentom EÚ v znení, v akom bol publikovaný v Úradnom vestníku EÚ.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Z uvedeného dôvodu nie je možné text dohody jednostranne meniť a zmena by bola možná len prostredníctvom korigenda. (Poznámka: Terminologické a jazykovo-štylistické pripomienky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k slovenskému zneniu dohody bolo možné uplatniť najneskôr do 22. júla 2015, k čomu boli vyzvané ministerstvá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ostatné ústredné orgány štátnej správy. MV SR však navrhovanú pripomienku neuplatnilo.)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V článku 238 odseku 2 písmena b) odporúčame doplniť slovo „únie“ po slove „Európskej“.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Text predloženej dohody je oficiálnym dokumentom EÚ v znení, v akom bol publikovaný v Úradnom vestníku EÚ.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Z uvedeného dôvodu nie je možné text dohody jednostranne meniť a zmena by bola možná len prostredníctvom korigenda. (Poznámka: Terminologické a jazykovo-štylistické pripomienky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k slovenskému zneniu dohody bolo možné uplatniť najneskôr do 22. júla 2015, k čomu boli vyzvané ministerstvá a ostatné ústredné orgány štátnej správy. MV SR však navrhovanú pripomienku neuplatnilo.)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Na strane 406 vlastného materiálu odporúčame uviesť oficiálne akceptované názvy „Slovenská republika“ a „Zbierka zákonov Slovenskej republiky“. Skratka „Slovensko“ nebola zavedená ani legislatívne na strane 9 dokumentu.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Text predloženej dohody je oficiálnym dokumentom EÚ v znení, v akom bol publikovaný v Úradnom vestníku EÚ.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Z uvedeného dôvodu nie je možné text dohody jednostranne meniť a zmena by bola možná len prostredníctvom korigenda. (Poznámka: Terminologické a jazykovo-štylistické pripomienky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k slovenskému zneniu dohody bolo možné uplatniť najneskôr do 22. júla 2015, k čomu boli vyzvané ministerstvá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ostatné ústredné orgány štátnej správy. MV SR však navrhovanú pripomienku neuplatnilo.)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V prvej vete článku 253 navrhujeme vypustiť slovo „rizík“ z dôvodu, že významovo nezapadá do kontextu danej vety.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Text predloženej dohody je oficiálnym dokumentom EÚ v znení, v akom bol publikovaný v Úradnom vestníku EÚ.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Z uvedeného dôvodu nie je možné text dohody jednostranne meniť a zmena by bola možná len prostredníctvom korigenda. (Poznámka: Terminologické a jazykovo-štylistické pripomienky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k slovenskému zneniu dohody bolo možné uplatniť najneskôr do 22. júla 2015, k čomu boli vyzvané ministerstvá a ostatné ústredné orgány štátnej správy. MV SR však navrhovanú pripomienku neuplatnilo.)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MPRVSR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Na obale odporúčame do obsahu materiálu namiesto bodov 5.-8. príloha doplniť: návrh uznesenia NR SR, doložka prednosti, vlastný materiál - text dohody v SJ, vlastný materiál - text dohody v AJ.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Obal materiálu je generovaný prostredníctvom portálu Slov-Lex, ktorý návrh uznesenia NR SR, doložku prednosti aj vlastný materiál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v slovenskej a anglickej jazykovej verzii označuje ako prílohu. Z uvedeného dôvodu nie je možné cez portál obal upraviť.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MPRVSR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Na obale odporúčame doplniť meno predkladajúceho ministra zahraničných vecí a európskych záležitostí SR Miroslava Lajčáka.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Obal v znení materiálu predloženom na MPK obsahoval meno predkladajúceho ministra.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1. V článku 23 písm. a) odporúčam slová „výdavky a príjmy“ nahradiť slovami „náklady a výnosy“. 2. V článku 23 písm. b) odporúčam slová „výdavkov a príjmov“ nahradiť slovami „nákladov a výnosov“. Odôvodnenie: V anglickom znení dohody článok uvádza spojenie „costs and revenues“. V slovenskom texte ide o zlý preklad.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Text predloženej dohody je oficiálnym dokumentom EÚ v znení, v akom bol publikovaný v Úradnom vestníku EÚ.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Z uvedeného dôvodu nie je možné text dohody jednostranne meniť a zmena by bola možná len prostredníctvom korigenda. (Poznámka: Terminologické a jazykovo-štylistické pripomienky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k slovenskému zneniu dohody bolo možné uplatniť najneskôr do 22. júla 2015, k čomu boli vyzvané ministerstvá a ostatné ústredné orgány štátnej správy. MF SR však navrhovanú pripomienku neuplatnilo.)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V časti 9. doložky sú vyznačené žiadne vplyvy, zároveň v riadku „z toho rozpočtovo zabezpečené vplyvy“ je vyznačená možnosť „nie“. V prípade, že materiál nemá žiadny vplyv na rozpočet verejnej správy sa uvedený riadok nevypĺňa.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Doložka bola upravená v zmysle pripomienky.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EC35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bookmarkStart w:id="0" w:name="_GoBack"/>
            <w:bookmarkEnd w:id="0"/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ÚNMSSR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ÚNMS SR nemá k predloženému materiálu žiadne pripomienky.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MDVaRRSR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v ods. 3 doplniť spoluprácu aj o oblasť dopravy vzhľadom na vlastný materiál, kde je uvedená spolupráca v oblasti medzinárodnej námornej dopravy a cestnej, železničnej, vnútrozemskej vodnej a leteckej dopravy,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Text predkladacej správy upravený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v zmysle pripomienky.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MDVaRRSR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preformulovať bod B. nasledovne „rozhodla, že je medzinárodnou zmluvou podľa článku 7 ods. 5 Ústavy Slovenskej republiky, ktorá má prednosť pred zákonmi SR.“ v súlade s „Metodickým pokynom na prípravu a predkladanie materiálov na rokovanie vlády SR“ bod 2.4. (Dôležité upozornenia), str. 9, kde predkladateľ nesmie používať v názve materiálu, v nadpisoch aj inde medzery medzi písmenami na zvýraznenie slov.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ČA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Medzery medzi písmenami boli odstránené, znenie bodu B v návrhu uznesenia Národnej rady SR (po konzultácii s MDVaRR SR) ostáva </w:t>
            </w:r>
            <w:r w:rsidR="00C70B4A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v pôvodnom navrhovanom znení.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MŽPSR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NBS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Zároveň si však dovoľujeme upozorniť na skutočnosť, že v prílohe č. III návrhu dohody, časť 1, je sprostredkovane, cez odkaz na zoznam prílohy I Európskej únie k dodatku k Dohode WTO o vládnom obstarávaní (Protokol, ktorým sa mení Dohoda o vládnom obstarávaní, Ú. v. EÚ, L 68, 7. 3. 2014, p. 2) uvedený medzi obstarávateľskými subjektmi aj Úrad pre finančný trh, ktorý však je od 31. 12. 2005 zrušený. Z hľadiska právnej istoty považujeme za dôležité uviesť, že hoci pôsobnosť tohto úradu prešla na Národnú banku Slovenska (ďalej iba len „NBS“) (§ 45 zákona č. 747/2004 Z. z. o dohľade nad finančným trhom v platnom znení), máme za to, že na NBS sa Dohoda WTO o vládnom obstarávaní nevzťahuje, a teda ani Kapitola 8 (Vládne obstarávanie) Hlavy III návrhu dohody. Úrad pre finančný trh bol medzi povinnými subjektmi Dohody WTO o vládnom obstarávaní uvedený zrejme z dôvodu, že zákonmi č. 329/2000 Z. z. a č. 96/2002 Z. z. bol Úrad pre finančný trh zriadený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ako orgán štátnej správy, respektíve verejnej správy pre oblasť kapitálového trhu, poisťovníctva a dôchodkového sporenia, ktorého príjmami počas jeho existencie (od 1. 11. 2000 do 31. 12. 2005) mohli byť aj prostriedky poskytnuté zo štátneho rozpočtu (§ 52 ods. 2 zákona č. 96/2002 Z. z. o dohľade nad finančným trhom v znení do 31. 12. 2005). Národná banka Slovenska je však nezávislá národná centrálna banka SR [čl. 56 Ústavy SR, § 1 ods. 1 platného zákona č. 566/1992 Zb. o Národnej banke Slovenska a Protokolu o Štatúte Európskeho systému centrálnych bánk a Európskej centrálnej banky v platnom znení (Ú. v. EÚ, L 326, 26. 10. 2012)], ktorá nie je financovaná zo štátneho rozpočtu, ani z iných verejných rozpočtov.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 xml:space="preserve">Pripomienka sa týka primárne zmeny Protokolu, ktorým sa mení dohoda </w:t>
            </w:r>
            <w:r w:rsidR="00EC351E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 vládnom obstarávaní. MZVaEZ SR však nie je gestorom uvedeného protokolu, preto nie je možné pripomienku akceptovať.</w:t>
            </w:r>
          </w:p>
        </w:tc>
      </w:tr>
      <w:tr w:rsidR="003635F8" w:rsidRPr="00C70B4A">
        <w:trPr>
          <w:divId w:val="105940025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 w:rsidP="00C70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635F8" w:rsidRPr="00C70B4A" w:rsidRDefault="00363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4A91" w:rsidRPr="00C70B4A" w:rsidRDefault="00154A91" w:rsidP="00CE47A6">
      <w:pPr>
        <w:rPr>
          <w:rFonts w:ascii="Times New Roman" w:hAnsi="Times New Roman" w:cs="Times New Roman"/>
          <w:sz w:val="24"/>
          <w:szCs w:val="24"/>
        </w:rPr>
      </w:pPr>
    </w:p>
    <w:p w:rsidR="00154A91" w:rsidRPr="00C70B4A" w:rsidRDefault="00154A91" w:rsidP="00CE47A6">
      <w:pPr>
        <w:rPr>
          <w:rFonts w:ascii="Times New Roman" w:hAnsi="Times New Roman" w:cs="Times New Roman"/>
          <w:sz w:val="24"/>
          <w:szCs w:val="24"/>
        </w:rPr>
      </w:pPr>
    </w:p>
    <w:sectPr w:rsidR="00154A91" w:rsidRPr="00C70B4A" w:rsidSect="004075B2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67E" w:rsidRDefault="00B8767E" w:rsidP="000A67D5">
      <w:pPr>
        <w:spacing w:after="0" w:line="240" w:lineRule="auto"/>
      </w:pPr>
      <w:r>
        <w:separator/>
      </w:r>
    </w:p>
  </w:endnote>
  <w:end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67E" w:rsidRDefault="00B8767E" w:rsidP="000A67D5">
      <w:pPr>
        <w:spacing w:after="0" w:line="240" w:lineRule="auto"/>
      </w:pPr>
      <w:r>
        <w:separator/>
      </w:r>
    </w:p>
  </w:footnote>
  <w:foot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E2844"/>
    <w:rsid w:val="000032C8"/>
    <w:rsid w:val="00024402"/>
    <w:rsid w:val="000324A3"/>
    <w:rsid w:val="0006543E"/>
    <w:rsid w:val="000A67D5"/>
    <w:rsid w:val="000E25CA"/>
    <w:rsid w:val="000F7A42"/>
    <w:rsid w:val="00146547"/>
    <w:rsid w:val="00146B48"/>
    <w:rsid w:val="00150388"/>
    <w:rsid w:val="00154A91"/>
    <w:rsid w:val="001E2EF8"/>
    <w:rsid w:val="002109B0"/>
    <w:rsid w:val="0021228E"/>
    <w:rsid w:val="00230F3C"/>
    <w:rsid w:val="002654AA"/>
    <w:rsid w:val="002827B4"/>
    <w:rsid w:val="002A5577"/>
    <w:rsid w:val="002D7471"/>
    <w:rsid w:val="00310A55"/>
    <w:rsid w:val="00322014"/>
    <w:rsid w:val="003635F8"/>
    <w:rsid w:val="0039526D"/>
    <w:rsid w:val="003B435B"/>
    <w:rsid w:val="003D101C"/>
    <w:rsid w:val="003D5E45"/>
    <w:rsid w:val="003E4226"/>
    <w:rsid w:val="004075B2"/>
    <w:rsid w:val="00436C44"/>
    <w:rsid w:val="00474A9D"/>
    <w:rsid w:val="00532574"/>
    <w:rsid w:val="0059081C"/>
    <w:rsid w:val="005E7C53"/>
    <w:rsid w:val="005F0F9E"/>
    <w:rsid w:val="00642FB8"/>
    <w:rsid w:val="006A3681"/>
    <w:rsid w:val="007156F5"/>
    <w:rsid w:val="007A1010"/>
    <w:rsid w:val="007B7F1A"/>
    <w:rsid w:val="007D7AE6"/>
    <w:rsid w:val="007E4294"/>
    <w:rsid w:val="00841FA6"/>
    <w:rsid w:val="008A1964"/>
    <w:rsid w:val="008E2844"/>
    <w:rsid w:val="0090100E"/>
    <w:rsid w:val="009239D9"/>
    <w:rsid w:val="00927118"/>
    <w:rsid w:val="00943EB2"/>
    <w:rsid w:val="0099665B"/>
    <w:rsid w:val="009C6C5C"/>
    <w:rsid w:val="009F7218"/>
    <w:rsid w:val="00A251BF"/>
    <w:rsid w:val="00A54A16"/>
    <w:rsid w:val="00B721A5"/>
    <w:rsid w:val="00B76589"/>
    <w:rsid w:val="00B8767E"/>
    <w:rsid w:val="00BD1FAB"/>
    <w:rsid w:val="00BE7302"/>
    <w:rsid w:val="00BF7CE0"/>
    <w:rsid w:val="00C70B4A"/>
    <w:rsid w:val="00CA44D2"/>
    <w:rsid w:val="00CE47A6"/>
    <w:rsid w:val="00CF3D59"/>
    <w:rsid w:val="00D261C9"/>
    <w:rsid w:val="00D4179C"/>
    <w:rsid w:val="00D85172"/>
    <w:rsid w:val="00D969AC"/>
    <w:rsid w:val="00DF7085"/>
    <w:rsid w:val="00E85710"/>
    <w:rsid w:val="00EB772A"/>
    <w:rsid w:val="00EC351E"/>
    <w:rsid w:val="00EF1425"/>
    <w:rsid w:val="00F26A4A"/>
    <w:rsid w:val="00F727F0"/>
    <w:rsid w:val="00F85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0F9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1.6.2016 9:33:09"/>
    <f:field ref="objchangedby" par="" text="Administrator, System"/>
    <f:field ref="objmodifiedat" par="" text="1.6.2016 9:33:17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https://ovdmasv601/sites/DMS/_layouts/15/DocIdRedir.aspx?ID=WKX3UHSAJ2R6-2-734006</Url>
      <Description>WKX3UHSAJ2R6-2-734006</Description>
    </_dlc_DocIdUrl>
    <_dlc_DocId xmlns="e60a29af-d413-48d4-bd90-fe9d2a897e4b">WKX3UHSAJ2R6-2-734006</_dlc_DocId>
  </documentManagement>
</p:properties>
</file>

<file path=customXml/itemProps1.xml><?xml version="1.0" encoding="utf-8"?>
<ds:datastoreItem xmlns:ds="http://schemas.openxmlformats.org/officeDocument/2006/customXml" ds:itemID="{967E5DBE-6206-4C8E-9EE4-35D0133B9900}"/>
</file>

<file path=customXml/itemProps2.xml><?xml version="1.0" encoding="utf-8"?>
<ds:datastoreItem xmlns:ds="http://schemas.openxmlformats.org/officeDocument/2006/customXml" ds:itemID="{CEDBC207-935D-4216-B8C4-58D2F0309E41}"/>
</file>

<file path=customXml/itemProps3.xml><?xml version="1.0" encoding="utf-8"?>
<ds:datastoreItem xmlns:ds="http://schemas.openxmlformats.org/officeDocument/2006/customXml" ds:itemID="{10046FB2-BEE6-4298-9BA1-B56ED428DC23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D39111C3-C637-4C55-A1D0-1F2DF70325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2016-06-14T17:14:00Z</dcterms:created>
  <dcterms:modified xsi:type="dcterms:W3CDTF">2016-06-14T17:14:00Z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Akt medzinárodného práva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Právo EÚ_x000d_
Medzinárodné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Zuzana Svatušková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na uzavretie Dohody o posilnenom partnerstve a spolupráci medzi Európskou úniou a jej členskými štátmi na jednej strane a Kazašskou republikou na strane druhej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zahraničných vecí a európskych záležitostí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vlastná iniciatíva</vt:lpwstr>
  </property>
  <property fmtid="{D5CDD505-2E9C-101B-9397-08002B2CF9AE}" pid="22" name="FSC#SKEDITIONSLOVLEX@103.510:plnynazovpredpis">
    <vt:lpwstr> Návrh na uzavretie Dohody o posilnenom partnerstve a spolupráci medzi Európskou úniou a jej členskými štátmi na jednej strane a Kazašskou republikou na strane druhej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510.220/2016 – OPEU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LP/2016/285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>_</vt:lpwstr>
  </property>
  <property fmtid="{D5CDD505-2E9C-101B-9397-08002B2CF9AE}" pid="65" name="FSC#SKEDITIONSLOVLEX@103.510:AttrStrListDocPropAltRiesenia">
    <vt:lpwstr>Neaplikuje sa.</vt:lpwstr>
  </property>
  <property fmtid="{D5CDD505-2E9C-101B-9397-08002B2CF9AE}" pid="66" name="FSC#SKEDITIONSLOVLEX@103.510:AttrStrListDocPropStanoviskoGest">
    <vt:lpwstr>Keďže nebol identifikovaný žiadny z vybraných vplyvov, v súlade s bodom 6.1. Jednotnej metodiky na posudzovanie vybraných vplyvov sa materiál nepredkladá na PPK.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Návrh na uzavretie Dohody o posilnenom partnerstve a spolupráci medzi Európskou úniou a jej členskými štátmi na jednej strane a Kazašskou republikou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predseda vlády Slovenskej republiky_x000d_
minister zahraničných vecí a európskych záležitostí Slovenskej republiky</vt:lpwstr>
  </property>
  <property fmtid="{D5CDD505-2E9C-101B-9397-08002B2CF9AE}" pid="136" name="FSC#SKEDITIONSLOVLEX@103.510:AttrStrListDocPropUznesenieNaVedomie">
    <vt:lpwstr>prezident Slovenskej republiky_x000d_
predseda Národnej rady Slovenskej republiky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zahraničných vecí a európskych záležitostí Slovenskej republiky</vt:lpwstr>
  </property>
  <property fmtid="{D5CDD505-2E9C-101B-9397-08002B2CF9AE}" pid="141" name="FSC#SKEDITIONSLOVLEX@103.510:funkciaZodpPredAkuzativ">
    <vt:lpwstr>ministra zahraničných vecí a európskych záležitostí Slovenskej republiky</vt:lpwstr>
  </property>
  <property fmtid="{D5CDD505-2E9C-101B-9397-08002B2CF9AE}" pid="142" name="FSC#SKEDITIONSLOVLEX@103.510:funkciaZodpPredDativ">
    <vt:lpwstr>ministrovi zahraničných vecí a európskych záležitostí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Miroslav Lajčák_x000d_
minister zahraničných vecí a európskych záležitostí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style="text-align: justify;"&gt;&lt;em&gt;Návrh na uzavretie Dohody o posilnenom partnerstve a spolupráci medzi Európskou úniou a jej členskými štátmi na jednej strane a Kazašskou republikou na strane druhej&lt;/em&gt; sa predkladá na rokovanie Legislatívnej rady vlá</vt:lpwstr>
  </property>
  <property fmtid="{D5CDD505-2E9C-101B-9397-08002B2CF9AE}" pid="149" name="FSC#COOSYSTEM@1.1:Container">
    <vt:lpwstr>COO.2145.1000.3.1435750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1e69caa3-d57e-4f8a-b439-df6814a423b8</vt:lpwstr>
  </property>
</Properties>
</file>