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EDD" w:rsidRDefault="00B60EDD">
      <w:pPr>
        <w:pStyle w:val="Normlnywebov"/>
        <w:jc w:val="both"/>
        <w:divId w:val="1417244226"/>
      </w:pPr>
      <w:r>
        <w:t xml:space="preserve">Materiál </w:t>
      </w:r>
      <w:r>
        <w:rPr>
          <w:rStyle w:val="Zvraznenie"/>
        </w:rPr>
        <w:t xml:space="preserve">„Návrh na ratifikáciu </w:t>
      </w:r>
      <w:proofErr w:type="spellStart"/>
      <w:r>
        <w:rPr>
          <w:rStyle w:val="Zvraznenie"/>
        </w:rPr>
        <w:t>Minamatského</w:t>
      </w:r>
      <w:proofErr w:type="spellEnd"/>
      <w:r>
        <w:rPr>
          <w:rStyle w:val="Zvraznenie"/>
        </w:rPr>
        <w:t xml:space="preserve"> dohovoru o ortuti“</w:t>
      </w:r>
      <w:r>
        <w:t xml:space="preserve"> sa predkladá v súlade s bodom A.4. uznesenia vlády Slovenskej republiky č. 522 zo dňa 4. septembra 2013  k materiálu „Návrh na účasť delegácie SR na diplomatickej konferencii </w:t>
      </w:r>
      <w:proofErr w:type="spellStart"/>
      <w:r>
        <w:t>Minamatského</w:t>
      </w:r>
      <w:proofErr w:type="spellEnd"/>
      <w:r>
        <w:t xml:space="preserve"> dohovoru o ortuti, Japonsko, 7. -11. október 2013 a návrh na podpis </w:t>
      </w:r>
      <w:proofErr w:type="spellStart"/>
      <w:r>
        <w:t>Minamatského</w:t>
      </w:r>
      <w:proofErr w:type="spellEnd"/>
      <w:r>
        <w:t xml:space="preserve"> dohovoru o ortuti“, na základe ktorého vláda Slovenskej republiky súhlasila s tým, že jej </w:t>
      </w:r>
      <w:proofErr w:type="spellStart"/>
      <w:r>
        <w:t>Minamatský</w:t>
      </w:r>
      <w:proofErr w:type="spellEnd"/>
      <w:r>
        <w:t xml:space="preserve"> dohovor o ortuti bude po podpise za účelom jeho ratifikácie znovu predložený.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o ortuti (ďalej len „</w:t>
      </w:r>
      <w:proofErr w:type="spellStart"/>
      <w:r>
        <w:t>Minamatský</w:t>
      </w:r>
      <w:proofErr w:type="spellEnd"/>
      <w:r>
        <w:t xml:space="preserve"> dohovor“) bol dojednaný pod záštitou  Programu OSN pre životné prostredie (UNEP) v Ženeve 19. januára 2013. Európska únia spolu s najvyššími predstaviteľmi členských štátov, vrátane Slovenskej republiky, podpísali </w:t>
      </w:r>
      <w:proofErr w:type="spellStart"/>
      <w:r>
        <w:t>Minamatský</w:t>
      </w:r>
      <w:proofErr w:type="spellEnd"/>
      <w:r>
        <w:t xml:space="preserve"> dohovor na slávnostnej ceremónii, ktorá sa konala v rámci diplomatickej konferencie v </w:t>
      </w:r>
      <w:proofErr w:type="spellStart"/>
      <w:r>
        <w:t>Kumamoto</w:t>
      </w:r>
      <w:proofErr w:type="spellEnd"/>
      <w:r>
        <w:t xml:space="preserve"> v októbri 2013. Doteraz podpísalo </w:t>
      </w:r>
      <w:proofErr w:type="spellStart"/>
      <w:r>
        <w:t>Minamatský</w:t>
      </w:r>
      <w:proofErr w:type="spellEnd"/>
      <w:r>
        <w:t xml:space="preserve"> dohovor 128 krajín a bolo uložených 38 ratifikačných listín.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predstavuje hlavný medzinárodný právny rámec na ochranu ľudského zdravia a životného prostredia na celosvetovej úrovni pred emisiami ortuti pochádzajúcich z </w:t>
      </w:r>
      <w:proofErr w:type="spellStart"/>
      <w:r>
        <w:t>antropogénnych</w:t>
      </w:r>
      <w:proofErr w:type="spellEnd"/>
      <w:r>
        <w:t xml:space="preserve"> činností do životného prostredia. Ortuť sa považuje za globálnu hrozbu</w:t>
      </w:r>
      <w:r>
        <w:br/>
        <w:t>pre ľudské zdravie a životné prostredie. Človeku môže vystavenie vysokým hladinám ortuti, kam patrí aj konzumácia kontaminovaných rýb a morských plodov, spôsobiť poškodenie mozgu, pľúc, obličiek a imunitného systému. Pre ortuť je charakteristické, že pôsobí</w:t>
      </w:r>
      <w:r>
        <w:br/>
        <w:t>bez ohľadu na hranice, keďže emisie sa z miesta pôvodu dokážu prostredníctvom vzduchu</w:t>
      </w:r>
      <w:r>
        <w:br/>
        <w:t>a vody šíriť tisícky kilometrov. Odhaduje sa, že 40 % až 80 % celkovej depozície ortuti v Európskej únii pochádza z tretích krajín mimo Únie.</w:t>
      </w:r>
    </w:p>
    <w:p w:rsidR="00B60EDD" w:rsidRDefault="00B60EDD">
      <w:pPr>
        <w:pStyle w:val="Normlnywebov"/>
        <w:jc w:val="both"/>
        <w:divId w:val="1417244226"/>
      </w:pPr>
      <w:r>
        <w:t xml:space="preserve">Cieľom </w:t>
      </w:r>
      <w:proofErr w:type="spellStart"/>
      <w:r>
        <w:t>Minamatského</w:t>
      </w:r>
      <w:proofErr w:type="spellEnd"/>
      <w:r>
        <w:t xml:space="preserve"> dohovoru je zabezpečiť postupné znižovanie a v dlhodobom horizonte elimináciu emisií ortuti, pričom sa </w:t>
      </w:r>
      <w:proofErr w:type="spellStart"/>
      <w:r>
        <w:t>Minamatský</w:t>
      </w:r>
      <w:proofErr w:type="spellEnd"/>
      <w:r>
        <w:t xml:space="preserve"> dohovor zaoberá celým životným cyklom ortuti. S ohľadom na tento cieľ, </w:t>
      </w:r>
      <w:proofErr w:type="spellStart"/>
      <w:r>
        <w:t>Minamatský</w:t>
      </w:r>
      <w:proofErr w:type="spellEnd"/>
      <w:r>
        <w:t xml:space="preserve"> dohovor pokrýva všetky významné oblasti použitia ortuti, od ťažby surovín cez výrobu ortuti, jej dovoz a vývoz, technologické procesy používajúce a emitujúce ortuť a jej zlúčeniny, až po výrobky obsahujúce ortuť a rieši</w:t>
      </w:r>
      <w:r>
        <w:br/>
        <w:t>aj problémy dočasného a dlhodobého uskladňovania odpadovej ortuti a jej zlúčenín.</w:t>
      </w:r>
      <w:r>
        <w:br/>
        <w:t xml:space="preserve">Pri tvorbe </w:t>
      </w:r>
      <w:proofErr w:type="spellStart"/>
      <w:r>
        <w:t>Minamatského</w:t>
      </w:r>
      <w:proofErr w:type="spellEnd"/>
      <w:r>
        <w:t xml:space="preserve"> dohovoru v oblasti výrobkov s obsahom ortuti sa prijala filozofia, že všade tam, kde je možné plnohodnotne nahradiť výrobky s obsahom ortuti inými výrobkami bez obsahu ortuti, sa v strednodobom horizonte tieto výrobky nahradia a výroba výrobkov s obsahom ortuti sa ukončí. Jedná sa o vybrané výrobky, ako sú napríklad niektoré teplomery, tlakomery a zariadenia na meranie krvného tlaku a podobne. Pri iných výrobkoch, ako sú napr. gombíkové batérie, fluorescenčné žiarivky, sa v strednodobom horizonte zavádzajú znížené maximálne limity obsahu ortuti vo výrobkoch. A v neposlednom rade, </w:t>
      </w:r>
      <w:proofErr w:type="spellStart"/>
      <w:r>
        <w:t>Minamatský</w:t>
      </w:r>
      <w:proofErr w:type="spellEnd"/>
      <w:r>
        <w:t xml:space="preserve"> dohovor zavádza aj výnimky pre niektoré výrobky, ktoré budú vyrábané</w:t>
      </w:r>
      <w:r>
        <w:br/>
        <w:t>i naďalej, pretože ich v súčasnosti nie je možné alebo je veľmi problematické nahradiť adekvátnymi výrobkami bez obsahu ortuti, ako napríklad liečivá pre humánnu a veterinárnu medicínu, výrobky s obsahom ortuti používané v oblasti civilnej ochrany a vo vojenských zariadeniach, výrobky pre vedu a výskum a výrobky používané ako referenčné štandardy.</w:t>
      </w:r>
    </w:p>
    <w:p w:rsidR="00B60EDD" w:rsidRDefault="00B60EDD">
      <w:pPr>
        <w:pStyle w:val="Normlnywebov"/>
        <w:jc w:val="both"/>
        <w:divId w:val="1417244226"/>
      </w:pPr>
      <w:r>
        <w:lastRenderedPageBreak/>
        <w:t xml:space="preserve">Popri vecnej problematike, </w:t>
      </w:r>
      <w:proofErr w:type="spellStart"/>
      <w:r>
        <w:t>Minamatský</w:t>
      </w:r>
      <w:proofErr w:type="spellEnd"/>
      <w:r>
        <w:t xml:space="preserve"> dohovor rieši aj problematiku spojenú s finančnými zdrojmi a finančnými mechanizmami orientovanými na pomoc pre rozvojové štáty, technickú asistenciu a transfer technológií, zdravotné aspekty ortuti a jej zlúčenín, výmenu informácii, vzdelávanie, vedu, výskum a potrebu monitorovania dosiahnutých výsledkov.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nadobudne platnosť v 90. deň po dni, keď najmenej 50 zmluvných strán </w:t>
      </w:r>
      <w:proofErr w:type="spellStart"/>
      <w:r>
        <w:t>Minamatského</w:t>
      </w:r>
      <w:proofErr w:type="spellEnd"/>
      <w:r>
        <w:t xml:space="preserve"> dohovoru uloží svoje listiny o ratifikácii, prijatí, schválení alebo pristúpení u depozitára. Prioritou medzinárodného spoločenstva je, aby </w:t>
      </w:r>
      <w:proofErr w:type="spellStart"/>
      <w:r>
        <w:t>Minamatský</w:t>
      </w:r>
      <w:proofErr w:type="spellEnd"/>
      <w:r>
        <w:t xml:space="preserve"> dohovor nadobudol platnosť v prvom polroku 2017 tak, aby sa mohla v septembri 2017 konať prvá Konferencia zmluvných strán </w:t>
      </w:r>
      <w:proofErr w:type="spellStart"/>
      <w:r>
        <w:t>Minamatského</w:t>
      </w:r>
      <w:proofErr w:type="spellEnd"/>
      <w:r>
        <w:t xml:space="preserve"> dohovoru.</w:t>
      </w:r>
    </w:p>
    <w:p w:rsidR="00B60EDD" w:rsidRDefault="00B60EDD">
      <w:pPr>
        <w:pStyle w:val="Normlnywebov"/>
        <w:jc w:val="both"/>
        <w:divId w:val="1417244226"/>
      </w:pPr>
      <w:r>
        <w:t xml:space="preserve">Medzi kľúčové subjekty, ktoré by mali ratifikovať </w:t>
      </w:r>
      <w:proofErr w:type="spellStart"/>
      <w:r>
        <w:t>Minamatský</w:t>
      </w:r>
      <w:proofErr w:type="spellEnd"/>
      <w:r>
        <w:t xml:space="preserve"> dohovor v tomto termíne, patrí aj Európska únia a jej členské štáty. Európska únia dosiahla za posledných desať rokov významný pokrok pri riešení problematiky ortuti v rámci Únie v nadväznosti na prijatie stratégie Spoločenstva, týkajúcej sa ortuti v roku 2005,  ktorú podporili Rada Európskej únie  a Európsky parlament.</w:t>
      </w:r>
    </w:p>
    <w:p w:rsidR="00B60EDD" w:rsidRDefault="00B60EDD">
      <w:pPr>
        <w:pStyle w:val="Normlnywebov"/>
        <w:jc w:val="both"/>
        <w:divId w:val="1417244226"/>
      </w:pPr>
      <w:r>
        <w:t xml:space="preserve">Dňa 4. februára 2016 Európska komisia predložila „Návrh rozhodnutia Rady o uzavretí </w:t>
      </w:r>
      <w:proofErr w:type="spellStart"/>
      <w:r>
        <w:t>Minamatského</w:t>
      </w:r>
      <w:proofErr w:type="spellEnd"/>
      <w:r>
        <w:t xml:space="preserve"> dohovoru o ortuti“ (ďalej len „návrh rozhodnutia“). Uloženie listín</w:t>
      </w:r>
      <w:r>
        <w:br/>
        <w:t xml:space="preserve">o ratifikácii, prijatí alebo schválení </w:t>
      </w:r>
      <w:proofErr w:type="spellStart"/>
      <w:r>
        <w:t>Minamatského</w:t>
      </w:r>
      <w:proofErr w:type="spellEnd"/>
      <w:r>
        <w:t xml:space="preserve"> dohovoru Európskou úniou a jej členskými štátmi by sa malo vykonať spoločne a koordinovaným spôsobom tak, aby sa zabezpečilo, pokiaľ to bude možné, že </w:t>
      </w:r>
      <w:proofErr w:type="spellStart"/>
      <w:r>
        <w:t>Minamatský</w:t>
      </w:r>
      <w:proofErr w:type="spellEnd"/>
      <w:r>
        <w:t xml:space="preserve"> dohovor nadobudne platnosť pre Európsku úniu a jej členské štáty v rovnakom čase. Ak by sa prvá Konferencia zmluvných strán </w:t>
      </w:r>
      <w:proofErr w:type="spellStart"/>
      <w:r>
        <w:t>Minamatského</w:t>
      </w:r>
      <w:proofErr w:type="spellEnd"/>
      <w:r>
        <w:t xml:space="preserve"> dohovoru konala predtým, ako ho Európska únia ratifikuje, nebude sa môcť podieľať</w:t>
      </w:r>
      <w:r>
        <w:br/>
        <w:t xml:space="preserve">na rozhodovaní o dôležitých otázkach súvisiacich s implementáciou, nehovoriac o negatívnom signáli, ktorý by týmto Únia vyslala. Preto patrí skorá ratifikácia </w:t>
      </w:r>
      <w:proofErr w:type="spellStart"/>
      <w:r>
        <w:t>Minamatského</w:t>
      </w:r>
      <w:proofErr w:type="spellEnd"/>
      <w:r>
        <w:t xml:space="preserve"> dohovoru Európskou úniou a jej členskými štátmi medzi priority Únie. Návrh rozhodnutia</w:t>
      </w:r>
      <w:r>
        <w:br/>
        <w:t>je v súčasnosti prerokovávaný v pracovných skupinách Rady EÚ a na schválenie bude potrebná dohoda v Rade ako aj súhlas Európskeho parlamentu.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sa bude implementovať prostredníctvom už platnej ale aj novej legislatívy. Veľkú časť </w:t>
      </w:r>
      <w:proofErr w:type="spellStart"/>
      <w:r>
        <w:t>Minamatského</w:t>
      </w:r>
      <w:proofErr w:type="spellEnd"/>
      <w:r>
        <w:t xml:space="preserve"> dohovoru už právne predpisy Únie pokrývajú.</w:t>
      </w:r>
      <w:r>
        <w:br/>
        <w:t>Ako základ, a doteraz jediný právny akt Únie venovaný problematike ortuti, slúži nariadenie Európskeho parlamentu a Rady (ES) č. 1102/2008 o zákaze vývozu kovovej ortuti</w:t>
      </w:r>
      <w:r>
        <w:br/>
        <w:t xml:space="preserve">a niektorých zlúčenín a zmesí ortuti a o bezpečnom uskladnení kovovej ortuti.  Posúdením </w:t>
      </w:r>
      <w:proofErr w:type="spellStart"/>
      <w:r>
        <w:t>acquis</w:t>
      </w:r>
      <w:proofErr w:type="spellEnd"/>
      <w:r>
        <w:t xml:space="preserve"> Únie sa zistilo, že existuje istý obmedzený počet regulačných medzier, ktoré</w:t>
      </w:r>
      <w:r>
        <w:br/>
        <w:t>je potrebné vyplniť na úplné zosúladenie právnych predpisov Únie s </w:t>
      </w:r>
      <w:proofErr w:type="spellStart"/>
      <w:r>
        <w:t>Minamatským</w:t>
      </w:r>
      <w:proofErr w:type="spellEnd"/>
      <w:r>
        <w:t xml:space="preserve"> dohovorom. Z tohto dôvodu Európska komisia predložila 2. februára 2016 „Návrh Nariadenia Európskeho parlamentu a Rady o ortuti a o zrušení nariadenia (ES) č. 1102/2008“  </w:t>
      </w:r>
      <w:r>
        <w:br/>
        <w:t>(č. 2016/0023 (COD) zo dňa 2. februára 2016, ďalej len „návrh nariadenia o ortuti“).</w:t>
      </w:r>
      <w:r>
        <w:br/>
        <w:t>Novým nariadením o ortuti, ktoré by malo nadobudnúť účinnosť 1. januára 2018,</w:t>
      </w:r>
      <w:r>
        <w:br/>
        <w:t xml:space="preserve">sa zabezpečí úplná implementácia </w:t>
      </w:r>
      <w:proofErr w:type="spellStart"/>
      <w:r>
        <w:t>Minamatského</w:t>
      </w:r>
      <w:proofErr w:type="spellEnd"/>
      <w:r>
        <w:t xml:space="preserve"> dohovoru v podmienkach Únie</w:t>
      </w:r>
      <w:r>
        <w:br/>
        <w:t>a jej členských štátov. Jeho cieľom je riešiť nedostatky, ktoré sa týkajú dovozu ortuti, vývozu určitých výrobkov s prídavkom ortuti, používania ortuti v určitých výrobných procesoch, nových metód použitia ortuti vo výrobkoch a výrobných procesoch, používania ortuti</w:t>
      </w:r>
      <w:r>
        <w:br/>
        <w:t>v remeselnej a drobnej ťažbe zlata a používania ortuti v zubnom amalgáme.</w:t>
      </w:r>
    </w:p>
    <w:p w:rsidR="00B60EDD" w:rsidRDefault="00B60EDD">
      <w:pPr>
        <w:pStyle w:val="Normlnywebov"/>
        <w:jc w:val="both"/>
        <w:divId w:val="1417244226"/>
      </w:pPr>
      <w:r>
        <w:lastRenderedPageBreak/>
        <w:t xml:space="preserve">Keďže návrh nariadenia o ortuti zachádza v určitých oblastiach (zubný amalgám, priemyselná výroba) nad rámec </w:t>
      </w:r>
      <w:proofErr w:type="spellStart"/>
      <w:r>
        <w:t>Minamatského</w:t>
      </w:r>
      <w:proofErr w:type="spellEnd"/>
      <w:r>
        <w:t xml:space="preserve"> dohovoru, rokovania v pracovnej skupine Rady EÚ</w:t>
      </w:r>
      <w:r>
        <w:br/>
        <w:t xml:space="preserve">pre životné prostredie, ako aj s Európskym parlamentom, ktorý mal snahu byť ešte viac ambicióznejší, ako bol pôvodný návrh Komisie, boli náročné. Napriek tomu, počas slovenského predsedníctva v Rade EÚ sa v decembri 2016 podarilo dosiahnuť k návrhu nariadenia </w:t>
      </w:r>
      <w:proofErr w:type="spellStart"/>
      <w:r>
        <w:t>medziinštitucionálnu</w:t>
      </w:r>
      <w:proofErr w:type="spellEnd"/>
      <w:r>
        <w:t xml:space="preserve"> dohodu medzi Radou EÚ a Európskym parlamentom. Schválenie návrhu nariadenia o ortuti oboma inštitúciami sa očakáva v priebehu mesiacov marec - máj 2017.</w:t>
      </w:r>
    </w:p>
    <w:p w:rsidR="00B60EDD" w:rsidRDefault="00B60EDD">
      <w:pPr>
        <w:pStyle w:val="Normlnywebov"/>
        <w:jc w:val="both"/>
        <w:divId w:val="1417244226"/>
      </w:pPr>
      <w:r>
        <w:t xml:space="preserve">V nadväznosti na tento proces, bude v Slovenskej republike potrebné vykonať legislatívne opatrenia, ktoré zabezpečia vykonávanie nariadenia o ortuti v praxi (výkon štátneho dozoru, sankcie a pod.). Predpokladajú sa legislatívne úpravy predovšetkým v oblasti používania zubného amalgámu, keďže sa nariadením o ortuti zavádzajú požiadavky, ktoré doteraz nebolo povinné uplatňovať  (napr. povinné vybavenie zubných ambulancií odlučovačmi na zachytávanie častíc amalgámu, používanie </w:t>
      </w:r>
      <w:proofErr w:type="spellStart"/>
      <w:r>
        <w:t>pred-dávkovaných</w:t>
      </w:r>
      <w:proofErr w:type="spellEnd"/>
      <w:r>
        <w:t xml:space="preserve"> amalgámových kapsúl, obmedzené použitie amalgámových výplní pre zraniteľné skupiny) a v oblasti odpadového hospodárstva (dočasné a trvalé ukladanie odpadovej ortuti).  </w:t>
      </w:r>
    </w:p>
    <w:p w:rsidR="00B60EDD" w:rsidRDefault="00B60EDD">
      <w:pPr>
        <w:pStyle w:val="Normlnywebov"/>
        <w:jc w:val="both"/>
        <w:divId w:val="1417244226"/>
      </w:pPr>
      <w:r>
        <w:t>V súvislosti s implementáciou nového nariadenia o ortuti predpokladáme pozitívne</w:t>
      </w:r>
      <w:r>
        <w:br/>
        <w:t>aj negatívne dopady na verejnú správu, podnikateľské prostredie, životné prostredie, informatizáciu a sociálne vplyvy. Tieto bude ale možné  kvantifikovať a konkretizovať</w:t>
      </w:r>
      <w:r>
        <w:br/>
        <w:t>až pri implementácii nariadenia v našom právnom poriadku. Najväčšie negatívne dopady v súvislosti s prijatím nariadenia o ortuti sa očakávajú pri opatreniach týkajúcich</w:t>
      </w:r>
      <w:r>
        <w:br/>
        <w:t xml:space="preserve">sa priemyselnej výroby (výroba </w:t>
      </w:r>
      <w:proofErr w:type="spellStart"/>
      <w:r>
        <w:t>vinylchloridu</w:t>
      </w:r>
      <w:proofErr w:type="spellEnd"/>
      <w:r>
        <w:t>, výroba chlóru a alkalických hydroxidov)  a v oblasti zubného amalgámu.     </w:t>
      </w:r>
    </w:p>
    <w:p w:rsidR="00B60EDD" w:rsidRDefault="00B60EDD">
      <w:pPr>
        <w:pStyle w:val="Normlnywebov"/>
        <w:jc w:val="both"/>
        <w:divId w:val="1417244226"/>
      </w:pPr>
      <w:r>
        <w:t xml:space="preserve">Ako je vyššie uvedené, </w:t>
      </w:r>
      <w:proofErr w:type="spellStart"/>
      <w:r>
        <w:t>Minamatský</w:t>
      </w:r>
      <w:proofErr w:type="spellEnd"/>
      <w:r>
        <w:t xml:space="preserve"> dohovor sa bude implementovať už aj existujúcim právnym rámcom – nariadenie Európskeho parlamentu a Rady (EÚ) zo 4. júla 2012</w:t>
      </w:r>
      <w:r>
        <w:br/>
        <w:t>č. 649/2012 o vývoze a dovoze nebezpečných chemikálií, nariadenie Európskeho parlamentu a Rady (ES) č. 1907/2006 z 18. decembra 2006 o registrácii, hodnotení, autorizácii</w:t>
      </w:r>
      <w:r>
        <w:br/>
        <w:t>a obmedzovaní chemikálií (REACH) a o zriadení Európskej chemickej agentúry, o zmene</w:t>
      </w:r>
      <w:r>
        <w:br/>
        <w:t>a doplnení smernice 1999/45/ES a o zrušení nariadenia Rady (EHS) č. 793/93 a nariadenia Komisie (ES) č. 1488/94, smernice Rady 76/769/EHS a smerníc Komisie 91/155/EHS, 93/67/EHS, 93/105/ES a 2000/21/ES, smernica Európskeho parlamentu a Rady 2010/75/EÚ</w:t>
      </w:r>
      <w:r>
        <w:br/>
        <w:t>z  24. novembra 2010 o priemyselných emisiách (integrovaná prevencia a kontrola znečisťovania životného prostredia), smernica Európskeho parlamentu a Rady z 19. novembra 2008 č. 2008/98/ES o odpade a o zrušení určitých smerníc, smernica Rady 1999/31/ES</w:t>
      </w:r>
      <w:r>
        <w:br/>
        <w:t xml:space="preserve">z 26. apríla 1999 o skládkach odpadov, smernica Európskeho parlamentu a Rady 2012/18/EÚ zo 4. júla 2012 o kontrole nebezpečenstiev závažných havárií s prítomnosťou nebezpečných látok, ktorou sa mení a dopĺňa a následne zrušuje smernica Rady 96/82/ES a ďalšie súvisiace predpisy týkajúce sa výrobkov s prídavkom ortuti (baterky, lampy, kozmetika, pesticídy, </w:t>
      </w:r>
      <w:proofErr w:type="spellStart"/>
      <w:r>
        <w:t>biocídy</w:t>
      </w:r>
      <w:proofErr w:type="spellEnd"/>
      <w:r>
        <w:t>, neelektronické zariadenia a pod.). Všetky tieto právne predpisy sú v legislatíve Slovenskej republiky transponované a implementované (napr. zákon č. 67/2010 Z. z.</w:t>
      </w:r>
      <w:r>
        <w:br/>
        <w:t>o podmienkach uvedenia chemických látok a chemických zmesí na trh a o zmene a doplnení niektorých zákonov (chemický zákon) v znení neskorších predpisov, zákon č. 39/2013 Z. z.</w:t>
      </w:r>
      <w:r>
        <w:br/>
        <w:t>o integrovanej prevencii a kontrole znečisťovania životného prostredia a o zmene a doplnení niektorých zákonov v znení neskorších predpisov, zákon č. 79/2015 Z. z. o odpadoch</w:t>
      </w:r>
      <w:r>
        <w:br/>
        <w:t>a o zmene a doplnení niektorých zákonov v znení neskorších predpisov, zákon č. 346/2013</w:t>
      </w:r>
      <w:r>
        <w:br/>
      </w:r>
      <w:r>
        <w:lastRenderedPageBreak/>
        <w:t>Z. z. o obmedzení používania určitých nebezpečných látok v elektrických zariadeniach</w:t>
      </w:r>
      <w:r>
        <w:br/>
        <w:t>a elektronických zariadeniach a ktorým sa mení zákon č. 223/2001 Z. z. o odpadoch</w:t>
      </w:r>
      <w:r>
        <w:br/>
        <w:t>a o zmene a doplnení niektorých zákonov v znení neskorších predpisov, zákon č. 128/2015</w:t>
      </w:r>
      <w:r>
        <w:br/>
        <w:t>Z. z. o prevencii závažných priemyselných havárií a o zmene a doplnení niektorých zákonov v znení neskorších predpisov, zákon č. 319/2013 Z. z. o pôsobnosti orgánov štátnej správy pre sprístupňovanie biocídnych výrobkov na trh a ich používanie a o zmene a doplnení niektorých zákonov, nariadenie vlády Slovenskej republiky č. 658/2005 Z. z., ktorým sa ustanovujú požiadavky na kozmetické výrobky v znení neskorších predpisov).  </w:t>
      </w:r>
    </w:p>
    <w:p w:rsidR="00B60EDD" w:rsidRDefault="00B60EDD">
      <w:pPr>
        <w:pStyle w:val="Normlnywebov"/>
        <w:jc w:val="both"/>
        <w:divId w:val="1417244226"/>
      </w:pPr>
      <w:r>
        <w:t xml:space="preserve">Ratifikáciou </w:t>
      </w:r>
      <w:proofErr w:type="spellStart"/>
      <w:r>
        <w:t>Minamatského</w:t>
      </w:r>
      <w:proofErr w:type="spellEnd"/>
      <w:r>
        <w:t xml:space="preserve"> dohovoru nebude dotknuté vykonávanie medzinárodných zmlúv, ktorými je Slovenská republika viazaná v rámci prepravy nebezpečného tovaru po železnici, na cestách a vnútrozemských vodných cestách.</w:t>
      </w:r>
    </w:p>
    <w:p w:rsidR="00B60EDD" w:rsidRDefault="00B60EDD">
      <w:pPr>
        <w:pStyle w:val="Normlnywebov"/>
        <w:jc w:val="both"/>
        <w:divId w:val="1417244226"/>
      </w:pPr>
      <w:r>
        <w:t xml:space="preserve">Vykonávanie </w:t>
      </w:r>
      <w:proofErr w:type="spellStart"/>
      <w:r>
        <w:t>Minamatského</w:t>
      </w:r>
      <w:proofErr w:type="spellEnd"/>
      <w:r>
        <w:t xml:space="preserve"> dohovoru bude mať v Európskej únii značný prínos pre životné prostredie a ľudské zdravie, najmä vzhľadom na očakávané zníženie emisií ortuti s pôvodom v iných častiach sveta.</w:t>
      </w:r>
    </w:p>
    <w:p w:rsidR="00B60EDD" w:rsidRDefault="00B60EDD">
      <w:pPr>
        <w:pStyle w:val="Normlnywebov"/>
        <w:jc w:val="both"/>
        <w:divId w:val="1417244226"/>
      </w:pPr>
      <w:r>
        <w:t>Z vyššie uvedeného vyplýva, že Slovenská republika má vytvorené podmienky na plnenie záväzkov vyplývajúcich z </w:t>
      </w:r>
      <w:proofErr w:type="spellStart"/>
      <w:r>
        <w:t>Minamatského</w:t>
      </w:r>
      <w:proofErr w:type="spellEnd"/>
      <w:r>
        <w:t xml:space="preserve"> dohovoru a Slovenská republika je pripravená</w:t>
      </w:r>
      <w:r>
        <w:br/>
        <w:t>na jeho ratifikáciu.</w:t>
      </w:r>
    </w:p>
    <w:p w:rsidR="00B60EDD" w:rsidRDefault="00B60EDD">
      <w:pPr>
        <w:pStyle w:val="Normlnywebov"/>
        <w:jc w:val="both"/>
        <w:divId w:val="1417244226"/>
      </w:pPr>
      <w:r>
        <w:t xml:space="preserve">Samotná ratifikácia </w:t>
      </w:r>
      <w:proofErr w:type="spellStart"/>
      <w:r>
        <w:t>Minamatského</w:t>
      </w:r>
      <w:proofErr w:type="spellEnd"/>
      <w:r>
        <w:t xml:space="preserve"> dohovoru nebude mať vplyv na rozpočet verejnej správy, podnikateľské prostredie, životné prostredie, informatizáciu a nebude mať sociálne vplyvy.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nie je zmluvou o ľudských právach a základných slobodách, medzinárodnou zmluvou, na ktorej vykonanie nie je potrebný zákon a ani medzinárodnou zmluvou, ktorá priamo zakladá práva alebo povinnosti fyzických osôb alebo právnických osôb. </w:t>
      </w:r>
      <w:proofErr w:type="spellStart"/>
      <w:r>
        <w:t>Minamatský</w:t>
      </w:r>
      <w:proofErr w:type="spellEnd"/>
      <w:r>
        <w:t xml:space="preserve"> dohovor tak nemá prednosť pred zákonmi.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je podľa článku 7 ods. 4 Ústavy Slovenskej republiky medzinárodnou zmluvou, na ktorej vykonanie je potrebný zákon, a preto v súlade s článkom 86 písm. d) Ústavy Slovenskej republiky podlieha vysloveniu súhlasu Národnej rady Slovenskej republiky a následnej ratifikácii prezidentom Slovenskej republiky.</w:t>
      </w:r>
    </w:p>
    <w:p w:rsidR="00B60EDD" w:rsidRDefault="00B60EDD">
      <w:pPr>
        <w:pStyle w:val="Normlnywebov"/>
        <w:jc w:val="both"/>
        <w:divId w:val="1417244226"/>
      </w:pPr>
      <w:proofErr w:type="spellStart"/>
      <w:r>
        <w:t>Minamatský</w:t>
      </w:r>
      <w:proofErr w:type="spellEnd"/>
      <w:r>
        <w:t xml:space="preserve"> dohovor je v súlade s Ústavou Slovenskej republiky, s ústavnými zákonmi, zákonmi, s ostatnými všeobecne záväznými predpismi a medzinárodnými zmluvami, ktorými je Slovenská republika viazaná.</w:t>
      </w:r>
    </w:p>
    <w:p w:rsidR="00B60EDD" w:rsidRDefault="00B60EDD">
      <w:pPr>
        <w:pStyle w:val="Normlnywebov"/>
        <w:jc w:val="both"/>
        <w:divId w:val="1417244226"/>
      </w:pPr>
      <w:r>
        <w:t> </w:t>
      </w:r>
    </w:p>
    <w:p w:rsidR="00B60EDD" w:rsidRDefault="00B60EDD">
      <w:pPr>
        <w:pStyle w:val="Normlnywebov"/>
        <w:jc w:val="both"/>
        <w:divId w:val="1417244226"/>
      </w:pPr>
      <w:r>
        <w:t xml:space="preserve">Súčasťou predkladaného materiálu je slovenský a anglický text </w:t>
      </w:r>
      <w:proofErr w:type="spellStart"/>
      <w:r>
        <w:t>Minamatského</w:t>
      </w:r>
      <w:proofErr w:type="spellEnd"/>
      <w:r>
        <w:t xml:space="preserve"> dohovoru. </w:t>
      </w:r>
    </w:p>
    <w:p w:rsidR="00E14E7F" w:rsidRDefault="00B60EDD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D560A1">
      <w:footerReference w:type="default" r:id="rId9"/>
      <w:pgSz w:w="12240" w:h="15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62" w:rsidRDefault="00087662" w:rsidP="000A67D5">
      <w:pPr>
        <w:spacing w:after="0" w:line="240" w:lineRule="auto"/>
      </w:pPr>
      <w:r>
        <w:separator/>
      </w:r>
    </w:p>
  </w:endnote>
  <w:endnote w:type="continuationSeparator" w:id="0">
    <w:p w:rsidR="00087662" w:rsidRDefault="00087662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053188"/>
      <w:docPartObj>
        <w:docPartGallery w:val="Page Numbers (Bottom of Page)"/>
        <w:docPartUnique/>
      </w:docPartObj>
    </w:sdtPr>
    <w:sdtContent>
      <w:p w:rsidR="00D560A1" w:rsidRDefault="00D560A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:rsidR="00D560A1" w:rsidRDefault="00D560A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62" w:rsidRDefault="00087662" w:rsidP="000A67D5">
      <w:pPr>
        <w:spacing w:after="0" w:line="240" w:lineRule="auto"/>
      </w:pPr>
      <w:r>
        <w:separator/>
      </w:r>
    </w:p>
  </w:footnote>
  <w:footnote w:type="continuationSeparator" w:id="0">
    <w:p w:rsidR="00087662" w:rsidRDefault="00087662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87662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0EDD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560A1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Zvraznenie">
    <w:name w:val="Emphasis"/>
    <w:uiPriority w:val="20"/>
    <w:qFormat/>
    <w:rsid w:val="00B60ED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7.3.2017 10:59:22"/>
    <f:field ref="objchangedby" par="" text="Administrator, System"/>
    <f:field ref="objmodifiedat" par="" text="27.3.2017 10:59:23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https://ovdmasv601/sites/DMS/_layouts/15/DocIdRedir.aspx?ID=WKX3UHSAJ2R6-2-771788</Url>
      <Description>WKX3UHSAJ2R6-2-771788</Description>
    </_dlc_DocIdUrl>
    <_dlc_DocId xmlns="e60a29af-d413-48d4-bd90-fe9d2a897e4b">WKX3UHSAJ2R6-2-771788</_dlc_DocId>
  </documentManagement>
</p:properties>
</file>

<file path=customXml/itemProps1.xml><?xml version="1.0" encoding="utf-8"?>
<ds:datastoreItem xmlns:ds="http://schemas.openxmlformats.org/officeDocument/2006/customXml" ds:itemID="{7EB6F38B-A491-4F03-80BA-6A599F9387A7}"/>
</file>

<file path=customXml/itemProps2.xml><?xml version="1.0" encoding="utf-8"?>
<ds:datastoreItem xmlns:ds="http://schemas.openxmlformats.org/officeDocument/2006/customXml" ds:itemID="{37CEA5AB-E347-46F8-BA58-6471A6C097B7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79BBC08D-5AE2-4428-93A5-8825C1B9C186}"/>
</file>

<file path=customXml/itemProps5.xml><?xml version="1.0" encoding="utf-8"?>
<ds:datastoreItem xmlns:ds="http://schemas.openxmlformats.org/officeDocument/2006/customXml" ds:itemID="{24312F61-065F-43FF-AF01-6E7018B4906E}"/>
</file>

<file path=customXml/itemProps6.xml><?xml version="1.0" encoding="utf-8"?>
<ds:datastoreItem xmlns:ds="http://schemas.openxmlformats.org/officeDocument/2006/customXml" ds:itemID="{D7D32E58-D84B-4896-9348-43C63B9CB2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1920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2017-03-27T08:59:00Z</dcterms:created>
  <dcterms:modified xsi:type="dcterms:W3CDTF">2017-03-27T09:57:00Z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Akt medzinárodného práva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Medzinárodné zmluvy, dohody, dohovory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Ing. Jana Mičáková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 Návrh na ratifikáciu Minamatského dohovoru o ortuti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životného prostredia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bod A.4. uznesenia vlády Slovenskej republiky č. 522 zo dňa 4. septembra 2013</vt:lpwstr>
  </property>
  <property fmtid="{D5CDD505-2E9C-101B-9397-08002B2CF9AE}" pid="16" name="FSC#SKEDITIONSLOVLEX@103.510:plnynazovpredpis">
    <vt:lpwstr> Návrh na ratifikáciu Minamatského dohovoru o ortuti</vt:lpwstr>
  </property>
  <property fmtid="{D5CDD505-2E9C-101B-9397-08002B2CF9AE}" pid="17" name="FSC#SKEDITIONSLOVLEX@103.510:rezortcislopredpis">
    <vt:lpwstr>4504/2017-min.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LP/2017/156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Alternatívne riešenia sa nenavrhujú.</vt:lpwstr>
  </property>
  <property fmtid="{D5CDD505-2E9C-101B-9397-08002B2CF9AE}" pid="57" name="FSC#SKEDITIONSLOVLEX@103.510:AttrStrListDocPropStanoviskoGest">
    <vt:lpwstr>Návrh na ratifikáciu Minamatského dohovoru o ortuti nemá vplyvy na rozpočet verejnej správy, na podnikateľské prostredie, na sociálne vplyvy, vplyvy na životné prostredie, vplyvy na informatizáciu, preto nie je predmetom PPK.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ratifikáciu Minamatského dohovoru o ortuti.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vlády_x000d_
minister životného prostredia _x000d_
minister zahraničných vecí a európskych záležitostí _x000d_
minister hospodárstva_x000d_
minister zdravotníctva </vt:lpwstr>
  </property>
  <property fmtid="{D5CDD505-2E9C-101B-9397-08002B2CF9AE}" pid="127" name="FSC#SKEDITIONSLOVLEX@103.510:AttrStrListDocPropUznesenieNaVedomie">
    <vt:lpwstr>prezident SR_x000d_
predseda Národnej rady SR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justify;"&gt;Materiál &lt;em&gt;„Návrh na ratifikáciu Minamatského dohovoru o&amp;nbsp;ortuti“&lt;/em&gt; sa predkladá v&amp;nbsp;súlade s&amp;nbsp;bodom A.4. uznesenia vlády Slovenskej republiky č. 522 zo dňa 4. septembra 2013 &amp;nbsp;k&amp;nbsp;materiálu „Návrh na</vt:lpwstr>
  </property>
  <property fmtid="{D5CDD505-2E9C-101B-9397-08002B2CF9AE}" pid="130" name="FSC#COOSYSTEM@1.1:Container">
    <vt:lpwstr>COO.2145.1000.3.1892699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životného prostredia Slovenskej republiky</vt:lpwstr>
  </property>
  <property fmtid="{D5CDD505-2E9C-101B-9397-08002B2CF9AE}" pid="145" name="FSC#SKEDITIONSLOVLEX@103.510:funkciaZodpPredAkuzativ">
    <vt:lpwstr>ministerovi životného prostredia Slovenskej republiky</vt:lpwstr>
  </property>
  <property fmtid="{D5CDD505-2E9C-101B-9397-08002B2CF9AE}" pid="146" name="FSC#SKEDITIONSLOVLEX@103.510:funkciaZodpPredDativ">
    <vt:lpwstr>ministera životného prostredia Slovenskej republiky</vt:lpwstr>
  </property>
  <property fmtid="{D5CDD505-2E9C-101B-9397-08002B2CF9AE}" pid="147" name="FSC#SKEDITIONSLOVLEX@103.510:funkciaDalsiPred">
    <vt:lpwstr>minister zahraničných vecí a európskych záležitostí Slovenskej republiky, </vt:lpwstr>
  </property>
  <property fmtid="{D5CDD505-2E9C-101B-9397-08002B2CF9AE}" pid="148" name="FSC#SKEDITIONSLOVLEX@103.510:funkciaDalsiPredAkuzativ">
    <vt:lpwstr>ministrovi zahraničných vecí a európskych záležitostí Slovenskej republiky, </vt:lpwstr>
  </property>
  <property fmtid="{D5CDD505-2E9C-101B-9397-08002B2CF9AE}" pid="149" name="FSC#SKEDITIONSLOVLEX@103.510:funkciaDalsiPredDativ">
    <vt:lpwstr>ministra zahraničných vecí a európskych záležitostí Slovenskej republiky, </vt:lpwstr>
  </property>
  <property fmtid="{D5CDD505-2E9C-101B-9397-08002B2CF9AE}" pid="150" name="FSC#SKEDITIONSLOVLEX@103.510:predkladateliaObalSD">
    <vt:lpwstr>László Sólymos_x000d_
minister životného prostredia Slovenskej republiky_x000d_
Miroslav Lajčák_x000d_
minister zahraničných vecí a európskych záležitostí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1bf68f31-2342-44a2-9944-68313f4374ce</vt:lpwstr>
  </property>
</Properties>
</file>