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zov"/>
        <w:jc w:val="center"/>
        <w:rPr>
          <w:rFonts w:ascii="Arial Narrow" w:hAnsi="Arial Narrow" w:cs="Arial"/>
          <w:sz w:val="56"/>
          <w:szCs w:val="56"/>
        </w:rPr>
      </w:pPr>
      <w:r>
        <w:rPr>
          <w:rFonts w:ascii="Arial Narrow" w:hAnsi="Arial Narrow" w:cs="Arial"/>
          <w:sz w:val="56"/>
          <w:szCs w:val="56"/>
        </w:rPr>
        <w:t>Integrovaný regionálny operačný program</w:t>
      </w:r>
    </w:p>
    <w:p>
      <w:pPr>
        <w:pStyle w:val="Nzov"/>
        <w:jc w:val="center"/>
        <w:rPr>
          <w:rFonts w:ascii="Arial Narrow" w:hAnsi="Arial Narrow" w:cs="Arial"/>
        </w:rPr>
      </w:pPr>
      <w:r>
        <w:rPr>
          <w:rFonts w:ascii="Arial Narrow" w:hAnsi="Arial Narrow" w:cs="Arial"/>
          <w:sz w:val="56"/>
          <w:szCs w:val="56"/>
        </w:rPr>
        <w:t>2014 - 2020</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bl>
      <w:tblPr>
        <w:tblStyle w:val="Svetlmriekazvraznenie111"/>
        <w:tblW w:w="0" w:type="auto"/>
        <w:jc w:val="center"/>
        <w:tblInd w:w="-1201" w:type="dxa"/>
        <w:tblLook w:val="04A0" w:firstRow="1" w:lastRow="0" w:firstColumn="1" w:lastColumn="0" w:noHBand="0" w:noVBand="1"/>
      </w:tblPr>
      <w:tblGrid>
        <w:gridCol w:w="3878"/>
        <w:gridCol w:w="5670"/>
      </w:tblGrid>
      <w:tr>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CCI</w:t>
            </w:r>
          </w:p>
        </w:tc>
        <w:tc>
          <w:tcPr>
            <w:tcW w:w="5670" w:type="dxa"/>
            <w:shd w:val="clear" w:color="auto" w:fill="auto"/>
            <w:vAlign w:val="center"/>
          </w:tcPr>
          <w:p>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5"/>
                <w:szCs w:val="25"/>
                <w:lang w:eastAsia="sk-SK"/>
              </w:rPr>
            </w:pPr>
            <w:r>
              <w:rPr>
                <w:rFonts w:ascii="Arial Narrow" w:eastAsia="Trebuchet MS" w:hAnsi="Arial Narrow" w:cs="Arial"/>
                <w:bCs w:val="0"/>
                <w:sz w:val="25"/>
                <w:szCs w:val="25"/>
              </w:rPr>
              <w:t>2014SK16RFOP002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Názov</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5"/>
                <w:szCs w:val="25"/>
              </w:rPr>
            </w:pPr>
            <w:r>
              <w:rPr>
                <w:rFonts w:ascii="Arial Narrow" w:hAnsi="Arial Narrow" w:cs="Arial"/>
                <w:b/>
                <w:sz w:val="25"/>
                <w:szCs w:val="25"/>
              </w:rPr>
              <w:t xml:space="preserve">Integrovaný regionálny operačný program 2014 - 2020 </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Verzia</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5"/>
                <w:szCs w:val="25"/>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Prvý rok</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5"/>
                <w:szCs w:val="25"/>
              </w:rPr>
            </w:pPr>
            <w:r>
              <w:rPr>
                <w:rFonts w:ascii="Arial Narrow" w:hAnsi="Arial Narrow" w:cs="Arial"/>
                <w:sz w:val="25"/>
                <w:szCs w:val="25"/>
              </w:rPr>
              <w:t>2014</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Posledný rok</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5"/>
                <w:szCs w:val="25"/>
              </w:rPr>
            </w:pPr>
            <w:r>
              <w:rPr>
                <w:rFonts w:ascii="Arial Narrow" w:hAnsi="Arial Narrow" w:cs="Arial"/>
                <w:sz w:val="25"/>
                <w:szCs w:val="25"/>
              </w:rPr>
              <w:t>2020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Oprávnenie od</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5"/>
                <w:szCs w:val="25"/>
              </w:rPr>
            </w:pPr>
            <w:r>
              <w:rPr>
                <w:rFonts w:ascii="Arial Narrow" w:hAnsi="Arial Narrow" w:cs="Arial"/>
                <w:sz w:val="25"/>
                <w:szCs w:val="25"/>
              </w:rPr>
              <w:t>1. 1. 2014</w:t>
            </w: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Oprávnenie do</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5"/>
                <w:szCs w:val="25"/>
              </w:rPr>
            </w:pPr>
            <w:r>
              <w:rPr>
                <w:rFonts w:ascii="Arial Narrow" w:hAnsi="Arial Narrow" w:cs="Arial"/>
                <w:sz w:val="25"/>
                <w:szCs w:val="25"/>
              </w:rPr>
              <w:t>31. 12. 2023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Číslo rozhodnutia EK</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5"/>
                <w:szCs w:val="25"/>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Dátum rozhodnutia EK</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5"/>
                <w:szCs w:val="25"/>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Číslo rozhodnutia ČŠ</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5"/>
                <w:szCs w:val="25"/>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Dátum rozhodnutia ČŠ</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5"/>
                <w:szCs w:val="25"/>
              </w:rPr>
            </w:pP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Dátum nadobudnutia účinnosti rozhodnutia ČŠ</w:t>
            </w:r>
          </w:p>
        </w:tc>
        <w:tc>
          <w:tcPr>
            <w:tcW w:w="5670" w:type="dxa"/>
            <w:shd w:val="clear" w:color="auto" w:fill="auto"/>
            <w:vAlign w:val="center"/>
          </w:tcPr>
          <w:p>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5"/>
                <w:szCs w:val="25"/>
              </w:rPr>
            </w:pPr>
          </w:p>
        </w:tc>
      </w:tr>
      <w:tr>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pPr>
              <w:spacing w:after="0"/>
              <w:rPr>
                <w:rFonts w:ascii="Arial Narrow" w:hAnsi="Arial Narrow" w:cs="Arial"/>
                <w:sz w:val="25"/>
                <w:szCs w:val="25"/>
              </w:rPr>
            </w:pPr>
            <w:r>
              <w:rPr>
                <w:rFonts w:ascii="Arial Narrow" w:hAnsi="Arial Narrow" w:cs="Arial"/>
                <w:sz w:val="25"/>
                <w:szCs w:val="25"/>
              </w:rPr>
              <w:t>Regióny NUTS, na ktoré sa operačný program vzťahuje</w:t>
            </w:r>
          </w:p>
        </w:tc>
        <w:tc>
          <w:tcPr>
            <w:tcW w:w="5670" w:type="dxa"/>
            <w:shd w:val="clear" w:color="auto" w:fill="auto"/>
            <w:vAlign w:val="center"/>
          </w:tcPr>
          <w:p>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5"/>
                <w:szCs w:val="25"/>
              </w:rPr>
            </w:pPr>
            <w:r>
              <w:rPr>
                <w:rFonts w:ascii="Arial Narrow" w:hAnsi="Arial Narrow" w:cs="Arial"/>
                <w:sz w:val="25"/>
                <w:szCs w:val="25"/>
              </w:rPr>
              <w:t>Všetky regióny Slovenska na úrovni NUTS 3</w:t>
            </w:r>
          </w:p>
        </w:tc>
      </w:tr>
    </w:tbl>
    <w:p>
      <w:pPr>
        <w:rPr>
          <w:rFonts w:ascii="Arial" w:hAnsi="Arial" w:cs="Arial"/>
        </w:rPr>
        <w:sectPr>
          <w:headerReference w:type="even" r:id="rId9"/>
          <w:headerReference w:type="default" r:id="rId10"/>
          <w:footerReference w:type="even" r:id="rId11"/>
          <w:footerReference w:type="default" r:id="rId12"/>
          <w:footerReference w:type="first" r:id="rId13"/>
          <w:pgSz w:w="11906" w:h="16838"/>
          <w:pgMar w:top="1417" w:right="1417" w:bottom="1417" w:left="993" w:header="708" w:footer="708" w:gutter="0"/>
          <w:cols w:space="708"/>
          <w:titlePg/>
          <w:docGrid w:linePitch="360"/>
        </w:sectPr>
      </w:pPr>
    </w:p>
    <w:p>
      <w:pPr>
        <w:pStyle w:val="Hlavikaobsahu"/>
        <w:rPr>
          <w:rFonts w:ascii="Arial" w:hAnsi="Arial" w:cs="Arial"/>
        </w:rPr>
      </w:pPr>
      <w:r>
        <w:rPr>
          <w:rFonts w:ascii="Arial" w:hAnsi="Arial" w:cs="Arial"/>
        </w:rPr>
        <w:lastRenderedPageBreak/>
        <w:t>Obsah</w:t>
      </w:r>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651781" w:history="1">
        <w:r>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_Toc387651781 \h </w:instrText>
        </w:r>
        <w:r>
          <w:rPr>
            <w:noProof/>
            <w:webHidden/>
          </w:rPr>
        </w:r>
        <w:r>
          <w:rPr>
            <w:noProof/>
            <w:webHidden/>
          </w:rPr>
          <w:fldChar w:fldCharType="separate"/>
        </w:r>
        <w:r>
          <w:rPr>
            <w:noProof/>
            <w:webHidden/>
          </w:rPr>
          <w:t>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_Toc387651782 \h </w:instrText>
        </w:r>
        <w:r>
          <w:rPr>
            <w:noProof/>
            <w:webHidden/>
          </w:rPr>
        </w:r>
        <w:r>
          <w:rPr>
            <w:noProof/>
            <w:webHidden/>
          </w:rPr>
          <w:fldChar w:fldCharType="separate"/>
        </w:r>
        <w:r>
          <w:rPr>
            <w:noProof/>
            <w:webHidden/>
          </w:rPr>
          <w:t>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Pr>
            <w:noProof/>
            <w:webHidden/>
          </w:rPr>
          <w:tab/>
        </w:r>
        <w:r>
          <w:rPr>
            <w:noProof/>
            <w:webHidden/>
          </w:rPr>
          <w:fldChar w:fldCharType="begin"/>
        </w:r>
        <w:r>
          <w:rPr>
            <w:noProof/>
            <w:webHidden/>
          </w:rPr>
          <w:instrText xml:space="preserve"> PAGEREF _Toc387651783 \h </w:instrText>
        </w:r>
        <w:r>
          <w:rPr>
            <w:noProof/>
            <w:webHidden/>
          </w:rPr>
        </w:r>
        <w:r>
          <w:rPr>
            <w:noProof/>
            <w:webHidden/>
          </w:rPr>
          <w:fldChar w:fldCharType="separate"/>
        </w:r>
        <w:r>
          <w:rPr>
            <w:noProof/>
            <w:webHidden/>
          </w:rPr>
          <w:t>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Pr>
            <w:noProof/>
            <w:webHidden/>
          </w:rPr>
          <w:tab/>
        </w:r>
        <w:r>
          <w:rPr>
            <w:noProof/>
            <w:webHidden/>
          </w:rPr>
          <w:fldChar w:fldCharType="begin"/>
        </w:r>
        <w:r>
          <w:rPr>
            <w:noProof/>
            <w:webHidden/>
          </w:rPr>
          <w:instrText xml:space="preserve"> PAGEREF _Toc387651784 \h </w:instrText>
        </w:r>
        <w:r>
          <w:rPr>
            <w:noProof/>
            <w:webHidden/>
          </w:rPr>
        </w:r>
        <w:r>
          <w:rPr>
            <w:noProof/>
            <w:webHidden/>
          </w:rPr>
          <w:fldChar w:fldCharType="separate"/>
        </w:r>
        <w:r>
          <w:rPr>
            <w:noProof/>
            <w:webHidden/>
          </w:rPr>
          <w:t>28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Pr>
            <w:rStyle w:val="Hypertextovprepojenie"/>
            <w:rFonts w:ascii="Arial" w:hAnsi="Arial" w:cs="Arial"/>
            <w:noProof/>
          </w:rPr>
          <w:t>1.2 Odôvodnenie pridelených finančných prostriedkov</w:t>
        </w:r>
        <w:r>
          <w:rPr>
            <w:noProof/>
            <w:webHidden/>
          </w:rPr>
          <w:tab/>
        </w:r>
        <w:r>
          <w:rPr>
            <w:noProof/>
            <w:webHidden/>
          </w:rPr>
          <w:fldChar w:fldCharType="begin"/>
        </w:r>
        <w:r>
          <w:rPr>
            <w:noProof/>
            <w:webHidden/>
          </w:rPr>
          <w:instrText xml:space="preserve"> PAGEREF _Toc387651785 \h </w:instrText>
        </w:r>
        <w:r>
          <w:rPr>
            <w:noProof/>
            <w:webHidden/>
          </w:rPr>
        </w:r>
        <w:r>
          <w:rPr>
            <w:noProof/>
            <w:webHidden/>
          </w:rPr>
          <w:fldChar w:fldCharType="separate"/>
        </w:r>
        <w:r>
          <w:rPr>
            <w:noProof/>
            <w:webHidden/>
          </w:rPr>
          <w:t>31</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Pr>
            <w:rStyle w:val="Hypertextovprepojenie"/>
            <w:rFonts w:ascii="Arial" w:hAnsi="Arial" w:cs="Arial"/>
            <w:noProof/>
          </w:rPr>
          <w:t>Prioritné osi Integrovaného regionálneho operačného programu</w:t>
        </w:r>
        <w:r>
          <w:rPr>
            <w:noProof/>
            <w:webHidden/>
          </w:rPr>
          <w:tab/>
        </w:r>
        <w:r>
          <w:rPr>
            <w:noProof/>
            <w:webHidden/>
          </w:rPr>
          <w:fldChar w:fldCharType="begin"/>
        </w:r>
        <w:r>
          <w:rPr>
            <w:noProof/>
            <w:webHidden/>
          </w:rPr>
          <w:instrText xml:space="preserve"> PAGEREF _Toc387651786 \h </w:instrText>
        </w:r>
        <w:r>
          <w:rPr>
            <w:noProof/>
            <w:webHidden/>
          </w:rPr>
        </w:r>
        <w:r>
          <w:rPr>
            <w:noProof/>
            <w:webHidden/>
          </w:rPr>
          <w:fldChar w:fldCharType="separate"/>
        </w:r>
        <w:r>
          <w:rPr>
            <w:noProof/>
            <w:webHidden/>
          </w:rPr>
          <w:t>38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Pr>
            <w:rStyle w:val="Hypertextovprepojenie"/>
            <w:rFonts w:ascii="Arial" w:hAnsi="Arial" w:cs="Arial"/>
            <w:noProof/>
          </w:rPr>
          <w:t>2.A Opis prioritných osí Integrovaného regionálneho operačného programu</w:t>
        </w:r>
        <w:r>
          <w:rPr>
            <w:noProof/>
            <w:webHidden/>
          </w:rPr>
          <w:tab/>
        </w:r>
        <w:r>
          <w:rPr>
            <w:noProof/>
            <w:webHidden/>
          </w:rPr>
          <w:fldChar w:fldCharType="begin"/>
        </w:r>
        <w:r>
          <w:rPr>
            <w:noProof/>
            <w:webHidden/>
          </w:rPr>
          <w:instrText xml:space="preserve"> PAGEREF _Toc387651787 \h </w:instrText>
        </w:r>
        <w:r>
          <w:rPr>
            <w:noProof/>
            <w:webHidden/>
          </w:rPr>
        </w:r>
        <w:r>
          <w:rPr>
            <w:noProof/>
            <w:webHidden/>
          </w:rPr>
          <w:fldChar w:fldCharType="separate"/>
        </w:r>
        <w:r>
          <w:rPr>
            <w:noProof/>
            <w:webHidden/>
          </w:rPr>
          <w:t>38</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Pr>
            <w:rStyle w:val="Hypertextovprepojenie"/>
            <w:rFonts w:ascii="Arial" w:hAnsi="Arial" w:cs="Arial"/>
            <w:noProof/>
          </w:rPr>
          <w:t>2.1 Prioritná os č. 1: Bezpečná a ekologická doprava v regiónoch</w:t>
        </w:r>
        <w:r>
          <w:rPr>
            <w:noProof/>
            <w:webHidden/>
          </w:rPr>
          <w:tab/>
        </w:r>
        <w:r>
          <w:rPr>
            <w:noProof/>
            <w:webHidden/>
          </w:rPr>
          <w:fldChar w:fldCharType="begin"/>
        </w:r>
        <w:r>
          <w:rPr>
            <w:noProof/>
            <w:webHidden/>
          </w:rPr>
          <w:instrText xml:space="preserve"> PAGEREF _Toc387651788 \h </w:instrText>
        </w:r>
        <w:r>
          <w:rPr>
            <w:noProof/>
            <w:webHidden/>
          </w:rPr>
        </w:r>
        <w:r>
          <w:rPr>
            <w:noProof/>
            <w:webHidden/>
          </w:rPr>
          <w:fldChar w:fldCharType="separate"/>
        </w:r>
        <w:r>
          <w:rPr>
            <w:noProof/>
            <w:webHidden/>
          </w:rPr>
          <w:t>38</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Pr>
            <w:rStyle w:val="Hypertextovprepojenie"/>
            <w:rFonts w:ascii="Arial" w:hAnsi="Arial" w:cs="Arial"/>
            <w:noProof/>
          </w:rPr>
          <w:t>2.1.1 Investičná priorita č. 1.1: Posilnenie regionálnej mobility prepojením sekundárnych a terciárnych uzlov s infraštruktúrou TEN-T vrátane multimodálnych uzlov</w:t>
        </w:r>
        <w:r>
          <w:rPr>
            <w:noProof/>
            <w:webHidden/>
          </w:rPr>
          <w:tab/>
        </w:r>
        <w:r>
          <w:rPr>
            <w:noProof/>
            <w:webHidden/>
          </w:rPr>
          <w:fldChar w:fldCharType="begin"/>
        </w:r>
        <w:r>
          <w:rPr>
            <w:noProof/>
            <w:webHidden/>
          </w:rPr>
          <w:instrText xml:space="preserve"> PAGEREF _Toc387651789 \h </w:instrText>
        </w:r>
        <w:r>
          <w:rPr>
            <w:noProof/>
            <w:webHidden/>
          </w:rPr>
        </w:r>
        <w:r>
          <w:rPr>
            <w:noProof/>
            <w:webHidden/>
          </w:rPr>
          <w:fldChar w:fldCharType="separate"/>
        </w:r>
        <w:r>
          <w:rPr>
            <w:noProof/>
            <w:webHidden/>
          </w:rPr>
          <w:t>39</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_Toc387651790 \h </w:instrText>
        </w:r>
        <w:r>
          <w:rPr>
            <w:noProof/>
            <w:webHidden/>
          </w:rPr>
        </w:r>
        <w:r>
          <w:rPr>
            <w:noProof/>
            <w:webHidden/>
          </w:rPr>
          <w:fldChar w:fldCharType="separate"/>
        </w:r>
        <w:r>
          <w:rPr>
            <w:noProof/>
            <w:webHidden/>
          </w:rPr>
          <w:t>40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_Toc387651791 \h </w:instrText>
        </w:r>
        <w:r>
          <w:rPr>
            <w:noProof/>
            <w:webHidden/>
          </w:rPr>
        </w:r>
        <w:r>
          <w:rPr>
            <w:noProof/>
            <w:webHidden/>
          </w:rPr>
          <w:fldChar w:fldCharType="separate"/>
        </w:r>
        <w:r>
          <w:rPr>
            <w:noProof/>
            <w:webHidden/>
          </w:rPr>
          <w:t>40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2" w:history="1">
        <w:r>
          <w:rPr>
            <w:rStyle w:val="Hypertextovprepojenie"/>
            <w:rFonts w:ascii="Arial" w:hAnsi="Arial" w:cs="Arial"/>
            <w:noProof/>
          </w:rPr>
          <w:t>2.1.1.2. Hlavné zásady výberu operácií</w:t>
        </w:r>
        <w:r>
          <w:rPr>
            <w:noProof/>
            <w:webHidden/>
          </w:rPr>
          <w:tab/>
        </w:r>
        <w:r>
          <w:rPr>
            <w:noProof/>
            <w:webHidden/>
          </w:rPr>
          <w:fldChar w:fldCharType="begin"/>
        </w:r>
        <w:r>
          <w:rPr>
            <w:noProof/>
            <w:webHidden/>
          </w:rPr>
          <w:instrText xml:space="preserve"> PAGEREF _Toc387651792 \h </w:instrText>
        </w:r>
        <w:r>
          <w:rPr>
            <w:noProof/>
            <w:webHidden/>
          </w:rPr>
        </w:r>
        <w:r>
          <w:rPr>
            <w:noProof/>
            <w:webHidden/>
          </w:rPr>
          <w:fldChar w:fldCharType="separate"/>
        </w:r>
        <w:r>
          <w:rPr>
            <w:noProof/>
            <w:webHidden/>
          </w:rPr>
          <w:t>42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Pr>
            <w:rStyle w:val="Hypertextovprepojenie"/>
            <w:rFonts w:ascii="Arial" w:hAnsi="Arial" w:cs="Arial"/>
            <w:noProof/>
          </w:rPr>
          <w:t>2.1.1.3. Plánované využitie finančných nástrojov</w:t>
        </w:r>
        <w:r>
          <w:rPr>
            <w:noProof/>
            <w:webHidden/>
          </w:rPr>
          <w:tab/>
        </w:r>
        <w:r>
          <w:rPr>
            <w:noProof/>
            <w:webHidden/>
          </w:rPr>
          <w:fldChar w:fldCharType="begin"/>
        </w:r>
        <w:r>
          <w:rPr>
            <w:noProof/>
            <w:webHidden/>
          </w:rPr>
          <w:instrText xml:space="preserve"> PAGEREF _Toc387651793 \h </w:instrText>
        </w:r>
        <w:r>
          <w:rPr>
            <w:noProof/>
            <w:webHidden/>
          </w:rPr>
        </w:r>
        <w:r>
          <w:rPr>
            <w:noProof/>
            <w:webHidden/>
          </w:rPr>
          <w:fldChar w:fldCharType="separate"/>
        </w:r>
        <w:r>
          <w:rPr>
            <w:noProof/>
            <w:webHidden/>
          </w:rPr>
          <w:t>44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Pr>
            <w:rStyle w:val="Hypertextovprepojenie"/>
            <w:rFonts w:ascii="Arial" w:hAnsi="Arial" w:cs="Arial"/>
            <w:noProof/>
          </w:rPr>
          <w:t>2.1.1.4. Plánované využitie veľkých  projektov</w:t>
        </w:r>
        <w:r>
          <w:rPr>
            <w:noProof/>
            <w:webHidden/>
          </w:rPr>
          <w:tab/>
        </w:r>
        <w:r>
          <w:rPr>
            <w:noProof/>
            <w:webHidden/>
          </w:rPr>
          <w:fldChar w:fldCharType="begin"/>
        </w:r>
        <w:r>
          <w:rPr>
            <w:noProof/>
            <w:webHidden/>
          </w:rPr>
          <w:instrText xml:space="preserve"> PAGEREF _Toc387651794 \h </w:instrText>
        </w:r>
        <w:r>
          <w:rPr>
            <w:noProof/>
            <w:webHidden/>
          </w:rPr>
        </w:r>
        <w:r>
          <w:rPr>
            <w:noProof/>
            <w:webHidden/>
          </w:rPr>
          <w:fldChar w:fldCharType="separate"/>
        </w:r>
        <w:r>
          <w:rPr>
            <w:noProof/>
            <w:webHidden/>
          </w:rPr>
          <w:t>44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5" w:history="1">
        <w:r>
          <w:rPr>
            <w:rStyle w:val="Hypertextovprepojenie"/>
            <w:rFonts w:ascii="Arial" w:hAnsi="Arial" w:cs="Arial"/>
            <w:noProof/>
          </w:rPr>
          <w:t>2.1.1.5.Ukazovatele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_Toc387651795 \h </w:instrText>
        </w:r>
        <w:r>
          <w:rPr>
            <w:noProof/>
            <w:webHidden/>
          </w:rPr>
        </w:r>
        <w:r>
          <w:rPr>
            <w:noProof/>
            <w:webHidden/>
          </w:rPr>
          <w:fldChar w:fldCharType="separate"/>
        </w:r>
        <w:r>
          <w:rPr>
            <w:noProof/>
            <w:webHidden/>
          </w:rPr>
          <w:t>44</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Pr>
            <w:noProof/>
            <w:webHidden/>
          </w:rPr>
          <w:tab/>
        </w:r>
        <w:r>
          <w:rPr>
            <w:noProof/>
            <w:webHidden/>
          </w:rPr>
          <w:fldChar w:fldCharType="begin"/>
        </w:r>
        <w:r>
          <w:rPr>
            <w:noProof/>
            <w:webHidden/>
          </w:rPr>
          <w:instrText xml:space="preserve"> PAGEREF _Toc387651796 \h </w:instrText>
        </w:r>
        <w:r>
          <w:rPr>
            <w:noProof/>
            <w:webHidden/>
          </w:rPr>
        </w:r>
        <w:r>
          <w:rPr>
            <w:noProof/>
            <w:webHidden/>
          </w:rPr>
          <w:fldChar w:fldCharType="separate"/>
        </w:r>
        <w:r>
          <w:rPr>
            <w:noProof/>
            <w:webHidden/>
          </w:rPr>
          <w:t>45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_Toc387651797 \h </w:instrText>
        </w:r>
        <w:r>
          <w:rPr>
            <w:noProof/>
            <w:webHidden/>
          </w:rPr>
        </w:r>
        <w:r>
          <w:rPr>
            <w:noProof/>
            <w:webHidden/>
          </w:rPr>
          <w:fldChar w:fldCharType="separate"/>
        </w:r>
        <w:r>
          <w:rPr>
            <w:noProof/>
            <w:webHidden/>
          </w:rPr>
          <w:t>48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8" w:history="1">
        <w:r>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_Toc387651798 \h </w:instrText>
        </w:r>
        <w:r>
          <w:rPr>
            <w:noProof/>
            <w:webHidden/>
          </w:rPr>
        </w:r>
        <w:r>
          <w:rPr>
            <w:noProof/>
            <w:webHidden/>
          </w:rPr>
          <w:fldChar w:fldCharType="separate"/>
        </w:r>
        <w:r>
          <w:rPr>
            <w:noProof/>
            <w:webHidden/>
          </w:rPr>
          <w:t>48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799" w:history="1">
        <w:r>
          <w:rPr>
            <w:rStyle w:val="Hypertextovprepojenie"/>
            <w:rFonts w:ascii="Arial" w:hAnsi="Arial" w:cs="Arial"/>
            <w:noProof/>
          </w:rPr>
          <w:t>2.1.2.2. Hlavné zásady výberu operácií</w:t>
        </w:r>
        <w:r>
          <w:rPr>
            <w:noProof/>
            <w:webHidden/>
          </w:rPr>
          <w:tab/>
        </w:r>
        <w:r>
          <w:rPr>
            <w:noProof/>
            <w:webHidden/>
          </w:rPr>
          <w:fldChar w:fldCharType="begin"/>
        </w:r>
        <w:r>
          <w:rPr>
            <w:noProof/>
            <w:webHidden/>
          </w:rPr>
          <w:instrText xml:space="preserve"> PAGEREF _Toc387651799 \h </w:instrText>
        </w:r>
        <w:r>
          <w:rPr>
            <w:noProof/>
            <w:webHidden/>
          </w:rPr>
        </w:r>
        <w:r>
          <w:rPr>
            <w:noProof/>
            <w:webHidden/>
          </w:rPr>
          <w:fldChar w:fldCharType="separate"/>
        </w:r>
        <w:r>
          <w:rPr>
            <w:noProof/>
            <w:webHidden/>
          </w:rPr>
          <w:t>51</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00" w:history="1">
        <w:r>
          <w:rPr>
            <w:rStyle w:val="Hypertextovprepojenie"/>
            <w:rFonts w:ascii="Arial" w:hAnsi="Arial" w:cs="Arial"/>
            <w:noProof/>
          </w:rPr>
          <w:t>2.1.2.3. Plánované využitie finančných nástrojov</w:t>
        </w:r>
        <w:r>
          <w:rPr>
            <w:noProof/>
            <w:webHidden/>
          </w:rPr>
          <w:tab/>
        </w:r>
        <w:r>
          <w:rPr>
            <w:noProof/>
            <w:webHidden/>
          </w:rPr>
          <w:fldChar w:fldCharType="begin"/>
        </w:r>
        <w:r>
          <w:rPr>
            <w:noProof/>
            <w:webHidden/>
          </w:rPr>
          <w:instrText xml:space="preserve"> PAGEREF _Toc387651800 \h </w:instrText>
        </w:r>
        <w:r>
          <w:rPr>
            <w:noProof/>
            <w:webHidden/>
          </w:rPr>
        </w:r>
        <w:r>
          <w:rPr>
            <w:noProof/>
            <w:webHidden/>
          </w:rPr>
          <w:fldChar w:fldCharType="separate"/>
        </w:r>
        <w:r>
          <w:rPr>
            <w:noProof/>
            <w:webHidden/>
          </w:rPr>
          <w:t>52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01" w:history="1">
        <w:r>
          <w:rPr>
            <w:rStyle w:val="Hypertextovprepojenie"/>
            <w:rFonts w:ascii="Arial" w:hAnsi="Arial" w:cs="Arial"/>
            <w:noProof/>
          </w:rPr>
          <w:t>2.1.2.4  Plánované využitie veľkých  projektov</w:t>
        </w:r>
        <w:r>
          <w:rPr>
            <w:noProof/>
            <w:webHidden/>
          </w:rPr>
          <w:tab/>
        </w:r>
        <w:r>
          <w:rPr>
            <w:noProof/>
            <w:webHidden/>
          </w:rPr>
          <w:fldChar w:fldCharType="begin"/>
        </w:r>
        <w:r>
          <w:rPr>
            <w:noProof/>
            <w:webHidden/>
          </w:rPr>
          <w:instrText xml:space="preserve"> PAGEREF _Toc387651801 \h </w:instrText>
        </w:r>
        <w:r>
          <w:rPr>
            <w:noProof/>
            <w:webHidden/>
          </w:rPr>
        </w:r>
        <w:r>
          <w:rPr>
            <w:noProof/>
            <w:webHidden/>
          </w:rPr>
          <w:fldChar w:fldCharType="separate"/>
        </w:r>
        <w:r>
          <w:rPr>
            <w:noProof/>
            <w:webHidden/>
          </w:rPr>
          <w:t>52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02" w:history="1">
        <w:r>
          <w:rPr>
            <w:rStyle w:val="Hypertextovprepojenie"/>
            <w:rFonts w:ascii="Arial" w:hAnsi="Arial" w:cs="Arial"/>
            <w:noProof/>
          </w:rPr>
          <w:t>2.1.2.5.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_Toc387651802 \h </w:instrText>
        </w:r>
        <w:r>
          <w:rPr>
            <w:noProof/>
            <w:webHidden/>
          </w:rPr>
        </w:r>
        <w:r>
          <w:rPr>
            <w:noProof/>
            <w:webHidden/>
          </w:rPr>
          <w:fldChar w:fldCharType="separate"/>
        </w:r>
        <w:r>
          <w:rPr>
            <w:noProof/>
            <w:webHidden/>
          </w:rPr>
          <w:t>53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03"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_Toc387651803 \h </w:instrText>
        </w:r>
        <w:r>
          <w:rPr>
            <w:noProof/>
            <w:webHidden/>
          </w:rPr>
        </w:r>
        <w:r>
          <w:rPr>
            <w:noProof/>
            <w:webHidden/>
          </w:rPr>
          <w:fldChar w:fldCharType="separate"/>
        </w:r>
        <w:r>
          <w:rPr>
            <w:noProof/>
            <w:webHidden/>
          </w:rPr>
          <w:t>54</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04"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_Toc387651804 \h </w:instrText>
        </w:r>
        <w:r>
          <w:rPr>
            <w:noProof/>
            <w:webHidden/>
          </w:rPr>
        </w:r>
        <w:r>
          <w:rPr>
            <w:noProof/>
            <w:webHidden/>
          </w:rPr>
          <w:fldChar w:fldCharType="separate"/>
        </w:r>
        <w:r>
          <w:rPr>
            <w:noProof/>
            <w:webHidden/>
          </w:rPr>
          <w:t>55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05"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_Toc387651805 \h </w:instrText>
        </w:r>
        <w:r>
          <w:rPr>
            <w:noProof/>
            <w:webHidden/>
          </w:rPr>
        </w:r>
        <w:r>
          <w:rPr>
            <w:noProof/>
            <w:webHidden/>
          </w:rPr>
          <w:fldChar w:fldCharType="separate"/>
        </w:r>
        <w:r>
          <w:rPr>
            <w:noProof/>
            <w:webHidden/>
          </w:rPr>
          <w:t>56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06" w:history="1">
        <w:r>
          <w:rPr>
            <w:rStyle w:val="Hypertextovprepojenie"/>
            <w:rFonts w:ascii="Arial" w:hAnsi="Arial" w:cs="Arial"/>
            <w:noProof/>
          </w:rPr>
          <w:t>2.2.Prioritná os č. 2: Ľahší prístup k efektívnym a kvalitnejším verejným službám</w:t>
        </w:r>
        <w:r>
          <w:rPr>
            <w:noProof/>
            <w:webHidden/>
          </w:rPr>
          <w:tab/>
        </w:r>
        <w:r>
          <w:rPr>
            <w:noProof/>
            <w:webHidden/>
          </w:rPr>
          <w:fldChar w:fldCharType="begin"/>
        </w:r>
        <w:r>
          <w:rPr>
            <w:noProof/>
            <w:webHidden/>
          </w:rPr>
          <w:instrText xml:space="preserve"> PAGEREF _Toc387651806 \h </w:instrText>
        </w:r>
        <w:r>
          <w:rPr>
            <w:noProof/>
            <w:webHidden/>
          </w:rPr>
        </w:r>
        <w:r>
          <w:rPr>
            <w:noProof/>
            <w:webHidden/>
          </w:rPr>
          <w:fldChar w:fldCharType="separate"/>
        </w:r>
        <w:r>
          <w:rPr>
            <w:noProof/>
            <w:webHidden/>
          </w:rPr>
          <w:t>57</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07" w:history="1">
        <w:r>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Pr>
            <w:noProof/>
            <w:webHidden/>
          </w:rPr>
          <w:tab/>
        </w:r>
        <w:r>
          <w:rPr>
            <w:noProof/>
            <w:webHidden/>
          </w:rPr>
          <w:fldChar w:fldCharType="begin"/>
        </w:r>
        <w:r>
          <w:rPr>
            <w:noProof/>
            <w:webHidden/>
          </w:rPr>
          <w:instrText xml:space="preserve"> PAGEREF _Toc387651807 \h </w:instrText>
        </w:r>
        <w:r>
          <w:rPr>
            <w:noProof/>
            <w:webHidden/>
          </w:rPr>
        </w:r>
        <w:r>
          <w:rPr>
            <w:noProof/>
            <w:webHidden/>
          </w:rPr>
          <w:fldChar w:fldCharType="separate"/>
        </w:r>
        <w:r>
          <w:rPr>
            <w:noProof/>
            <w:webHidden/>
          </w:rPr>
          <w:t>58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08"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_Toc387651808 \h </w:instrText>
        </w:r>
        <w:r>
          <w:rPr>
            <w:noProof/>
            <w:webHidden/>
          </w:rPr>
        </w:r>
        <w:r>
          <w:rPr>
            <w:noProof/>
            <w:webHidden/>
          </w:rPr>
          <w:fldChar w:fldCharType="separate"/>
        </w:r>
        <w:r>
          <w:rPr>
            <w:noProof/>
            <w:webHidden/>
          </w:rPr>
          <w:t>63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09" w:history="1">
        <w:r>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_Toc387651809 \h </w:instrText>
        </w:r>
        <w:r>
          <w:rPr>
            <w:noProof/>
            <w:webHidden/>
          </w:rPr>
        </w:r>
        <w:r>
          <w:rPr>
            <w:noProof/>
            <w:webHidden/>
          </w:rPr>
          <w:fldChar w:fldCharType="separate"/>
        </w:r>
        <w:r>
          <w:rPr>
            <w:noProof/>
            <w:webHidden/>
          </w:rPr>
          <w:t>63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0" w:history="1">
        <w:r>
          <w:rPr>
            <w:rStyle w:val="Hypertextovprepojenie"/>
            <w:rFonts w:ascii="Arial" w:hAnsi="Arial" w:cs="Arial"/>
            <w:noProof/>
          </w:rPr>
          <w:t>2.2.1.2.  Hlavné zásady výberu operácií</w:t>
        </w:r>
        <w:r>
          <w:rPr>
            <w:noProof/>
            <w:webHidden/>
          </w:rPr>
          <w:tab/>
        </w:r>
        <w:r>
          <w:rPr>
            <w:noProof/>
            <w:webHidden/>
          </w:rPr>
          <w:fldChar w:fldCharType="begin"/>
        </w:r>
        <w:r>
          <w:rPr>
            <w:noProof/>
            <w:webHidden/>
          </w:rPr>
          <w:instrText xml:space="preserve"> PAGEREF _Toc387651810 \h </w:instrText>
        </w:r>
        <w:r>
          <w:rPr>
            <w:noProof/>
            <w:webHidden/>
          </w:rPr>
        </w:r>
        <w:r>
          <w:rPr>
            <w:noProof/>
            <w:webHidden/>
          </w:rPr>
          <w:fldChar w:fldCharType="separate"/>
        </w:r>
        <w:r>
          <w:rPr>
            <w:noProof/>
            <w:webHidden/>
          </w:rPr>
          <w:t>69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1" w:history="1">
        <w:r>
          <w:rPr>
            <w:rStyle w:val="Hypertextovprepojenie"/>
            <w:rFonts w:ascii="Arial" w:hAnsi="Arial" w:cs="Arial"/>
            <w:noProof/>
          </w:rPr>
          <w:t>2.2.1.3. Plánované využitie finančných nástrojov</w:t>
        </w:r>
        <w:r>
          <w:rPr>
            <w:noProof/>
            <w:webHidden/>
          </w:rPr>
          <w:tab/>
        </w:r>
        <w:r>
          <w:rPr>
            <w:noProof/>
            <w:webHidden/>
          </w:rPr>
          <w:fldChar w:fldCharType="begin"/>
        </w:r>
        <w:r>
          <w:rPr>
            <w:noProof/>
            <w:webHidden/>
          </w:rPr>
          <w:instrText xml:space="preserve"> PAGEREF _Toc387651811 \h </w:instrText>
        </w:r>
        <w:r>
          <w:rPr>
            <w:noProof/>
            <w:webHidden/>
          </w:rPr>
        </w:r>
        <w:r>
          <w:rPr>
            <w:noProof/>
            <w:webHidden/>
          </w:rPr>
          <w:fldChar w:fldCharType="separate"/>
        </w:r>
        <w:r>
          <w:rPr>
            <w:noProof/>
            <w:webHidden/>
          </w:rPr>
          <w:t>71</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2" w:history="1">
        <w:r>
          <w:rPr>
            <w:rStyle w:val="Hypertextovprepojenie"/>
            <w:rFonts w:ascii="Arial" w:hAnsi="Arial" w:cs="Arial"/>
            <w:noProof/>
          </w:rPr>
          <w:t>2.2.1.4. Plánované využitie veľkých projektov</w:t>
        </w:r>
        <w:r>
          <w:rPr>
            <w:noProof/>
            <w:webHidden/>
          </w:rPr>
          <w:tab/>
        </w:r>
        <w:r>
          <w:rPr>
            <w:noProof/>
            <w:webHidden/>
          </w:rPr>
          <w:fldChar w:fldCharType="begin"/>
        </w:r>
        <w:r>
          <w:rPr>
            <w:noProof/>
            <w:webHidden/>
          </w:rPr>
          <w:instrText xml:space="preserve"> PAGEREF _Toc387651812 \h </w:instrText>
        </w:r>
        <w:r>
          <w:rPr>
            <w:noProof/>
            <w:webHidden/>
          </w:rPr>
        </w:r>
        <w:r>
          <w:rPr>
            <w:noProof/>
            <w:webHidden/>
          </w:rPr>
          <w:fldChar w:fldCharType="separate"/>
        </w:r>
        <w:r>
          <w:rPr>
            <w:noProof/>
            <w:webHidden/>
          </w:rPr>
          <w:t>71</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3" w:history="1">
        <w:r>
          <w:rPr>
            <w:rStyle w:val="Hypertextovprepojenie"/>
            <w:rFonts w:ascii="Arial" w:hAnsi="Arial" w:cs="Arial"/>
            <w:noProof/>
          </w:rPr>
          <w:t>2.2.1.5.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_Toc387651813 \h </w:instrText>
        </w:r>
        <w:r>
          <w:rPr>
            <w:noProof/>
            <w:webHidden/>
          </w:rPr>
        </w:r>
        <w:r>
          <w:rPr>
            <w:noProof/>
            <w:webHidden/>
          </w:rPr>
          <w:fldChar w:fldCharType="separate"/>
        </w:r>
        <w:r>
          <w:rPr>
            <w:noProof/>
            <w:webHidden/>
          </w:rPr>
          <w:t>72</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14" w:history="1">
        <w:r>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Pr>
            <w:noProof/>
            <w:webHidden/>
          </w:rPr>
          <w:tab/>
        </w:r>
        <w:r>
          <w:rPr>
            <w:noProof/>
            <w:webHidden/>
          </w:rPr>
          <w:fldChar w:fldCharType="begin"/>
        </w:r>
        <w:r>
          <w:rPr>
            <w:noProof/>
            <w:webHidden/>
          </w:rPr>
          <w:instrText xml:space="preserve"> PAGEREF _Toc387651814 \h </w:instrText>
        </w:r>
        <w:r>
          <w:rPr>
            <w:noProof/>
            <w:webHidden/>
          </w:rPr>
        </w:r>
        <w:r>
          <w:rPr>
            <w:noProof/>
            <w:webHidden/>
          </w:rPr>
          <w:fldChar w:fldCharType="separate"/>
        </w:r>
        <w:r>
          <w:rPr>
            <w:noProof/>
            <w:webHidden/>
          </w:rPr>
          <w:t>74</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15"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_Toc387651815 \h </w:instrText>
        </w:r>
        <w:r>
          <w:rPr>
            <w:noProof/>
            <w:webHidden/>
          </w:rPr>
        </w:r>
        <w:r>
          <w:rPr>
            <w:noProof/>
            <w:webHidden/>
          </w:rPr>
          <w:fldChar w:fldCharType="separate"/>
        </w:r>
        <w:r>
          <w:rPr>
            <w:noProof/>
            <w:webHidden/>
          </w:rPr>
          <w:t>78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6" w:history="1">
        <w:r>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_Toc387651816 \h </w:instrText>
        </w:r>
        <w:r>
          <w:rPr>
            <w:noProof/>
            <w:webHidden/>
          </w:rPr>
        </w:r>
        <w:r>
          <w:rPr>
            <w:noProof/>
            <w:webHidden/>
          </w:rPr>
          <w:fldChar w:fldCharType="separate"/>
        </w:r>
        <w:r>
          <w:rPr>
            <w:noProof/>
            <w:webHidden/>
          </w:rPr>
          <w:t>78</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7" w:history="1">
        <w:r>
          <w:rPr>
            <w:rStyle w:val="Hypertextovprepojenie"/>
            <w:rFonts w:ascii="Arial" w:hAnsi="Arial" w:cs="Arial"/>
            <w:noProof/>
          </w:rPr>
          <w:t>2.2.2.2.Hlavné zásady výberu operácií</w:t>
        </w:r>
        <w:r>
          <w:rPr>
            <w:noProof/>
            <w:webHidden/>
          </w:rPr>
          <w:tab/>
        </w:r>
        <w:r>
          <w:rPr>
            <w:noProof/>
            <w:webHidden/>
          </w:rPr>
          <w:fldChar w:fldCharType="begin"/>
        </w:r>
        <w:r>
          <w:rPr>
            <w:noProof/>
            <w:webHidden/>
          </w:rPr>
          <w:instrText xml:space="preserve"> PAGEREF _Toc387651817 \h </w:instrText>
        </w:r>
        <w:r>
          <w:rPr>
            <w:noProof/>
            <w:webHidden/>
          </w:rPr>
        </w:r>
        <w:r>
          <w:rPr>
            <w:noProof/>
            <w:webHidden/>
          </w:rPr>
          <w:fldChar w:fldCharType="separate"/>
        </w:r>
        <w:r>
          <w:rPr>
            <w:noProof/>
            <w:webHidden/>
          </w:rPr>
          <w:t>80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8" w:history="1">
        <w:r>
          <w:rPr>
            <w:rStyle w:val="Hypertextovprepojenie"/>
            <w:rFonts w:ascii="Arial" w:hAnsi="Arial" w:cs="Arial"/>
            <w:noProof/>
          </w:rPr>
          <w:t>2.2.2.3. Plánované využitie finančných nástrojov</w:t>
        </w:r>
        <w:r>
          <w:rPr>
            <w:noProof/>
            <w:webHidden/>
          </w:rPr>
          <w:tab/>
        </w:r>
        <w:r>
          <w:rPr>
            <w:noProof/>
            <w:webHidden/>
          </w:rPr>
          <w:fldChar w:fldCharType="begin"/>
        </w:r>
        <w:r>
          <w:rPr>
            <w:noProof/>
            <w:webHidden/>
          </w:rPr>
          <w:instrText xml:space="preserve"> PAGEREF _Toc387651818 \h </w:instrText>
        </w:r>
        <w:r>
          <w:rPr>
            <w:noProof/>
            <w:webHidden/>
          </w:rPr>
        </w:r>
        <w:r>
          <w:rPr>
            <w:noProof/>
            <w:webHidden/>
          </w:rPr>
          <w:fldChar w:fldCharType="separate"/>
        </w:r>
        <w:r>
          <w:rPr>
            <w:noProof/>
            <w:webHidden/>
          </w:rPr>
          <w:t>83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19" w:history="1">
        <w:r>
          <w:rPr>
            <w:rStyle w:val="Hypertextovprepojenie"/>
            <w:rFonts w:ascii="Arial" w:hAnsi="Arial" w:cs="Arial"/>
            <w:noProof/>
          </w:rPr>
          <w:t>2.2.2.4.Plánované využitie veľkých projektov</w:t>
        </w:r>
        <w:r>
          <w:rPr>
            <w:noProof/>
            <w:webHidden/>
          </w:rPr>
          <w:tab/>
        </w:r>
        <w:r>
          <w:rPr>
            <w:noProof/>
            <w:webHidden/>
          </w:rPr>
          <w:fldChar w:fldCharType="begin"/>
        </w:r>
        <w:r>
          <w:rPr>
            <w:noProof/>
            <w:webHidden/>
          </w:rPr>
          <w:instrText xml:space="preserve"> PAGEREF _Toc387651819 \h </w:instrText>
        </w:r>
        <w:r>
          <w:rPr>
            <w:noProof/>
            <w:webHidden/>
          </w:rPr>
        </w:r>
        <w:r>
          <w:rPr>
            <w:noProof/>
            <w:webHidden/>
          </w:rPr>
          <w:fldChar w:fldCharType="separate"/>
        </w:r>
        <w:r>
          <w:rPr>
            <w:noProof/>
            <w:webHidden/>
          </w:rPr>
          <w:t>83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20" w:history="1">
        <w:r>
          <w:rPr>
            <w:rStyle w:val="Hypertextovprepojenie"/>
            <w:rFonts w:ascii="Arial" w:hAnsi="Arial" w:cs="Arial"/>
            <w:noProof/>
          </w:rPr>
          <w:t>2.2.2.5.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_Toc387651820 \h </w:instrText>
        </w:r>
        <w:r>
          <w:rPr>
            <w:noProof/>
            <w:webHidden/>
          </w:rPr>
        </w:r>
        <w:r>
          <w:rPr>
            <w:noProof/>
            <w:webHidden/>
          </w:rPr>
          <w:fldChar w:fldCharType="separate"/>
        </w:r>
        <w:r>
          <w:rPr>
            <w:noProof/>
            <w:webHidden/>
          </w:rPr>
          <w:t>83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21"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_Toc387651821 \h </w:instrText>
        </w:r>
        <w:r>
          <w:rPr>
            <w:noProof/>
            <w:webHidden/>
          </w:rPr>
        </w:r>
        <w:r>
          <w:rPr>
            <w:noProof/>
            <w:webHidden/>
          </w:rPr>
          <w:fldChar w:fldCharType="separate"/>
        </w:r>
        <w:r>
          <w:rPr>
            <w:noProof/>
            <w:webHidden/>
          </w:rPr>
          <w:t>85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22"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_Toc387651822 \h </w:instrText>
        </w:r>
        <w:r>
          <w:rPr>
            <w:noProof/>
            <w:webHidden/>
          </w:rPr>
        </w:r>
        <w:r>
          <w:rPr>
            <w:noProof/>
            <w:webHidden/>
          </w:rPr>
          <w:fldChar w:fldCharType="separate"/>
        </w:r>
        <w:r>
          <w:rPr>
            <w:noProof/>
            <w:webHidden/>
          </w:rPr>
          <w:t>86</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23"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_Toc387651823 \h </w:instrText>
        </w:r>
        <w:r>
          <w:rPr>
            <w:noProof/>
            <w:webHidden/>
          </w:rPr>
        </w:r>
        <w:r>
          <w:rPr>
            <w:noProof/>
            <w:webHidden/>
          </w:rPr>
          <w:fldChar w:fldCharType="separate"/>
        </w:r>
        <w:r>
          <w:rPr>
            <w:noProof/>
            <w:webHidden/>
          </w:rPr>
          <w:t>87</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24" w:history="1">
        <w:r>
          <w:rPr>
            <w:rStyle w:val="Hypertextovprepojenie"/>
            <w:rFonts w:ascii="Arial" w:hAnsi="Arial" w:cs="Arial"/>
            <w:noProof/>
          </w:rPr>
          <w:t>2.3. Prioritná os č. 3: Mobilizácia kreatívneho potenciálu v regiónoch</w:t>
        </w:r>
        <w:r>
          <w:rPr>
            <w:noProof/>
            <w:webHidden/>
          </w:rPr>
          <w:tab/>
        </w:r>
        <w:r>
          <w:rPr>
            <w:noProof/>
            <w:webHidden/>
          </w:rPr>
          <w:fldChar w:fldCharType="begin"/>
        </w:r>
        <w:r>
          <w:rPr>
            <w:noProof/>
            <w:webHidden/>
          </w:rPr>
          <w:instrText xml:space="preserve"> PAGEREF _Toc387651824 \h </w:instrText>
        </w:r>
        <w:r>
          <w:rPr>
            <w:noProof/>
            <w:webHidden/>
          </w:rPr>
        </w:r>
        <w:r>
          <w:rPr>
            <w:noProof/>
            <w:webHidden/>
          </w:rPr>
          <w:fldChar w:fldCharType="separate"/>
        </w:r>
        <w:r>
          <w:rPr>
            <w:noProof/>
            <w:webHidden/>
          </w:rPr>
          <w:t>88</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25" w:history="1">
        <w:r>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noProof/>
            <w:webHidden/>
          </w:rPr>
          <w:tab/>
        </w:r>
        <w:r>
          <w:rPr>
            <w:noProof/>
            <w:webHidden/>
          </w:rPr>
          <w:fldChar w:fldCharType="begin"/>
        </w:r>
        <w:r>
          <w:rPr>
            <w:noProof/>
            <w:webHidden/>
          </w:rPr>
          <w:instrText xml:space="preserve"> PAGEREF _Toc387651825 \h </w:instrText>
        </w:r>
        <w:r>
          <w:rPr>
            <w:noProof/>
            <w:webHidden/>
          </w:rPr>
        </w:r>
        <w:r>
          <w:rPr>
            <w:noProof/>
            <w:webHidden/>
          </w:rPr>
          <w:fldChar w:fldCharType="separate"/>
        </w:r>
        <w:r>
          <w:rPr>
            <w:noProof/>
            <w:webHidden/>
          </w:rPr>
          <w:t>89</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26"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_Toc387651826 \h </w:instrText>
        </w:r>
        <w:r>
          <w:rPr>
            <w:noProof/>
            <w:webHidden/>
          </w:rPr>
        </w:r>
        <w:r>
          <w:rPr>
            <w:noProof/>
            <w:webHidden/>
          </w:rPr>
          <w:fldChar w:fldCharType="separate"/>
        </w:r>
        <w:r>
          <w:rPr>
            <w:noProof/>
            <w:webHidden/>
          </w:rPr>
          <w:t>90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27" w:history="1">
        <w:r>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_Toc387651827 \h </w:instrText>
        </w:r>
        <w:r>
          <w:rPr>
            <w:noProof/>
            <w:webHidden/>
          </w:rPr>
        </w:r>
        <w:r>
          <w:rPr>
            <w:noProof/>
            <w:webHidden/>
          </w:rPr>
          <w:fldChar w:fldCharType="separate"/>
        </w:r>
        <w:r>
          <w:rPr>
            <w:noProof/>
            <w:webHidden/>
          </w:rPr>
          <w:t>90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28" w:history="1">
        <w:r>
          <w:rPr>
            <w:rStyle w:val="Hypertextovprepojenie"/>
            <w:rFonts w:ascii="Arial" w:hAnsi="Arial" w:cs="Arial"/>
            <w:noProof/>
          </w:rPr>
          <w:t>2.3.1.2. Hlavné zásady výberu operácií</w:t>
        </w:r>
        <w:r>
          <w:rPr>
            <w:noProof/>
            <w:webHidden/>
          </w:rPr>
          <w:tab/>
        </w:r>
        <w:r>
          <w:rPr>
            <w:noProof/>
            <w:webHidden/>
          </w:rPr>
          <w:fldChar w:fldCharType="begin"/>
        </w:r>
        <w:r>
          <w:rPr>
            <w:noProof/>
            <w:webHidden/>
          </w:rPr>
          <w:instrText xml:space="preserve"> PAGEREF _Toc387651828 \h </w:instrText>
        </w:r>
        <w:r>
          <w:rPr>
            <w:noProof/>
            <w:webHidden/>
          </w:rPr>
        </w:r>
        <w:r>
          <w:rPr>
            <w:noProof/>
            <w:webHidden/>
          </w:rPr>
          <w:fldChar w:fldCharType="separate"/>
        </w:r>
        <w:r>
          <w:rPr>
            <w:noProof/>
            <w:webHidden/>
          </w:rPr>
          <w:t>93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29" w:history="1">
        <w:r>
          <w:rPr>
            <w:rStyle w:val="Hypertextovprepojenie"/>
            <w:rFonts w:ascii="Arial" w:hAnsi="Arial" w:cs="Arial"/>
            <w:noProof/>
          </w:rPr>
          <w:t>2.3.1.3. Plánované využitie finančných nástrojov</w:t>
        </w:r>
        <w:r>
          <w:rPr>
            <w:noProof/>
            <w:webHidden/>
          </w:rPr>
          <w:tab/>
        </w:r>
        <w:r>
          <w:rPr>
            <w:noProof/>
            <w:webHidden/>
          </w:rPr>
          <w:fldChar w:fldCharType="begin"/>
        </w:r>
        <w:r>
          <w:rPr>
            <w:noProof/>
            <w:webHidden/>
          </w:rPr>
          <w:instrText xml:space="preserve"> PAGEREF _Toc387651829 \h </w:instrText>
        </w:r>
        <w:r>
          <w:rPr>
            <w:noProof/>
            <w:webHidden/>
          </w:rPr>
        </w:r>
        <w:r>
          <w:rPr>
            <w:noProof/>
            <w:webHidden/>
          </w:rPr>
          <w:fldChar w:fldCharType="separate"/>
        </w:r>
        <w:r>
          <w:rPr>
            <w:noProof/>
            <w:webHidden/>
          </w:rPr>
          <w:t>94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30" w:history="1">
        <w:r>
          <w:rPr>
            <w:rStyle w:val="Hypertextovprepojenie"/>
            <w:rFonts w:ascii="Arial" w:hAnsi="Arial" w:cs="Arial"/>
            <w:noProof/>
          </w:rPr>
          <w:t>2.3.1.4. Plánované využitie veľkých projektov</w:t>
        </w:r>
        <w:r>
          <w:rPr>
            <w:noProof/>
            <w:webHidden/>
          </w:rPr>
          <w:tab/>
        </w:r>
        <w:r>
          <w:rPr>
            <w:noProof/>
            <w:webHidden/>
          </w:rPr>
          <w:fldChar w:fldCharType="begin"/>
        </w:r>
        <w:r>
          <w:rPr>
            <w:noProof/>
            <w:webHidden/>
          </w:rPr>
          <w:instrText xml:space="preserve"> PAGEREF _Toc387651830 \h </w:instrText>
        </w:r>
        <w:r>
          <w:rPr>
            <w:noProof/>
            <w:webHidden/>
          </w:rPr>
        </w:r>
        <w:r>
          <w:rPr>
            <w:noProof/>
            <w:webHidden/>
          </w:rPr>
          <w:fldChar w:fldCharType="separate"/>
        </w:r>
        <w:r>
          <w:rPr>
            <w:noProof/>
            <w:webHidden/>
          </w:rPr>
          <w:t>95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31" w:history="1">
        <w:r>
          <w:rPr>
            <w:rStyle w:val="Hypertextovprepojenie"/>
            <w:rFonts w:ascii="Arial" w:hAnsi="Arial" w:cs="Arial"/>
            <w:noProof/>
          </w:rPr>
          <w:t>2.3.1.5. Ukazovatele výstupu podľa investičnej priority a ak je to vhodné, podľa kategórie regiónu</w:t>
        </w:r>
        <w:r>
          <w:rPr>
            <w:noProof/>
            <w:webHidden/>
          </w:rPr>
          <w:tab/>
        </w:r>
        <w:r>
          <w:rPr>
            <w:noProof/>
            <w:webHidden/>
          </w:rPr>
          <w:fldChar w:fldCharType="begin"/>
        </w:r>
        <w:r>
          <w:rPr>
            <w:noProof/>
            <w:webHidden/>
          </w:rPr>
          <w:instrText xml:space="preserve"> PAGEREF _Toc387651831 \h </w:instrText>
        </w:r>
        <w:r>
          <w:rPr>
            <w:noProof/>
            <w:webHidden/>
          </w:rPr>
        </w:r>
        <w:r>
          <w:rPr>
            <w:noProof/>
            <w:webHidden/>
          </w:rPr>
          <w:fldChar w:fldCharType="separate"/>
        </w:r>
        <w:r>
          <w:rPr>
            <w:noProof/>
            <w:webHidden/>
          </w:rPr>
          <w:t>95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32"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_Toc387651832 \h </w:instrText>
        </w:r>
        <w:r>
          <w:rPr>
            <w:noProof/>
            <w:webHidden/>
          </w:rPr>
        </w:r>
        <w:r>
          <w:rPr>
            <w:noProof/>
            <w:webHidden/>
          </w:rPr>
          <w:fldChar w:fldCharType="separate"/>
        </w:r>
        <w:r>
          <w:rPr>
            <w:noProof/>
            <w:webHidden/>
          </w:rPr>
          <w:t>96</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33"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_Toc387651833 \h </w:instrText>
        </w:r>
        <w:r>
          <w:rPr>
            <w:noProof/>
            <w:webHidden/>
          </w:rPr>
        </w:r>
        <w:r>
          <w:rPr>
            <w:noProof/>
            <w:webHidden/>
          </w:rPr>
          <w:fldChar w:fldCharType="separate"/>
        </w:r>
        <w:r>
          <w:rPr>
            <w:noProof/>
            <w:webHidden/>
          </w:rPr>
          <w:t>96</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34"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_Toc387651834 \h </w:instrText>
        </w:r>
        <w:r>
          <w:rPr>
            <w:noProof/>
            <w:webHidden/>
          </w:rPr>
        </w:r>
        <w:r>
          <w:rPr>
            <w:noProof/>
            <w:webHidden/>
          </w:rPr>
          <w:fldChar w:fldCharType="separate"/>
        </w:r>
        <w:r>
          <w:rPr>
            <w:noProof/>
            <w:webHidden/>
          </w:rPr>
          <w:t>97</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35" w:history="1">
        <w:r>
          <w:rPr>
            <w:rStyle w:val="Hypertextovprepojenie"/>
            <w:rFonts w:ascii="Arial" w:hAnsi="Arial" w:cs="Arial"/>
            <w:noProof/>
          </w:rPr>
          <w:t>2.4. Prioritná os č. 4: Zlepšenie kvality života v regiónoch s dôrazom na životné prostredie.</w:t>
        </w:r>
        <w:r>
          <w:rPr>
            <w:noProof/>
            <w:webHidden/>
          </w:rPr>
          <w:tab/>
        </w:r>
        <w:r>
          <w:rPr>
            <w:noProof/>
            <w:webHidden/>
          </w:rPr>
          <w:fldChar w:fldCharType="begin"/>
        </w:r>
        <w:r>
          <w:rPr>
            <w:noProof/>
            <w:webHidden/>
          </w:rPr>
          <w:instrText xml:space="preserve"> PAGEREF _Toc387651835 \h </w:instrText>
        </w:r>
        <w:r>
          <w:rPr>
            <w:noProof/>
            <w:webHidden/>
          </w:rPr>
        </w:r>
        <w:r>
          <w:rPr>
            <w:noProof/>
            <w:webHidden/>
          </w:rPr>
          <w:fldChar w:fldCharType="separate"/>
        </w:r>
        <w:r>
          <w:rPr>
            <w:noProof/>
            <w:webHidden/>
          </w:rPr>
          <w:t>98</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36" w:history="1">
        <w:r>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Pr>
            <w:noProof/>
            <w:webHidden/>
          </w:rPr>
          <w:tab/>
        </w:r>
        <w:r>
          <w:rPr>
            <w:noProof/>
            <w:webHidden/>
          </w:rPr>
          <w:fldChar w:fldCharType="begin"/>
        </w:r>
        <w:r>
          <w:rPr>
            <w:noProof/>
            <w:webHidden/>
          </w:rPr>
          <w:instrText xml:space="preserve"> PAGEREF _Toc387651836 \h </w:instrText>
        </w:r>
        <w:r>
          <w:rPr>
            <w:noProof/>
            <w:webHidden/>
          </w:rPr>
        </w:r>
        <w:r>
          <w:rPr>
            <w:noProof/>
            <w:webHidden/>
          </w:rPr>
          <w:fldChar w:fldCharType="separate"/>
        </w:r>
        <w:r>
          <w:rPr>
            <w:noProof/>
            <w:webHidden/>
          </w:rPr>
          <w:t>99</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37"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_Toc387651837 \h </w:instrText>
        </w:r>
        <w:r>
          <w:rPr>
            <w:noProof/>
            <w:webHidden/>
          </w:rPr>
        </w:r>
        <w:r>
          <w:rPr>
            <w:noProof/>
            <w:webHidden/>
          </w:rPr>
          <w:fldChar w:fldCharType="separate"/>
        </w:r>
        <w:r>
          <w:rPr>
            <w:noProof/>
            <w:webHidden/>
          </w:rPr>
          <w:t>100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38" w:history="1">
        <w:r>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_Toc387651838 \h </w:instrText>
        </w:r>
        <w:r>
          <w:rPr>
            <w:noProof/>
            <w:webHidden/>
          </w:rPr>
        </w:r>
        <w:r>
          <w:rPr>
            <w:noProof/>
            <w:webHidden/>
          </w:rPr>
          <w:fldChar w:fldCharType="separate"/>
        </w:r>
        <w:r>
          <w:rPr>
            <w:noProof/>
            <w:webHidden/>
          </w:rPr>
          <w:t>100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39" w:history="1">
        <w:r>
          <w:rPr>
            <w:rStyle w:val="Hypertextovprepojenie"/>
            <w:rFonts w:ascii="Arial" w:hAnsi="Arial" w:cs="Arial"/>
            <w:noProof/>
          </w:rPr>
          <w:t>2.4.1.2. Hlavné zásady výberu operácií</w:t>
        </w:r>
        <w:r>
          <w:rPr>
            <w:noProof/>
            <w:webHidden/>
          </w:rPr>
          <w:tab/>
        </w:r>
        <w:r>
          <w:rPr>
            <w:noProof/>
            <w:webHidden/>
          </w:rPr>
          <w:fldChar w:fldCharType="begin"/>
        </w:r>
        <w:r>
          <w:rPr>
            <w:noProof/>
            <w:webHidden/>
          </w:rPr>
          <w:instrText xml:space="preserve"> PAGEREF _Toc387651839 \h </w:instrText>
        </w:r>
        <w:r>
          <w:rPr>
            <w:noProof/>
            <w:webHidden/>
          </w:rPr>
        </w:r>
        <w:r>
          <w:rPr>
            <w:noProof/>
            <w:webHidden/>
          </w:rPr>
          <w:fldChar w:fldCharType="separate"/>
        </w:r>
        <w:r>
          <w:rPr>
            <w:noProof/>
            <w:webHidden/>
          </w:rPr>
          <w:t>100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0" w:history="1">
        <w:r>
          <w:rPr>
            <w:rStyle w:val="Hypertextovprepojenie"/>
            <w:rFonts w:ascii="Arial" w:hAnsi="Arial" w:cs="Arial"/>
            <w:noProof/>
          </w:rPr>
          <w:t>2.4.1.3. Plánované využitie finančných nástrojov</w:t>
        </w:r>
        <w:r>
          <w:rPr>
            <w:noProof/>
            <w:webHidden/>
          </w:rPr>
          <w:tab/>
        </w:r>
        <w:r>
          <w:rPr>
            <w:noProof/>
            <w:webHidden/>
          </w:rPr>
          <w:fldChar w:fldCharType="begin"/>
        </w:r>
        <w:r>
          <w:rPr>
            <w:noProof/>
            <w:webHidden/>
          </w:rPr>
          <w:instrText xml:space="preserve"> PAGEREF _Toc387651840 \h </w:instrText>
        </w:r>
        <w:r>
          <w:rPr>
            <w:noProof/>
            <w:webHidden/>
          </w:rPr>
        </w:r>
        <w:r>
          <w:rPr>
            <w:noProof/>
            <w:webHidden/>
          </w:rPr>
          <w:fldChar w:fldCharType="separate"/>
        </w:r>
        <w:r>
          <w:rPr>
            <w:noProof/>
            <w:webHidden/>
          </w:rPr>
          <w:t>101</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1" w:history="1">
        <w:r>
          <w:rPr>
            <w:rStyle w:val="Hypertextovprepojenie"/>
            <w:rFonts w:ascii="Arial" w:hAnsi="Arial" w:cs="Arial"/>
            <w:noProof/>
          </w:rPr>
          <w:t>2.4.1.4. Plánované využitie veľkých projektov</w:t>
        </w:r>
        <w:r>
          <w:rPr>
            <w:noProof/>
            <w:webHidden/>
          </w:rPr>
          <w:tab/>
        </w:r>
        <w:r>
          <w:rPr>
            <w:noProof/>
            <w:webHidden/>
          </w:rPr>
          <w:fldChar w:fldCharType="begin"/>
        </w:r>
        <w:r>
          <w:rPr>
            <w:noProof/>
            <w:webHidden/>
          </w:rPr>
          <w:instrText xml:space="preserve"> PAGEREF _Toc387651841 \h </w:instrText>
        </w:r>
        <w:r>
          <w:rPr>
            <w:noProof/>
            <w:webHidden/>
          </w:rPr>
        </w:r>
        <w:r>
          <w:rPr>
            <w:noProof/>
            <w:webHidden/>
          </w:rPr>
          <w:fldChar w:fldCharType="separate"/>
        </w:r>
        <w:r>
          <w:rPr>
            <w:noProof/>
            <w:webHidden/>
          </w:rPr>
          <w:t>101</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2" w:history="1">
        <w:r>
          <w:rPr>
            <w:rStyle w:val="Hypertextovprepojenie"/>
            <w:rFonts w:ascii="Arial" w:hAnsi="Arial" w:cs="Arial"/>
            <w:noProof/>
          </w:rPr>
          <w:t>2.4.1.5.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_Toc387651842 \h </w:instrText>
        </w:r>
        <w:r>
          <w:rPr>
            <w:noProof/>
            <w:webHidden/>
          </w:rPr>
        </w:r>
        <w:r>
          <w:rPr>
            <w:noProof/>
            <w:webHidden/>
          </w:rPr>
          <w:fldChar w:fldCharType="separate"/>
        </w:r>
        <w:r>
          <w:rPr>
            <w:noProof/>
            <w:webHidden/>
          </w:rPr>
          <w:t>102</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43" w:history="1">
        <w:r>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Pr>
            <w:noProof/>
            <w:webHidden/>
          </w:rPr>
          <w:tab/>
        </w:r>
        <w:r>
          <w:rPr>
            <w:noProof/>
            <w:webHidden/>
          </w:rPr>
          <w:fldChar w:fldCharType="begin"/>
        </w:r>
        <w:r>
          <w:rPr>
            <w:noProof/>
            <w:webHidden/>
          </w:rPr>
          <w:instrText xml:space="preserve"> PAGEREF _Toc387651843 \h </w:instrText>
        </w:r>
        <w:r>
          <w:rPr>
            <w:noProof/>
            <w:webHidden/>
          </w:rPr>
        </w:r>
        <w:r>
          <w:rPr>
            <w:noProof/>
            <w:webHidden/>
          </w:rPr>
          <w:fldChar w:fldCharType="separate"/>
        </w:r>
        <w:r>
          <w:rPr>
            <w:noProof/>
            <w:webHidden/>
          </w:rPr>
          <w:t>102</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44"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_Toc387651844 \h </w:instrText>
        </w:r>
        <w:r>
          <w:rPr>
            <w:noProof/>
            <w:webHidden/>
          </w:rPr>
        </w:r>
        <w:r>
          <w:rPr>
            <w:noProof/>
            <w:webHidden/>
          </w:rPr>
          <w:fldChar w:fldCharType="separate"/>
        </w:r>
        <w:r>
          <w:rPr>
            <w:noProof/>
            <w:webHidden/>
          </w:rPr>
          <w:t>104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5" w:history="1">
        <w:r>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_Toc387651845 \h </w:instrText>
        </w:r>
        <w:r>
          <w:rPr>
            <w:noProof/>
            <w:webHidden/>
          </w:rPr>
        </w:r>
        <w:r>
          <w:rPr>
            <w:noProof/>
            <w:webHidden/>
          </w:rPr>
          <w:fldChar w:fldCharType="separate"/>
        </w:r>
        <w:r>
          <w:rPr>
            <w:noProof/>
            <w:webHidden/>
          </w:rPr>
          <w:t>104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6" w:history="1">
        <w:r>
          <w:rPr>
            <w:rStyle w:val="Hypertextovprepojenie"/>
            <w:rFonts w:ascii="Arial" w:hAnsi="Arial" w:cs="Arial"/>
            <w:noProof/>
          </w:rPr>
          <w:t>2.4.2.2. Hlavné zásady výberu operácií</w:t>
        </w:r>
        <w:r>
          <w:rPr>
            <w:noProof/>
            <w:webHidden/>
          </w:rPr>
          <w:tab/>
        </w:r>
        <w:r>
          <w:rPr>
            <w:noProof/>
            <w:webHidden/>
          </w:rPr>
          <w:fldChar w:fldCharType="begin"/>
        </w:r>
        <w:r>
          <w:rPr>
            <w:noProof/>
            <w:webHidden/>
          </w:rPr>
          <w:instrText xml:space="preserve"> PAGEREF _Toc387651846 \h </w:instrText>
        </w:r>
        <w:r>
          <w:rPr>
            <w:noProof/>
            <w:webHidden/>
          </w:rPr>
        </w:r>
        <w:r>
          <w:rPr>
            <w:noProof/>
            <w:webHidden/>
          </w:rPr>
          <w:fldChar w:fldCharType="separate"/>
        </w:r>
        <w:r>
          <w:rPr>
            <w:noProof/>
            <w:webHidden/>
          </w:rPr>
          <w:t>105</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7" w:history="1">
        <w:r>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_Toc387651847 \h </w:instrText>
        </w:r>
        <w:r>
          <w:rPr>
            <w:noProof/>
            <w:webHidden/>
          </w:rPr>
        </w:r>
        <w:r>
          <w:rPr>
            <w:noProof/>
            <w:webHidden/>
          </w:rPr>
          <w:fldChar w:fldCharType="separate"/>
        </w:r>
        <w:r>
          <w:rPr>
            <w:noProof/>
            <w:webHidden/>
          </w:rPr>
          <w:t>106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8" w:history="1">
        <w:r>
          <w:rPr>
            <w:rStyle w:val="Hypertextovprepojenie"/>
            <w:rFonts w:ascii="Arial" w:hAnsi="Arial" w:cs="Arial"/>
            <w:noProof/>
          </w:rPr>
          <w:t>2.4.2.4. Plánované využitie veľkých projektov</w:t>
        </w:r>
        <w:r>
          <w:rPr>
            <w:noProof/>
            <w:webHidden/>
          </w:rPr>
          <w:tab/>
        </w:r>
        <w:r>
          <w:rPr>
            <w:noProof/>
            <w:webHidden/>
          </w:rPr>
          <w:fldChar w:fldCharType="begin"/>
        </w:r>
        <w:r>
          <w:rPr>
            <w:noProof/>
            <w:webHidden/>
          </w:rPr>
          <w:instrText xml:space="preserve"> PAGEREF _Toc387651848 \h </w:instrText>
        </w:r>
        <w:r>
          <w:rPr>
            <w:noProof/>
            <w:webHidden/>
          </w:rPr>
        </w:r>
        <w:r>
          <w:rPr>
            <w:noProof/>
            <w:webHidden/>
          </w:rPr>
          <w:fldChar w:fldCharType="separate"/>
        </w:r>
        <w:r>
          <w:rPr>
            <w:noProof/>
            <w:webHidden/>
          </w:rPr>
          <w:t>106</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49" w:history="1">
        <w:r>
          <w:rPr>
            <w:rStyle w:val="Hypertextovprepojenie"/>
            <w:rFonts w:ascii="Arial" w:hAnsi="Arial" w:cs="Arial"/>
            <w:noProof/>
          </w:rPr>
          <w:t>2.4.2.5.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_Toc387651849 \h </w:instrText>
        </w:r>
        <w:r>
          <w:rPr>
            <w:noProof/>
            <w:webHidden/>
          </w:rPr>
        </w:r>
        <w:r>
          <w:rPr>
            <w:noProof/>
            <w:webHidden/>
          </w:rPr>
          <w:fldChar w:fldCharType="separate"/>
        </w:r>
        <w:r>
          <w:rPr>
            <w:noProof/>
            <w:webHidden/>
          </w:rPr>
          <w:t>106</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50" w:history="1">
        <w:r>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Pr>
            <w:noProof/>
            <w:webHidden/>
          </w:rPr>
          <w:tab/>
        </w:r>
        <w:r>
          <w:rPr>
            <w:noProof/>
            <w:webHidden/>
          </w:rPr>
          <w:fldChar w:fldCharType="begin"/>
        </w:r>
        <w:r>
          <w:rPr>
            <w:noProof/>
            <w:webHidden/>
          </w:rPr>
          <w:instrText xml:space="preserve"> PAGEREF _Toc387651850 \h </w:instrText>
        </w:r>
        <w:r>
          <w:rPr>
            <w:noProof/>
            <w:webHidden/>
          </w:rPr>
        </w:r>
        <w:r>
          <w:rPr>
            <w:noProof/>
            <w:webHidden/>
          </w:rPr>
          <w:fldChar w:fldCharType="separate"/>
        </w:r>
        <w:r>
          <w:rPr>
            <w:noProof/>
            <w:webHidden/>
          </w:rPr>
          <w:t>107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51"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_Toc387651851 \h </w:instrText>
        </w:r>
        <w:r>
          <w:rPr>
            <w:noProof/>
            <w:webHidden/>
          </w:rPr>
        </w:r>
        <w:r>
          <w:rPr>
            <w:noProof/>
            <w:webHidden/>
          </w:rPr>
          <w:fldChar w:fldCharType="separate"/>
        </w:r>
        <w:r>
          <w:rPr>
            <w:noProof/>
            <w:webHidden/>
          </w:rPr>
          <w:t>110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52" w:history="1">
        <w:r>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_Toc387651852 \h </w:instrText>
        </w:r>
        <w:r>
          <w:rPr>
            <w:noProof/>
            <w:webHidden/>
          </w:rPr>
        </w:r>
        <w:r>
          <w:rPr>
            <w:noProof/>
            <w:webHidden/>
          </w:rPr>
          <w:fldChar w:fldCharType="separate"/>
        </w:r>
        <w:r>
          <w:rPr>
            <w:noProof/>
            <w:webHidden/>
          </w:rPr>
          <w:t>110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53" w:history="1">
        <w:r>
          <w:rPr>
            <w:rStyle w:val="Hypertextovprepojenie"/>
            <w:rFonts w:ascii="Arial" w:hAnsi="Arial" w:cs="Arial"/>
            <w:noProof/>
          </w:rPr>
          <w:t>2.4.3.2. Hlavné zásady výberu operácií</w:t>
        </w:r>
        <w:r>
          <w:rPr>
            <w:noProof/>
            <w:webHidden/>
          </w:rPr>
          <w:tab/>
        </w:r>
        <w:r>
          <w:rPr>
            <w:noProof/>
            <w:webHidden/>
          </w:rPr>
          <w:fldChar w:fldCharType="begin"/>
        </w:r>
        <w:r>
          <w:rPr>
            <w:noProof/>
            <w:webHidden/>
          </w:rPr>
          <w:instrText xml:space="preserve"> PAGEREF _Toc387651853 \h </w:instrText>
        </w:r>
        <w:r>
          <w:rPr>
            <w:noProof/>
            <w:webHidden/>
          </w:rPr>
        </w:r>
        <w:r>
          <w:rPr>
            <w:noProof/>
            <w:webHidden/>
          </w:rPr>
          <w:fldChar w:fldCharType="separate"/>
        </w:r>
        <w:r>
          <w:rPr>
            <w:noProof/>
            <w:webHidden/>
          </w:rPr>
          <w:t>112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54" w:history="1">
        <w:r>
          <w:rPr>
            <w:rStyle w:val="Hypertextovprepojenie"/>
            <w:rFonts w:ascii="Arial" w:hAnsi="Arial" w:cs="Arial"/>
            <w:noProof/>
          </w:rPr>
          <w:t>2.4.3.3. Plánované využitie finančných nástrojov</w:t>
        </w:r>
        <w:r>
          <w:rPr>
            <w:noProof/>
            <w:webHidden/>
          </w:rPr>
          <w:tab/>
        </w:r>
        <w:r>
          <w:rPr>
            <w:noProof/>
            <w:webHidden/>
          </w:rPr>
          <w:fldChar w:fldCharType="begin"/>
        </w:r>
        <w:r>
          <w:rPr>
            <w:noProof/>
            <w:webHidden/>
          </w:rPr>
          <w:instrText xml:space="preserve"> PAGEREF _Toc387651854 \h </w:instrText>
        </w:r>
        <w:r>
          <w:rPr>
            <w:noProof/>
            <w:webHidden/>
          </w:rPr>
        </w:r>
        <w:r>
          <w:rPr>
            <w:noProof/>
            <w:webHidden/>
          </w:rPr>
          <w:fldChar w:fldCharType="separate"/>
        </w:r>
        <w:r>
          <w:rPr>
            <w:noProof/>
            <w:webHidden/>
          </w:rPr>
          <w:t>112</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55" w:history="1">
        <w:r>
          <w:rPr>
            <w:rStyle w:val="Hypertextovprepojenie"/>
            <w:rFonts w:ascii="Arial" w:hAnsi="Arial" w:cs="Arial"/>
            <w:noProof/>
          </w:rPr>
          <w:t>2.4.3.4. Plánované využitie veľkých projektov</w:t>
        </w:r>
        <w:r>
          <w:rPr>
            <w:noProof/>
            <w:webHidden/>
          </w:rPr>
          <w:tab/>
        </w:r>
        <w:r>
          <w:rPr>
            <w:noProof/>
            <w:webHidden/>
          </w:rPr>
          <w:fldChar w:fldCharType="begin"/>
        </w:r>
        <w:r>
          <w:rPr>
            <w:noProof/>
            <w:webHidden/>
          </w:rPr>
          <w:instrText xml:space="preserve"> PAGEREF _Toc387651855 \h </w:instrText>
        </w:r>
        <w:r>
          <w:rPr>
            <w:noProof/>
            <w:webHidden/>
          </w:rPr>
        </w:r>
        <w:r>
          <w:rPr>
            <w:noProof/>
            <w:webHidden/>
          </w:rPr>
          <w:fldChar w:fldCharType="separate"/>
        </w:r>
        <w:r>
          <w:rPr>
            <w:noProof/>
            <w:webHidden/>
          </w:rPr>
          <w:t>113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56" w:history="1">
        <w:r>
          <w:rPr>
            <w:rStyle w:val="Hypertextovprepojenie"/>
            <w:rFonts w:ascii="Arial" w:hAnsi="Arial" w:cs="Arial"/>
            <w:noProof/>
          </w:rPr>
          <w:t>2.4.3.5.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_Toc387651856 \h </w:instrText>
        </w:r>
        <w:r>
          <w:rPr>
            <w:noProof/>
            <w:webHidden/>
          </w:rPr>
        </w:r>
        <w:r>
          <w:rPr>
            <w:noProof/>
            <w:webHidden/>
          </w:rPr>
          <w:fldChar w:fldCharType="separate"/>
        </w:r>
        <w:r>
          <w:rPr>
            <w:noProof/>
            <w:webHidden/>
          </w:rPr>
          <w:t>113</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57"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_Toc387651857 \h </w:instrText>
        </w:r>
        <w:r>
          <w:rPr>
            <w:noProof/>
            <w:webHidden/>
          </w:rPr>
        </w:r>
        <w:r>
          <w:rPr>
            <w:noProof/>
            <w:webHidden/>
          </w:rPr>
          <w:fldChar w:fldCharType="separate"/>
        </w:r>
        <w:r>
          <w:rPr>
            <w:noProof/>
            <w:webHidden/>
          </w:rPr>
          <w:t>114</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58"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_Toc387651858 \h </w:instrText>
        </w:r>
        <w:r>
          <w:rPr>
            <w:noProof/>
            <w:webHidden/>
          </w:rPr>
        </w:r>
        <w:r>
          <w:rPr>
            <w:noProof/>
            <w:webHidden/>
          </w:rPr>
          <w:fldChar w:fldCharType="separate"/>
        </w:r>
        <w:r>
          <w:rPr>
            <w:noProof/>
            <w:webHidden/>
          </w:rPr>
          <w:t>115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59"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_Toc387651859 \h </w:instrText>
        </w:r>
        <w:r>
          <w:rPr>
            <w:noProof/>
            <w:webHidden/>
          </w:rPr>
        </w:r>
        <w:r>
          <w:rPr>
            <w:noProof/>
            <w:webHidden/>
          </w:rPr>
          <w:fldChar w:fldCharType="separate"/>
        </w:r>
        <w:r>
          <w:rPr>
            <w:noProof/>
            <w:webHidden/>
          </w:rPr>
          <w:t>116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60" w:history="1">
        <w:r>
          <w:rPr>
            <w:rStyle w:val="Hypertextovprepojenie"/>
            <w:rFonts w:ascii="Arial" w:hAnsi="Arial" w:cs="Arial"/>
            <w:noProof/>
          </w:rPr>
          <w:t>2.5. Prioritná os č. 5: Miestny rozvoj vedený komunitou</w:t>
        </w:r>
        <w:r>
          <w:rPr>
            <w:noProof/>
            <w:webHidden/>
          </w:rPr>
          <w:tab/>
        </w:r>
        <w:r>
          <w:rPr>
            <w:noProof/>
            <w:webHidden/>
          </w:rPr>
          <w:fldChar w:fldCharType="begin"/>
        </w:r>
        <w:r>
          <w:rPr>
            <w:noProof/>
            <w:webHidden/>
          </w:rPr>
          <w:instrText xml:space="preserve"> PAGEREF _Toc387651860 \h </w:instrText>
        </w:r>
        <w:r>
          <w:rPr>
            <w:noProof/>
            <w:webHidden/>
          </w:rPr>
        </w:r>
        <w:r>
          <w:rPr>
            <w:noProof/>
            <w:webHidden/>
          </w:rPr>
          <w:fldChar w:fldCharType="separate"/>
        </w:r>
        <w:r>
          <w:rPr>
            <w:noProof/>
            <w:webHidden/>
          </w:rPr>
          <w:t>117</w:t>
        </w:r>
        <w:r>
          <w:rPr>
            <w:noProof/>
            <w:webHidden/>
          </w:rPr>
          <w:fldChar w:fldCharType="end"/>
        </w:r>
      </w:hyperlink>
    </w:p>
    <w:p>
      <w:pPr>
        <w:pStyle w:val="Obsah4"/>
        <w:tabs>
          <w:tab w:val="right" w:leader="underscore" w:pos="9486"/>
        </w:tabs>
        <w:rPr>
          <w:rFonts w:asciiTheme="minorHAnsi" w:eastAsiaTheme="minorEastAsia" w:hAnsiTheme="minorHAnsi" w:cstheme="minorBidi"/>
          <w:noProof/>
          <w:sz w:val="22"/>
          <w:szCs w:val="22"/>
          <w:lang w:eastAsia="sk-SK"/>
        </w:rPr>
      </w:pPr>
      <w:hyperlink w:anchor="_Toc387651861" w:history="1">
        <w:r>
          <w:rPr>
            <w:rStyle w:val="Hypertextovprepojenie"/>
            <w:rFonts w:ascii="Arial" w:hAnsi="Arial" w:cs="Arial"/>
            <w:noProof/>
          </w:rPr>
          <w:t>2.5.1. Investičná priorita č. 5.1: Záväzné investície v rámci stratégií miestneho rozvoja vedeného komunitou</w:t>
        </w:r>
        <w:r>
          <w:rPr>
            <w:noProof/>
            <w:webHidden/>
          </w:rPr>
          <w:tab/>
        </w:r>
        <w:r>
          <w:rPr>
            <w:noProof/>
            <w:webHidden/>
          </w:rPr>
          <w:fldChar w:fldCharType="begin"/>
        </w:r>
        <w:r>
          <w:rPr>
            <w:noProof/>
            <w:webHidden/>
          </w:rPr>
          <w:instrText xml:space="preserve"> PAGEREF _Toc387651861 \h </w:instrText>
        </w:r>
        <w:r>
          <w:rPr>
            <w:noProof/>
            <w:webHidden/>
          </w:rPr>
        </w:r>
        <w:r>
          <w:rPr>
            <w:noProof/>
            <w:webHidden/>
          </w:rPr>
          <w:fldChar w:fldCharType="separate"/>
        </w:r>
        <w:r>
          <w:rPr>
            <w:noProof/>
            <w:webHidden/>
          </w:rPr>
          <w:t>118</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62" w:history="1">
        <w:r>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_Toc387651862 \h </w:instrText>
        </w:r>
        <w:r>
          <w:rPr>
            <w:noProof/>
            <w:webHidden/>
          </w:rPr>
        </w:r>
        <w:r>
          <w:rPr>
            <w:noProof/>
            <w:webHidden/>
          </w:rPr>
          <w:fldChar w:fldCharType="separate"/>
        </w:r>
        <w:r>
          <w:rPr>
            <w:noProof/>
            <w:webHidden/>
          </w:rPr>
          <w:t>120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63" w:history="1">
        <w:r>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_Toc387651863 \h </w:instrText>
        </w:r>
        <w:r>
          <w:rPr>
            <w:noProof/>
            <w:webHidden/>
          </w:rPr>
        </w:r>
        <w:r>
          <w:rPr>
            <w:noProof/>
            <w:webHidden/>
          </w:rPr>
          <w:fldChar w:fldCharType="separate"/>
        </w:r>
        <w:r>
          <w:rPr>
            <w:noProof/>
            <w:webHidden/>
          </w:rPr>
          <w:t>120</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64" w:history="1">
        <w:r>
          <w:rPr>
            <w:rStyle w:val="Hypertextovprepojenie"/>
            <w:rFonts w:ascii="Arial" w:hAnsi="Arial" w:cs="Arial"/>
            <w:noProof/>
          </w:rPr>
          <w:t>2.5.1.2. Hlavné zásady výberu operácií</w:t>
        </w:r>
        <w:r>
          <w:rPr>
            <w:noProof/>
            <w:webHidden/>
          </w:rPr>
          <w:tab/>
        </w:r>
        <w:r>
          <w:rPr>
            <w:noProof/>
            <w:webHidden/>
          </w:rPr>
          <w:fldChar w:fldCharType="begin"/>
        </w:r>
        <w:r>
          <w:rPr>
            <w:noProof/>
            <w:webHidden/>
          </w:rPr>
          <w:instrText xml:space="preserve"> PAGEREF _Toc387651864 \h </w:instrText>
        </w:r>
        <w:r>
          <w:rPr>
            <w:noProof/>
            <w:webHidden/>
          </w:rPr>
        </w:r>
        <w:r>
          <w:rPr>
            <w:noProof/>
            <w:webHidden/>
          </w:rPr>
          <w:fldChar w:fldCharType="separate"/>
        </w:r>
        <w:r>
          <w:rPr>
            <w:noProof/>
            <w:webHidden/>
          </w:rPr>
          <w:t>123</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65" w:history="1">
        <w:r>
          <w:rPr>
            <w:rStyle w:val="Hypertextovprepojenie"/>
            <w:rFonts w:ascii="Arial" w:hAnsi="Arial" w:cs="Arial"/>
            <w:noProof/>
          </w:rPr>
          <w:t>2.5.1.3. Plánované využitie finančných nástrojov</w:t>
        </w:r>
        <w:r>
          <w:rPr>
            <w:noProof/>
            <w:webHidden/>
          </w:rPr>
          <w:tab/>
        </w:r>
        <w:r>
          <w:rPr>
            <w:noProof/>
            <w:webHidden/>
          </w:rPr>
          <w:fldChar w:fldCharType="begin"/>
        </w:r>
        <w:r>
          <w:rPr>
            <w:noProof/>
            <w:webHidden/>
          </w:rPr>
          <w:instrText xml:space="preserve"> PAGEREF _Toc387651865 \h </w:instrText>
        </w:r>
        <w:r>
          <w:rPr>
            <w:noProof/>
            <w:webHidden/>
          </w:rPr>
        </w:r>
        <w:r>
          <w:rPr>
            <w:noProof/>
            <w:webHidden/>
          </w:rPr>
          <w:fldChar w:fldCharType="separate"/>
        </w:r>
        <w:r>
          <w:rPr>
            <w:noProof/>
            <w:webHidden/>
          </w:rPr>
          <w:t>124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66" w:history="1">
        <w:r>
          <w:rPr>
            <w:rStyle w:val="Hypertextovprepojenie"/>
            <w:rFonts w:ascii="Arial" w:hAnsi="Arial" w:cs="Arial"/>
            <w:noProof/>
          </w:rPr>
          <w:t>2.5.1.4. Plánované využitie veľkých projektov</w:t>
        </w:r>
        <w:r>
          <w:rPr>
            <w:noProof/>
            <w:webHidden/>
          </w:rPr>
          <w:tab/>
        </w:r>
        <w:r>
          <w:rPr>
            <w:noProof/>
            <w:webHidden/>
          </w:rPr>
          <w:fldChar w:fldCharType="begin"/>
        </w:r>
        <w:r>
          <w:rPr>
            <w:noProof/>
            <w:webHidden/>
          </w:rPr>
          <w:instrText xml:space="preserve"> PAGEREF _Toc387651866 \h </w:instrText>
        </w:r>
        <w:r>
          <w:rPr>
            <w:noProof/>
            <w:webHidden/>
          </w:rPr>
        </w:r>
        <w:r>
          <w:rPr>
            <w:noProof/>
            <w:webHidden/>
          </w:rPr>
          <w:fldChar w:fldCharType="separate"/>
        </w:r>
        <w:r>
          <w:rPr>
            <w:noProof/>
            <w:webHidden/>
          </w:rPr>
          <w:t>124</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67" w:history="1">
        <w:r>
          <w:rPr>
            <w:rStyle w:val="Hypertextovprepojenie"/>
            <w:rFonts w:ascii="Arial" w:hAnsi="Arial" w:cs="Arial"/>
            <w:noProof/>
          </w:rPr>
          <w:t>2.5.1.5.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_Toc387651867 \h </w:instrText>
        </w:r>
        <w:r>
          <w:rPr>
            <w:noProof/>
            <w:webHidden/>
          </w:rPr>
        </w:r>
        <w:r>
          <w:rPr>
            <w:noProof/>
            <w:webHidden/>
          </w:rPr>
          <w:fldChar w:fldCharType="separate"/>
        </w:r>
        <w:r>
          <w:rPr>
            <w:noProof/>
            <w:webHidden/>
          </w:rPr>
          <w:t>124</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68" w:history="1">
        <w:r>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_Toc387651868 \h </w:instrText>
        </w:r>
        <w:r>
          <w:rPr>
            <w:noProof/>
            <w:webHidden/>
          </w:rPr>
        </w:r>
        <w:r>
          <w:rPr>
            <w:noProof/>
            <w:webHidden/>
          </w:rPr>
          <w:fldChar w:fldCharType="separate"/>
        </w:r>
        <w:r>
          <w:rPr>
            <w:noProof/>
            <w:webHidden/>
          </w:rPr>
          <w:t>125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69" w:history="1">
        <w:r>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_Toc387651869 \h </w:instrText>
        </w:r>
        <w:r>
          <w:rPr>
            <w:noProof/>
            <w:webHidden/>
          </w:rPr>
        </w:r>
        <w:r>
          <w:rPr>
            <w:noProof/>
            <w:webHidden/>
          </w:rPr>
          <w:fldChar w:fldCharType="separate"/>
        </w:r>
        <w:r>
          <w:rPr>
            <w:noProof/>
            <w:webHidden/>
          </w:rPr>
          <w:t>125</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70" w:history="1">
        <w:r>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_Toc387651870 \h </w:instrText>
        </w:r>
        <w:r>
          <w:rPr>
            <w:noProof/>
            <w:webHidden/>
          </w:rPr>
        </w:r>
        <w:r>
          <w:rPr>
            <w:noProof/>
            <w:webHidden/>
          </w:rPr>
          <w:fldChar w:fldCharType="separate"/>
        </w:r>
        <w:r>
          <w:rPr>
            <w:noProof/>
            <w:webHidden/>
          </w:rPr>
          <w:t>126</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1" w:history="1">
        <w:r>
          <w:rPr>
            <w:rStyle w:val="Hypertextovprepojenie"/>
            <w:rFonts w:ascii="Arial" w:hAnsi="Arial" w:cs="Arial"/>
            <w:noProof/>
          </w:rPr>
          <w:t>2.6. Prioritná os č. 6: Technická pomoc</w:t>
        </w:r>
        <w:r>
          <w:rPr>
            <w:noProof/>
            <w:webHidden/>
          </w:rPr>
          <w:tab/>
        </w:r>
        <w:r>
          <w:rPr>
            <w:noProof/>
            <w:webHidden/>
          </w:rPr>
          <w:fldChar w:fldCharType="begin"/>
        </w:r>
        <w:r>
          <w:rPr>
            <w:noProof/>
            <w:webHidden/>
          </w:rPr>
          <w:instrText xml:space="preserve"> PAGEREF _Toc387651871 \h </w:instrText>
        </w:r>
        <w:r>
          <w:rPr>
            <w:noProof/>
            <w:webHidden/>
          </w:rPr>
        </w:r>
        <w:r>
          <w:rPr>
            <w:noProof/>
            <w:webHidden/>
          </w:rPr>
          <w:fldChar w:fldCharType="separate"/>
        </w:r>
        <w:r>
          <w:rPr>
            <w:noProof/>
            <w:webHidden/>
          </w:rPr>
          <w:t>127</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72" w:history="1">
        <w:r>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_Toc387651872 \h </w:instrText>
        </w:r>
        <w:r>
          <w:rPr>
            <w:noProof/>
            <w:webHidden/>
          </w:rPr>
        </w:r>
        <w:r>
          <w:rPr>
            <w:noProof/>
            <w:webHidden/>
          </w:rPr>
          <w:fldChar w:fldCharType="separate"/>
        </w:r>
        <w:r>
          <w:rPr>
            <w:noProof/>
            <w:webHidden/>
          </w:rPr>
          <w:t>129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73" w:history="1">
        <w:r>
          <w:rPr>
            <w:rStyle w:val="Hypertextovprepojenie"/>
            <w:rFonts w:ascii="Arial" w:hAnsi="Arial" w:cs="Arial"/>
            <w:noProof/>
          </w:rPr>
          <w:t>2.6.1.1.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_Toc387651873 \h </w:instrText>
        </w:r>
        <w:r>
          <w:rPr>
            <w:noProof/>
            <w:webHidden/>
          </w:rPr>
        </w:r>
        <w:r>
          <w:rPr>
            <w:noProof/>
            <w:webHidden/>
          </w:rPr>
          <w:fldChar w:fldCharType="separate"/>
        </w:r>
        <w:r>
          <w:rPr>
            <w:noProof/>
            <w:webHidden/>
          </w:rPr>
          <w:t>129</w:t>
        </w:r>
        <w:r>
          <w:rPr>
            <w:noProof/>
            <w:webHidden/>
          </w:rPr>
          <w:fldChar w:fldCharType="end"/>
        </w:r>
      </w:hyperlink>
    </w:p>
    <w:p>
      <w:pPr>
        <w:pStyle w:val="Obsah6"/>
        <w:tabs>
          <w:tab w:val="right" w:leader="underscore" w:pos="9486"/>
        </w:tabs>
        <w:rPr>
          <w:rFonts w:asciiTheme="minorHAnsi" w:eastAsiaTheme="minorEastAsia" w:hAnsiTheme="minorHAnsi" w:cstheme="minorBidi"/>
          <w:noProof/>
          <w:sz w:val="22"/>
          <w:szCs w:val="22"/>
          <w:lang w:eastAsia="sk-SK"/>
        </w:rPr>
      </w:pPr>
      <w:hyperlink w:anchor="_Toc387651874" w:history="1">
        <w:r>
          <w:rPr>
            <w:rStyle w:val="Hypertextovprepojenie"/>
            <w:rFonts w:ascii="Arial" w:hAnsi="Arial" w:cs="Arial"/>
            <w:noProof/>
          </w:rPr>
          <w:t>2.6.1.2. Ukazovatele výstupu prispievajúce k výsledkom (podľa prioritnej osi)</w:t>
        </w:r>
        <w:r>
          <w:rPr>
            <w:noProof/>
            <w:webHidden/>
          </w:rPr>
          <w:tab/>
        </w:r>
        <w:r>
          <w:rPr>
            <w:noProof/>
            <w:webHidden/>
          </w:rPr>
          <w:fldChar w:fldCharType="begin"/>
        </w:r>
        <w:r>
          <w:rPr>
            <w:noProof/>
            <w:webHidden/>
          </w:rPr>
          <w:instrText xml:space="preserve"> PAGEREF _Toc387651874 \h </w:instrText>
        </w:r>
        <w:r>
          <w:rPr>
            <w:noProof/>
            <w:webHidden/>
          </w:rPr>
        </w:r>
        <w:r>
          <w:rPr>
            <w:noProof/>
            <w:webHidden/>
          </w:rPr>
          <w:fldChar w:fldCharType="separate"/>
        </w:r>
        <w:r>
          <w:rPr>
            <w:noProof/>
            <w:webHidden/>
          </w:rPr>
          <w:t>130</w:t>
        </w:r>
        <w:r>
          <w:rPr>
            <w:noProof/>
            <w:webHidden/>
          </w:rPr>
          <w:fldChar w:fldCharType="end"/>
        </w:r>
      </w:hyperlink>
    </w:p>
    <w:p>
      <w:pPr>
        <w:pStyle w:val="Obsah5"/>
        <w:tabs>
          <w:tab w:val="right" w:leader="underscore" w:pos="9486"/>
        </w:tabs>
        <w:rPr>
          <w:rFonts w:asciiTheme="minorHAnsi" w:eastAsiaTheme="minorEastAsia" w:hAnsiTheme="minorHAnsi" w:cstheme="minorBidi"/>
          <w:noProof/>
          <w:sz w:val="22"/>
          <w:szCs w:val="22"/>
          <w:lang w:eastAsia="sk-SK"/>
        </w:rPr>
      </w:pPr>
      <w:hyperlink w:anchor="_Toc387651875" w:history="1">
        <w:r>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_Toc387651875 \h </w:instrText>
        </w:r>
        <w:r>
          <w:rPr>
            <w:noProof/>
            <w:webHidden/>
          </w:rPr>
        </w:r>
        <w:r>
          <w:rPr>
            <w:noProof/>
            <w:webHidden/>
          </w:rPr>
          <w:fldChar w:fldCharType="separate"/>
        </w:r>
        <w:r>
          <w:rPr>
            <w:noProof/>
            <w:webHidden/>
          </w:rPr>
          <w:t>131</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6" w:history="1">
        <w:r>
          <w:rPr>
            <w:rStyle w:val="Hypertextovprepojenie"/>
            <w:rFonts w:ascii="Arial" w:hAnsi="Arial" w:cs="Arial"/>
            <w:noProof/>
          </w:rPr>
          <w:t>3 Finančný plán Integrovaného regionálneho operačného programu</w:t>
        </w:r>
        <w:r>
          <w:rPr>
            <w:noProof/>
            <w:webHidden/>
          </w:rPr>
          <w:tab/>
        </w:r>
        <w:r>
          <w:rPr>
            <w:noProof/>
            <w:webHidden/>
          </w:rPr>
          <w:fldChar w:fldCharType="begin"/>
        </w:r>
        <w:r>
          <w:rPr>
            <w:noProof/>
            <w:webHidden/>
          </w:rPr>
          <w:instrText xml:space="preserve"> PAGEREF _Toc387651876 \h </w:instrText>
        </w:r>
        <w:r>
          <w:rPr>
            <w:noProof/>
            <w:webHidden/>
          </w:rPr>
        </w:r>
        <w:r>
          <w:rPr>
            <w:noProof/>
            <w:webHidden/>
          </w:rPr>
          <w:fldChar w:fldCharType="separate"/>
        </w:r>
        <w:r>
          <w:rPr>
            <w:noProof/>
            <w:webHidden/>
          </w:rPr>
          <w:t>132</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77" w:history="1">
        <w:r>
          <w:rPr>
            <w:rStyle w:val="Hypertextovprepojenie"/>
            <w:rFonts w:ascii="Arial" w:hAnsi="Arial" w:cs="Arial"/>
            <w:noProof/>
          </w:rPr>
          <w:t>3.1 Tabuľka ročných záväzkov</w:t>
        </w:r>
        <w:r>
          <w:rPr>
            <w:noProof/>
            <w:webHidden/>
          </w:rPr>
          <w:tab/>
        </w:r>
        <w:r>
          <w:rPr>
            <w:noProof/>
            <w:webHidden/>
          </w:rPr>
          <w:fldChar w:fldCharType="begin"/>
        </w:r>
        <w:r>
          <w:rPr>
            <w:noProof/>
            <w:webHidden/>
          </w:rPr>
          <w:instrText xml:space="preserve"> PAGEREF _Toc387651877 \h </w:instrText>
        </w:r>
        <w:r>
          <w:rPr>
            <w:noProof/>
            <w:webHidden/>
          </w:rPr>
        </w:r>
        <w:r>
          <w:rPr>
            <w:noProof/>
            <w:webHidden/>
          </w:rPr>
          <w:fldChar w:fldCharType="separate"/>
        </w:r>
        <w:r>
          <w:rPr>
            <w:noProof/>
            <w:webHidden/>
          </w:rPr>
          <w:t>132</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8" w:history="1">
        <w:r>
          <w:rPr>
            <w:rStyle w:val="Hypertextovprepojenie"/>
            <w:rFonts w:ascii="Arial" w:hAnsi="Arial" w:cs="Arial"/>
            <w:noProof/>
          </w:rPr>
          <w:t>3.2.A Finančný plán podľa zdrojov financovania</w:t>
        </w:r>
        <w:r>
          <w:rPr>
            <w:noProof/>
            <w:webHidden/>
          </w:rPr>
          <w:tab/>
        </w:r>
        <w:r>
          <w:rPr>
            <w:noProof/>
            <w:webHidden/>
          </w:rPr>
          <w:fldChar w:fldCharType="begin"/>
        </w:r>
        <w:r>
          <w:rPr>
            <w:noProof/>
            <w:webHidden/>
          </w:rPr>
          <w:instrText xml:space="preserve"> PAGEREF _Toc387651878 \h </w:instrText>
        </w:r>
        <w:r>
          <w:rPr>
            <w:noProof/>
            <w:webHidden/>
          </w:rPr>
        </w:r>
        <w:r>
          <w:rPr>
            <w:noProof/>
            <w:webHidden/>
          </w:rPr>
          <w:fldChar w:fldCharType="separate"/>
        </w:r>
        <w:r>
          <w:rPr>
            <w:noProof/>
            <w:webHidden/>
          </w:rPr>
          <w:t>134</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9" w:history="1">
        <w:r>
          <w:rPr>
            <w:rStyle w:val="Hypertextovprepojenie"/>
            <w:rFonts w:ascii="Arial" w:hAnsi="Arial" w:cs="Arial"/>
            <w:noProof/>
          </w:rPr>
          <w:t>4 Integrovaný prístup k územnému rozvoju</w:t>
        </w:r>
        <w:r>
          <w:rPr>
            <w:noProof/>
            <w:webHidden/>
          </w:rPr>
          <w:tab/>
        </w:r>
        <w:r>
          <w:rPr>
            <w:noProof/>
            <w:webHidden/>
          </w:rPr>
          <w:fldChar w:fldCharType="begin"/>
        </w:r>
        <w:r>
          <w:rPr>
            <w:noProof/>
            <w:webHidden/>
          </w:rPr>
          <w:instrText xml:space="preserve"> PAGEREF _Toc387651879 \h </w:instrText>
        </w:r>
        <w:r>
          <w:rPr>
            <w:noProof/>
            <w:webHidden/>
          </w:rPr>
        </w:r>
        <w:r>
          <w:rPr>
            <w:noProof/>
            <w:webHidden/>
          </w:rPr>
          <w:fldChar w:fldCharType="separate"/>
        </w:r>
        <w:r>
          <w:rPr>
            <w:noProof/>
            <w:webHidden/>
          </w:rPr>
          <w:t>137</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0" w:history="1">
        <w:r>
          <w:rPr>
            <w:rStyle w:val="Hypertextovprepojenie"/>
            <w:rFonts w:ascii="Arial" w:hAnsi="Arial" w:cs="Arial"/>
            <w:noProof/>
          </w:rPr>
          <w:t>4.1 Miestny rozvoj vedený komunitou</w:t>
        </w:r>
        <w:r>
          <w:rPr>
            <w:noProof/>
            <w:webHidden/>
          </w:rPr>
          <w:tab/>
        </w:r>
        <w:r>
          <w:rPr>
            <w:noProof/>
            <w:webHidden/>
          </w:rPr>
          <w:fldChar w:fldCharType="begin"/>
        </w:r>
        <w:r>
          <w:rPr>
            <w:noProof/>
            <w:webHidden/>
          </w:rPr>
          <w:instrText xml:space="preserve"> PAGEREF _Toc387651880 \h </w:instrText>
        </w:r>
        <w:r>
          <w:rPr>
            <w:noProof/>
            <w:webHidden/>
          </w:rPr>
        </w:r>
        <w:r>
          <w:rPr>
            <w:noProof/>
            <w:webHidden/>
          </w:rPr>
          <w:fldChar w:fldCharType="separate"/>
        </w:r>
        <w:r>
          <w:rPr>
            <w:noProof/>
            <w:webHidden/>
          </w:rPr>
          <w:t>138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1" w:history="1">
        <w:r>
          <w:rPr>
            <w:rStyle w:val="Hypertextovprepojenie"/>
            <w:rFonts w:ascii="Arial" w:hAnsi="Arial" w:cs="Arial"/>
            <w:noProof/>
          </w:rPr>
          <w:t>4.2 Podpora udržateľného mestského rozvoja</w:t>
        </w:r>
        <w:r>
          <w:rPr>
            <w:noProof/>
            <w:webHidden/>
          </w:rPr>
          <w:tab/>
        </w:r>
        <w:r>
          <w:rPr>
            <w:noProof/>
            <w:webHidden/>
          </w:rPr>
          <w:fldChar w:fldCharType="begin"/>
        </w:r>
        <w:r>
          <w:rPr>
            <w:noProof/>
            <w:webHidden/>
          </w:rPr>
          <w:instrText xml:space="preserve"> PAGEREF _Toc387651881 \h </w:instrText>
        </w:r>
        <w:r>
          <w:rPr>
            <w:noProof/>
            <w:webHidden/>
          </w:rPr>
        </w:r>
        <w:r>
          <w:rPr>
            <w:noProof/>
            <w:webHidden/>
          </w:rPr>
          <w:fldChar w:fldCharType="separate"/>
        </w:r>
        <w:r>
          <w:rPr>
            <w:noProof/>
            <w:webHidden/>
          </w:rPr>
          <w:t>140</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2" w:history="1">
        <w:r>
          <w:rPr>
            <w:rStyle w:val="Hypertextovprepojenie"/>
            <w:rFonts w:ascii="Arial" w:hAnsi="Arial" w:cs="Arial"/>
            <w:noProof/>
          </w:rPr>
          <w:t>4.3 Integrované územné investície</w:t>
        </w:r>
        <w:r>
          <w:rPr>
            <w:noProof/>
            <w:webHidden/>
          </w:rPr>
          <w:tab/>
        </w:r>
        <w:r>
          <w:rPr>
            <w:noProof/>
            <w:webHidden/>
          </w:rPr>
          <w:fldChar w:fldCharType="begin"/>
        </w:r>
        <w:r>
          <w:rPr>
            <w:noProof/>
            <w:webHidden/>
          </w:rPr>
          <w:instrText xml:space="preserve"> PAGEREF _Toc387651882 \h </w:instrText>
        </w:r>
        <w:r>
          <w:rPr>
            <w:noProof/>
            <w:webHidden/>
          </w:rPr>
        </w:r>
        <w:r>
          <w:rPr>
            <w:noProof/>
            <w:webHidden/>
          </w:rPr>
          <w:fldChar w:fldCharType="separate"/>
        </w:r>
        <w:r>
          <w:rPr>
            <w:noProof/>
            <w:webHidden/>
          </w:rPr>
          <w:t>141</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3" w:history="1">
        <w:r>
          <w:rPr>
            <w:rStyle w:val="Hypertextovprepojenie"/>
            <w:rFonts w:ascii="Arial" w:hAnsi="Arial" w:cs="Arial"/>
            <w:noProof/>
          </w:rPr>
          <w:t>4.4 Mechanizmus zabezpečenia koordinácie s aktivitami spolupráce a makroregionálnymi stratégiami a stratégiami súvisiacimi s morskými oblasťami</w:t>
        </w:r>
        <w:r>
          <w:rPr>
            <w:noProof/>
            <w:webHidden/>
          </w:rPr>
          <w:tab/>
        </w:r>
        <w:r>
          <w:rPr>
            <w:noProof/>
            <w:webHidden/>
          </w:rPr>
          <w:fldChar w:fldCharType="begin"/>
        </w:r>
        <w:r>
          <w:rPr>
            <w:noProof/>
            <w:webHidden/>
          </w:rPr>
          <w:instrText xml:space="preserve"> PAGEREF _Toc387651883 \h </w:instrText>
        </w:r>
        <w:r>
          <w:rPr>
            <w:noProof/>
            <w:webHidden/>
          </w:rPr>
        </w:r>
        <w:r>
          <w:rPr>
            <w:noProof/>
            <w:webHidden/>
          </w:rPr>
          <w:fldChar w:fldCharType="separate"/>
        </w:r>
        <w:r>
          <w:rPr>
            <w:noProof/>
            <w:webHidden/>
          </w:rPr>
          <w:t>143</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4" w:history="1">
        <w:r>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Pr>
            <w:noProof/>
            <w:webHidden/>
          </w:rPr>
          <w:tab/>
        </w:r>
        <w:r>
          <w:rPr>
            <w:noProof/>
            <w:webHidden/>
          </w:rPr>
          <w:fldChar w:fldCharType="begin"/>
        </w:r>
        <w:r>
          <w:rPr>
            <w:noProof/>
            <w:webHidden/>
          </w:rPr>
          <w:instrText xml:space="preserve"> PAGEREF _Toc387651884 \h </w:instrText>
        </w:r>
        <w:r>
          <w:rPr>
            <w:noProof/>
            <w:webHidden/>
          </w:rPr>
        </w:r>
        <w:r>
          <w:rPr>
            <w:noProof/>
            <w:webHidden/>
          </w:rPr>
          <w:fldChar w:fldCharType="separate"/>
        </w:r>
        <w:r>
          <w:rPr>
            <w:noProof/>
            <w:webHidden/>
          </w:rPr>
          <w:t>145</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5" w:history="1">
        <w:r>
          <w:rPr>
            <w:rStyle w:val="Hypertextovprepojenie"/>
            <w:rFonts w:ascii="Arial" w:hAnsi="Arial" w:cs="Arial"/>
            <w:noProof/>
          </w:rPr>
          <w:t>5.1 Geografické oblasti najviac postihnuté chudobou/cieľové skupiny najviac ohrozené diskrimináciou</w:t>
        </w:r>
        <w:r>
          <w:rPr>
            <w:noProof/>
            <w:webHidden/>
          </w:rPr>
          <w:tab/>
        </w:r>
        <w:r>
          <w:rPr>
            <w:noProof/>
            <w:webHidden/>
          </w:rPr>
          <w:fldChar w:fldCharType="begin"/>
        </w:r>
        <w:r>
          <w:rPr>
            <w:noProof/>
            <w:webHidden/>
          </w:rPr>
          <w:instrText xml:space="preserve"> PAGEREF _Toc387651885 \h </w:instrText>
        </w:r>
        <w:r>
          <w:rPr>
            <w:noProof/>
            <w:webHidden/>
          </w:rPr>
        </w:r>
        <w:r>
          <w:rPr>
            <w:noProof/>
            <w:webHidden/>
          </w:rPr>
          <w:fldChar w:fldCharType="separate"/>
        </w:r>
        <w:r>
          <w:rPr>
            <w:noProof/>
            <w:webHidden/>
          </w:rPr>
          <w:t>145</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6" w:history="1">
        <w:r>
          <w:rPr>
            <w:rStyle w:val="Hypertextovprepojenie"/>
            <w:rFonts w:ascii="Arial" w:hAnsi="Arial" w:cs="Arial"/>
            <w:noProof/>
          </w:rPr>
          <w:t>5.2 Stratégia IROP na riešenie špecifických potrieb geografických oblastí/cieľových skupín najviac postihnutých chudobou</w:t>
        </w:r>
        <w:r>
          <w:rPr>
            <w:noProof/>
            <w:webHidden/>
          </w:rPr>
          <w:tab/>
        </w:r>
        <w:r>
          <w:rPr>
            <w:noProof/>
            <w:webHidden/>
          </w:rPr>
          <w:fldChar w:fldCharType="begin"/>
        </w:r>
        <w:r>
          <w:rPr>
            <w:noProof/>
            <w:webHidden/>
          </w:rPr>
          <w:instrText xml:space="preserve"> PAGEREF _Toc387651886 \h </w:instrText>
        </w:r>
        <w:r>
          <w:rPr>
            <w:noProof/>
            <w:webHidden/>
          </w:rPr>
        </w:r>
        <w:r>
          <w:rPr>
            <w:noProof/>
            <w:webHidden/>
          </w:rPr>
          <w:fldChar w:fldCharType="separate"/>
        </w:r>
        <w:r>
          <w:rPr>
            <w:noProof/>
            <w:webHidden/>
          </w:rPr>
          <w:t>145</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7" w:history="1">
        <w:r>
          <w:rPr>
            <w:rStyle w:val="Hypertextovprepojenie"/>
            <w:rFonts w:ascii="Arial" w:hAnsi="Arial" w:cs="Arial"/>
            <w:noProof/>
          </w:rPr>
          <w:t>6 Špecifické potreby geografických oblastí závažne a trvalo znevýhodnených prírodnými a demografickými podmienkami</w:t>
        </w:r>
        <w:r>
          <w:rPr>
            <w:noProof/>
            <w:webHidden/>
          </w:rPr>
          <w:tab/>
        </w:r>
        <w:r>
          <w:rPr>
            <w:noProof/>
            <w:webHidden/>
          </w:rPr>
          <w:fldChar w:fldCharType="begin"/>
        </w:r>
        <w:r>
          <w:rPr>
            <w:noProof/>
            <w:webHidden/>
          </w:rPr>
          <w:instrText xml:space="preserve"> PAGEREF _Toc387651887 \h </w:instrText>
        </w:r>
        <w:r>
          <w:rPr>
            <w:noProof/>
            <w:webHidden/>
          </w:rPr>
        </w:r>
        <w:r>
          <w:rPr>
            <w:noProof/>
            <w:webHidden/>
          </w:rPr>
          <w:fldChar w:fldCharType="separate"/>
        </w:r>
        <w:r>
          <w:rPr>
            <w:noProof/>
            <w:webHidden/>
          </w:rPr>
          <w:t>147</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8" w:history="1">
        <w:r>
          <w:rPr>
            <w:rStyle w:val="Hypertextovprepojenie"/>
            <w:rFonts w:ascii="Arial" w:hAnsi="Arial" w:cs="Arial"/>
            <w:noProof/>
          </w:rPr>
          <w:t>7 Orgány zodpovedné za riadenie, kontrolu a audit a úlohy relevantných partnerov</w:t>
        </w:r>
        <w:r>
          <w:rPr>
            <w:noProof/>
            <w:webHidden/>
          </w:rPr>
          <w:tab/>
        </w:r>
        <w:r>
          <w:rPr>
            <w:noProof/>
            <w:webHidden/>
          </w:rPr>
          <w:fldChar w:fldCharType="begin"/>
        </w:r>
        <w:r>
          <w:rPr>
            <w:noProof/>
            <w:webHidden/>
          </w:rPr>
          <w:instrText xml:space="preserve"> PAGEREF _Toc387651888 \h </w:instrText>
        </w:r>
        <w:r>
          <w:rPr>
            <w:noProof/>
            <w:webHidden/>
          </w:rPr>
        </w:r>
        <w:r>
          <w:rPr>
            <w:noProof/>
            <w:webHidden/>
          </w:rPr>
          <w:fldChar w:fldCharType="separate"/>
        </w:r>
        <w:r>
          <w:rPr>
            <w:noProof/>
            <w:webHidden/>
          </w:rPr>
          <w:t>147</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9" w:history="1">
        <w:r>
          <w:rPr>
            <w:rStyle w:val="Hypertextovprepojenie"/>
            <w:rFonts w:ascii="Arial" w:hAnsi="Arial" w:cs="Arial"/>
            <w:noProof/>
          </w:rPr>
          <w:t>7.1 Identifikácia relevantných orgánov</w:t>
        </w:r>
        <w:r>
          <w:rPr>
            <w:noProof/>
            <w:webHidden/>
          </w:rPr>
          <w:tab/>
        </w:r>
        <w:r>
          <w:rPr>
            <w:noProof/>
            <w:webHidden/>
          </w:rPr>
          <w:fldChar w:fldCharType="begin"/>
        </w:r>
        <w:r>
          <w:rPr>
            <w:noProof/>
            <w:webHidden/>
          </w:rPr>
          <w:instrText xml:space="preserve"> PAGEREF _Toc387651889 \h </w:instrText>
        </w:r>
        <w:r>
          <w:rPr>
            <w:noProof/>
            <w:webHidden/>
          </w:rPr>
        </w:r>
        <w:r>
          <w:rPr>
            <w:noProof/>
            <w:webHidden/>
          </w:rPr>
          <w:fldChar w:fldCharType="separate"/>
        </w:r>
        <w:r>
          <w:rPr>
            <w:noProof/>
            <w:webHidden/>
          </w:rPr>
          <w:t>147</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0" w:history="1">
        <w:r>
          <w:rPr>
            <w:rStyle w:val="Hypertextovprepojenie"/>
            <w:rFonts w:ascii="Arial" w:hAnsi="Arial" w:cs="Arial"/>
            <w:noProof/>
          </w:rPr>
          <w:t>7.2 Opatrenia na zapojenie relevantných partnerov pri príprave IROP, úloha partnerov pri implementácii, monitorovaní a hodnotení IROP</w:t>
        </w:r>
        <w:r>
          <w:rPr>
            <w:noProof/>
            <w:webHidden/>
          </w:rPr>
          <w:tab/>
        </w:r>
        <w:r>
          <w:rPr>
            <w:noProof/>
            <w:webHidden/>
          </w:rPr>
          <w:fldChar w:fldCharType="begin"/>
        </w:r>
        <w:r>
          <w:rPr>
            <w:noProof/>
            <w:webHidden/>
          </w:rPr>
          <w:instrText xml:space="preserve"> PAGEREF _Toc387651890 \h </w:instrText>
        </w:r>
        <w:r>
          <w:rPr>
            <w:noProof/>
            <w:webHidden/>
          </w:rPr>
        </w:r>
        <w:r>
          <w:rPr>
            <w:noProof/>
            <w:webHidden/>
          </w:rPr>
          <w:fldChar w:fldCharType="separate"/>
        </w:r>
        <w:r>
          <w:rPr>
            <w:noProof/>
            <w:webHidden/>
          </w:rPr>
          <w:t>147</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1" w:history="1">
        <w:r>
          <w:rPr>
            <w:rStyle w:val="Hypertextovprepojenie"/>
            <w:rFonts w:ascii="Arial" w:hAnsi="Arial" w:cs="Arial"/>
            <w:noProof/>
          </w:rPr>
          <w:t>7.2.1. Úloha relevantných partnerov pri príprave, implementácii, monitorovaní a hodnotení IROP</w:t>
        </w:r>
        <w:r>
          <w:rPr>
            <w:noProof/>
            <w:webHidden/>
          </w:rPr>
          <w:tab/>
        </w:r>
        <w:r>
          <w:rPr>
            <w:noProof/>
            <w:webHidden/>
          </w:rPr>
          <w:fldChar w:fldCharType="begin"/>
        </w:r>
        <w:r>
          <w:rPr>
            <w:noProof/>
            <w:webHidden/>
          </w:rPr>
          <w:instrText xml:space="preserve"> PAGEREF _Toc387651891 \h </w:instrText>
        </w:r>
        <w:r>
          <w:rPr>
            <w:noProof/>
            <w:webHidden/>
          </w:rPr>
        </w:r>
        <w:r>
          <w:rPr>
            <w:noProof/>
            <w:webHidden/>
          </w:rPr>
          <w:fldChar w:fldCharType="separate"/>
        </w:r>
        <w:r>
          <w:rPr>
            <w:noProof/>
            <w:webHidden/>
          </w:rPr>
          <w:t>147</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2" w:history="1">
        <w:r>
          <w:rPr>
            <w:rStyle w:val="Hypertextovprepojenie"/>
            <w:rFonts w:ascii="Arial" w:hAnsi="Arial" w:cs="Arial"/>
            <w:noProof/>
          </w:rPr>
          <w:t>7.2.2 Pre ESF: Globálne granty</w:t>
        </w:r>
        <w:r>
          <w:rPr>
            <w:noProof/>
            <w:webHidden/>
          </w:rPr>
          <w:tab/>
        </w:r>
        <w:r>
          <w:rPr>
            <w:noProof/>
            <w:webHidden/>
          </w:rPr>
          <w:fldChar w:fldCharType="begin"/>
        </w:r>
        <w:r>
          <w:rPr>
            <w:noProof/>
            <w:webHidden/>
          </w:rPr>
          <w:instrText xml:space="preserve"> PAGEREF _Toc387651892 \h </w:instrText>
        </w:r>
        <w:r>
          <w:rPr>
            <w:noProof/>
            <w:webHidden/>
          </w:rPr>
        </w:r>
        <w:r>
          <w:rPr>
            <w:noProof/>
            <w:webHidden/>
          </w:rPr>
          <w:fldChar w:fldCharType="separate"/>
        </w:r>
        <w:r>
          <w:rPr>
            <w:noProof/>
            <w:webHidden/>
          </w:rPr>
          <w:t>149</w:t>
        </w:r>
        <w:r>
          <w:rPr>
            <w:noProof/>
            <w:webHidden/>
          </w:rPr>
          <w:fldChar w:fldCharType="end"/>
        </w:r>
      </w:hyperlink>
    </w:p>
    <w:p>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3" w:history="1">
        <w:r>
          <w:rPr>
            <w:rStyle w:val="Hypertextovprepojenie"/>
            <w:rFonts w:ascii="Arial" w:hAnsi="Arial" w:cs="Arial"/>
            <w:noProof/>
          </w:rPr>
          <w:t>7.2.3 Pre ESF: Budovanie kapacít</w:t>
        </w:r>
        <w:r>
          <w:rPr>
            <w:noProof/>
            <w:webHidden/>
          </w:rPr>
          <w:tab/>
        </w:r>
        <w:r>
          <w:rPr>
            <w:noProof/>
            <w:webHidden/>
          </w:rPr>
          <w:fldChar w:fldCharType="begin"/>
        </w:r>
        <w:r>
          <w:rPr>
            <w:noProof/>
            <w:webHidden/>
          </w:rPr>
          <w:instrText xml:space="preserve"> PAGEREF _Toc387651893 \h </w:instrText>
        </w:r>
        <w:r>
          <w:rPr>
            <w:noProof/>
            <w:webHidden/>
          </w:rPr>
        </w:r>
        <w:r>
          <w:rPr>
            <w:noProof/>
            <w:webHidden/>
          </w:rPr>
          <w:fldChar w:fldCharType="separate"/>
        </w:r>
        <w:r>
          <w:rPr>
            <w:noProof/>
            <w:webHidden/>
          </w:rPr>
          <w:t>149</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4" w:history="1">
        <w:r>
          <w:rPr>
            <w:rStyle w:val="Hypertextovprepojenie"/>
            <w:rFonts w:ascii="Arial" w:hAnsi="Arial" w:cs="Arial"/>
            <w:noProof/>
          </w:rPr>
          <w:t>8 Koordinácia medzi fondmi, EPFRV, EFNRH a ostatnými národnými a EÚ nástrojmi, a EIB</w:t>
        </w:r>
        <w:r>
          <w:rPr>
            <w:noProof/>
            <w:webHidden/>
          </w:rPr>
          <w:tab/>
        </w:r>
        <w:r>
          <w:rPr>
            <w:noProof/>
            <w:webHidden/>
          </w:rPr>
          <w:fldChar w:fldCharType="begin"/>
        </w:r>
        <w:r>
          <w:rPr>
            <w:noProof/>
            <w:webHidden/>
          </w:rPr>
          <w:instrText xml:space="preserve"> PAGEREF _Toc387651894 \h </w:instrText>
        </w:r>
        <w:r>
          <w:rPr>
            <w:noProof/>
            <w:webHidden/>
          </w:rPr>
        </w:r>
        <w:r>
          <w:rPr>
            <w:noProof/>
            <w:webHidden/>
          </w:rPr>
          <w:fldChar w:fldCharType="separate"/>
        </w:r>
        <w:r>
          <w:rPr>
            <w:noProof/>
            <w:webHidden/>
          </w:rPr>
          <w:t>150</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5" w:history="1">
        <w:r>
          <w:rPr>
            <w:rStyle w:val="Hypertextovprepojenie"/>
            <w:rFonts w:ascii="Arial" w:hAnsi="Arial" w:cs="Arial"/>
            <w:noProof/>
          </w:rPr>
          <w:t>9 Ex ante kondicionality</w:t>
        </w:r>
        <w:r>
          <w:rPr>
            <w:noProof/>
            <w:webHidden/>
          </w:rPr>
          <w:tab/>
        </w:r>
        <w:r>
          <w:rPr>
            <w:noProof/>
            <w:webHidden/>
          </w:rPr>
          <w:fldChar w:fldCharType="begin"/>
        </w:r>
        <w:r>
          <w:rPr>
            <w:noProof/>
            <w:webHidden/>
          </w:rPr>
          <w:instrText xml:space="preserve"> PAGEREF _Toc387651895 \h </w:instrText>
        </w:r>
        <w:r>
          <w:rPr>
            <w:noProof/>
            <w:webHidden/>
          </w:rPr>
        </w:r>
        <w:r>
          <w:rPr>
            <w:noProof/>
            <w:webHidden/>
          </w:rPr>
          <w:fldChar w:fldCharType="separate"/>
        </w:r>
        <w:r>
          <w:rPr>
            <w:noProof/>
            <w:webHidden/>
          </w:rPr>
          <w:t>155</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6" w:history="1">
        <w:r>
          <w:rPr>
            <w:rStyle w:val="Hypertextovprepojenie"/>
            <w:rFonts w:ascii="Arial" w:hAnsi="Arial" w:cs="Arial"/>
            <w:noProof/>
          </w:rPr>
          <w:t>9.1 Identifikácia aplikovateľných ex-ante kondicionalít a vyhodnotenie ich splnenia</w:t>
        </w:r>
        <w:r>
          <w:rPr>
            <w:noProof/>
            <w:webHidden/>
          </w:rPr>
          <w:tab/>
        </w:r>
        <w:r>
          <w:rPr>
            <w:noProof/>
            <w:webHidden/>
          </w:rPr>
          <w:fldChar w:fldCharType="begin"/>
        </w:r>
        <w:r>
          <w:rPr>
            <w:noProof/>
            <w:webHidden/>
          </w:rPr>
          <w:instrText xml:space="preserve"> PAGEREF _Toc387651896 \h </w:instrText>
        </w:r>
        <w:r>
          <w:rPr>
            <w:noProof/>
            <w:webHidden/>
          </w:rPr>
        </w:r>
        <w:r>
          <w:rPr>
            <w:noProof/>
            <w:webHidden/>
          </w:rPr>
          <w:fldChar w:fldCharType="separate"/>
        </w:r>
        <w:r>
          <w:rPr>
            <w:noProof/>
            <w:webHidden/>
          </w:rPr>
          <w:t>155</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7" w:history="1">
        <w:r>
          <w:rPr>
            <w:rStyle w:val="Hypertextovprepojenie"/>
            <w:rFonts w:ascii="Arial" w:hAnsi="Arial" w:cs="Arial"/>
            <w:noProof/>
          </w:rPr>
          <w:t>9.2 Opis opatrení na splnenie ex ante kondicionalít, zodpovedné orgány a časový plán týchto opatrení</w:t>
        </w:r>
        <w:r>
          <w:rPr>
            <w:noProof/>
            <w:webHidden/>
          </w:rPr>
          <w:tab/>
        </w:r>
        <w:r>
          <w:rPr>
            <w:noProof/>
            <w:webHidden/>
          </w:rPr>
          <w:fldChar w:fldCharType="begin"/>
        </w:r>
        <w:r>
          <w:rPr>
            <w:noProof/>
            <w:webHidden/>
          </w:rPr>
          <w:instrText xml:space="preserve"> PAGEREF _Toc387651897 \h </w:instrText>
        </w:r>
        <w:r>
          <w:rPr>
            <w:noProof/>
            <w:webHidden/>
          </w:rPr>
        </w:r>
        <w:r>
          <w:rPr>
            <w:noProof/>
            <w:webHidden/>
          </w:rPr>
          <w:fldChar w:fldCharType="separate"/>
        </w:r>
        <w:r>
          <w:rPr>
            <w:noProof/>
            <w:webHidden/>
          </w:rPr>
          <w:t>168</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8" w:history="1">
        <w:r>
          <w:rPr>
            <w:rStyle w:val="Hypertextovprepojenie"/>
            <w:rFonts w:ascii="Arial" w:hAnsi="Arial" w:cs="Arial"/>
            <w:noProof/>
          </w:rPr>
          <w:t>10 Zníženie administratívnej záťaže pre prijímateľov</w:t>
        </w:r>
        <w:r>
          <w:rPr>
            <w:noProof/>
            <w:webHidden/>
          </w:rPr>
          <w:tab/>
        </w:r>
        <w:r>
          <w:rPr>
            <w:noProof/>
            <w:webHidden/>
          </w:rPr>
          <w:fldChar w:fldCharType="begin"/>
        </w:r>
        <w:r>
          <w:rPr>
            <w:noProof/>
            <w:webHidden/>
          </w:rPr>
          <w:instrText xml:space="preserve"> PAGEREF _Toc387651898 \h </w:instrText>
        </w:r>
        <w:r>
          <w:rPr>
            <w:noProof/>
            <w:webHidden/>
          </w:rPr>
        </w:r>
        <w:r>
          <w:rPr>
            <w:noProof/>
            <w:webHidden/>
          </w:rPr>
          <w:fldChar w:fldCharType="separate"/>
        </w:r>
        <w:r>
          <w:rPr>
            <w:noProof/>
            <w:webHidden/>
          </w:rPr>
          <w:t>176</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9" w:history="1">
        <w:r>
          <w:rPr>
            <w:rStyle w:val="Hypertextovprepojenie"/>
            <w:rFonts w:ascii="Arial" w:hAnsi="Arial" w:cs="Arial"/>
            <w:noProof/>
          </w:rPr>
          <w:t>11 Horizontálne princípy</w:t>
        </w:r>
        <w:r>
          <w:rPr>
            <w:noProof/>
            <w:webHidden/>
          </w:rPr>
          <w:tab/>
        </w:r>
        <w:r>
          <w:rPr>
            <w:noProof/>
            <w:webHidden/>
          </w:rPr>
          <w:fldChar w:fldCharType="begin"/>
        </w:r>
        <w:r>
          <w:rPr>
            <w:noProof/>
            <w:webHidden/>
          </w:rPr>
          <w:instrText xml:space="preserve"> PAGEREF _Toc387651899 \h </w:instrText>
        </w:r>
        <w:r>
          <w:rPr>
            <w:noProof/>
            <w:webHidden/>
          </w:rPr>
        </w:r>
        <w:r>
          <w:rPr>
            <w:noProof/>
            <w:webHidden/>
          </w:rPr>
          <w:fldChar w:fldCharType="separate"/>
        </w:r>
        <w:r>
          <w:rPr>
            <w:noProof/>
            <w:webHidden/>
          </w:rPr>
          <w:t>178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0" w:history="1">
        <w:r>
          <w:rPr>
            <w:rStyle w:val="Hypertextovprepojenie"/>
            <w:rFonts w:ascii="Arial" w:hAnsi="Arial" w:cs="Arial"/>
            <w:noProof/>
          </w:rPr>
          <w:t>11.1 Udržateľný rozvoj</w:t>
        </w:r>
        <w:r>
          <w:rPr>
            <w:noProof/>
            <w:webHidden/>
          </w:rPr>
          <w:tab/>
        </w:r>
        <w:r>
          <w:rPr>
            <w:noProof/>
            <w:webHidden/>
          </w:rPr>
          <w:fldChar w:fldCharType="begin"/>
        </w:r>
        <w:r>
          <w:rPr>
            <w:noProof/>
            <w:webHidden/>
          </w:rPr>
          <w:instrText xml:space="preserve"> PAGEREF _Toc387651900 \h </w:instrText>
        </w:r>
        <w:r>
          <w:rPr>
            <w:noProof/>
            <w:webHidden/>
          </w:rPr>
        </w:r>
        <w:r>
          <w:rPr>
            <w:noProof/>
            <w:webHidden/>
          </w:rPr>
          <w:fldChar w:fldCharType="separate"/>
        </w:r>
        <w:r>
          <w:rPr>
            <w:noProof/>
            <w:webHidden/>
          </w:rPr>
          <w:t>178</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1" w:history="1">
        <w:r>
          <w:rPr>
            <w:rStyle w:val="Hypertextovprepojenie"/>
            <w:rFonts w:ascii="Arial" w:hAnsi="Arial" w:cs="Arial"/>
            <w:noProof/>
          </w:rPr>
          <w:t>11.2 Rovnosť príležitostí a nediskriminácia</w:t>
        </w:r>
        <w:r>
          <w:rPr>
            <w:noProof/>
            <w:webHidden/>
          </w:rPr>
          <w:tab/>
        </w:r>
        <w:r>
          <w:rPr>
            <w:noProof/>
            <w:webHidden/>
          </w:rPr>
          <w:fldChar w:fldCharType="begin"/>
        </w:r>
        <w:r>
          <w:rPr>
            <w:noProof/>
            <w:webHidden/>
          </w:rPr>
          <w:instrText xml:space="preserve"> PAGEREF _Toc387651901 \h </w:instrText>
        </w:r>
        <w:r>
          <w:rPr>
            <w:noProof/>
            <w:webHidden/>
          </w:rPr>
        </w:r>
        <w:r>
          <w:rPr>
            <w:noProof/>
            <w:webHidden/>
          </w:rPr>
          <w:fldChar w:fldCharType="separate"/>
        </w:r>
        <w:r>
          <w:rPr>
            <w:noProof/>
            <w:webHidden/>
          </w:rPr>
          <w:t>179</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2" w:history="1">
        <w:r>
          <w:rPr>
            <w:rStyle w:val="Hypertextovprepojenie"/>
            <w:rFonts w:ascii="Arial" w:hAnsi="Arial" w:cs="Arial"/>
            <w:noProof/>
          </w:rPr>
          <w:t>11.3 Rovnosť medzi mužmi a ženami</w:t>
        </w:r>
        <w:r>
          <w:rPr>
            <w:noProof/>
            <w:webHidden/>
          </w:rPr>
          <w:tab/>
        </w:r>
        <w:r>
          <w:rPr>
            <w:noProof/>
            <w:webHidden/>
          </w:rPr>
          <w:fldChar w:fldCharType="begin"/>
        </w:r>
        <w:r>
          <w:rPr>
            <w:noProof/>
            <w:webHidden/>
          </w:rPr>
          <w:instrText xml:space="preserve"> PAGEREF _Toc387651902 \h </w:instrText>
        </w:r>
        <w:r>
          <w:rPr>
            <w:noProof/>
            <w:webHidden/>
          </w:rPr>
        </w:r>
        <w:r>
          <w:rPr>
            <w:noProof/>
            <w:webHidden/>
          </w:rPr>
          <w:fldChar w:fldCharType="separate"/>
        </w:r>
        <w:r>
          <w:rPr>
            <w:noProof/>
            <w:webHidden/>
          </w:rPr>
          <w:t>181</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3" w:history="1">
        <w:r>
          <w:rPr>
            <w:rStyle w:val="Hypertextovprepojenie"/>
            <w:rFonts w:ascii="Arial" w:hAnsi="Arial" w:cs="Arial"/>
            <w:noProof/>
          </w:rPr>
          <w:t>12 Prílohy</w:t>
        </w:r>
        <w:r>
          <w:rPr>
            <w:noProof/>
            <w:webHidden/>
          </w:rPr>
          <w:tab/>
        </w:r>
        <w:r>
          <w:rPr>
            <w:noProof/>
            <w:webHidden/>
          </w:rPr>
          <w:fldChar w:fldCharType="begin"/>
        </w:r>
        <w:r>
          <w:rPr>
            <w:noProof/>
            <w:webHidden/>
          </w:rPr>
          <w:instrText xml:space="preserve"> PAGEREF _Toc387651903 \h </w:instrText>
        </w:r>
        <w:r>
          <w:rPr>
            <w:noProof/>
            <w:webHidden/>
          </w:rPr>
        </w:r>
        <w:r>
          <w:rPr>
            <w:noProof/>
            <w:webHidden/>
          </w:rPr>
          <w:fldChar w:fldCharType="separate"/>
        </w:r>
        <w:r>
          <w:rPr>
            <w:noProof/>
            <w:webHidden/>
          </w:rPr>
          <w:t>183</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4" w:history="1">
        <w:r>
          <w:rPr>
            <w:rStyle w:val="Hypertextovprepojenie"/>
            <w:noProof/>
          </w:rPr>
          <w:t>Použité skratky</w:t>
        </w:r>
        <w:r>
          <w:rPr>
            <w:noProof/>
            <w:webHidden/>
          </w:rPr>
          <w:tab/>
        </w:r>
        <w:r>
          <w:rPr>
            <w:noProof/>
            <w:webHidden/>
          </w:rPr>
          <w:fldChar w:fldCharType="begin"/>
        </w:r>
        <w:r>
          <w:rPr>
            <w:noProof/>
            <w:webHidden/>
          </w:rPr>
          <w:instrText xml:space="preserve"> PAGEREF _Toc387651904 \h </w:instrText>
        </w:r>
        <w:r>
          <w:rPr>
            <w:noProof/>
            <w:webHidden/>
          </w:rPr>
        </w:r>
        <w:r>
          <w:rPr>
            <w:noProof/>
            <w:webHidden/>
          </w:rPr>
          <w:fldChar w:fldCharType="separate"/>
        </w:r>
        <w:r>
          <w:rPr>
            <w:noProof/>
            <w:webHidden/>
          </w:rPr>
          <w:t>183</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5" w:history="1">
        <w:r>
          <w:rPr>
            <w:rStyle w:val="Hypertextovprepojenie"/>
            <w:rFonts w:ascii="Arial" w:hAnsi="Arial" w:cs="Arial"/>
            <w:noProof/>
          </w:rPr>
          <w:t>12.1 Zoznam veľkých projektov</w:t>
        </w:r>
        <w:r>
          <w:rPr>
            <w:noProof/>
            <w:webHidden/>
          </w:rPr>
          <w:tab/>
        </w:r>
        <w:r>
          <w:rPr>
            <w:noProof/>
            <w:webHidden/>
          </w:rPr>
          <w:fldChar w:fldCharType="begin"/>
        </w:r>
        <w:r>
          <w:rPr>
            <w:noProof/>
            <w:webHidden/>
          </w:rPr>
          <w:instrText xml:space="preserve"> PAGEREF _Toc387651905 \h </w:instrText>
        </w:r>
        <w:r>
          <w:rPr>
            <w:noProof/>
            <w:webHidden/>
          </w:rPr>
        </w:r>
        <w:r>
          <w:rPr>
            <w:noProof/>
            <w:webHidden/>
          </w:rPr>
          <w:fldChar w:fldCharType="separate"/>
        </w:r>
        <w:r>
          <w:rPr>
            <w:noProof/>
            <w:webHidden/>
          </w:rPr>
          <w:t>185</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6" w:history="1">
        <w:r>
          <w:rPr>
            <w:rStyle w:val="Hypertextovprepojenie"/>
            <w:rFonts w:ascii="Arial" w:hAnsi="Arial" w:cs="Arial"/>
            <w:noProof/>
          </w:rPr>
          <w:t>12.2 Výkonnostný rámec</w:t>
        </w:r>
        <w:r>
          <w:rPr>
            <w:noProof/>
            <w:webHidden/>
          </w:rPr>
          <w:tab/>
        </w:r>
        <w:r>
          <w:rPr>
            <w:noProof/>
            <w:webHidden/>
          </w:rPr>
          <w:fldChar w:fldCharType="begin"/>
        </w:r>
        <w:r>
          <w:rPr>
            <w:noProof/>
            <w:webHidden/>
          </w:rPr>
          <w:instrText xml:space="preserve"> PAGEREF _Toc387651906 \h </w:instrText>
        </w:r>
        <w:r>
          <w:rPr>
            <w:noProof/>
            <w:webHidden/>
          </w:rPr>
        </w:r>
        <w:r>
          <w:rPr>
            <w:noProof/>
            <w:webHidden/>
          </w:rPr>
          <w:fldChar w:fldCharType="separate"/>
        </w:r>
        <w:r>
          <w:rPr>
            <w:noProof/>
            <w:webHidden/>
          </w:rPr>
          <w:t>186</w:t>
        </w:r>
        <w:r>
          <w:rPr>
            <w:noProof/>
            <w:webHidden/>
          </w:rPr>
          <w:fldChar w:fldCharType="end"/>
        </w:r>
      </w:hyperlink>
    </w:p>
    <w:p>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7" w:history="1">
        <w:r>
          <w:rPr>
            <w:rStyle w:val="Hypertextovprepojenie"/>
            <w:rFonts w:ascii="Arial" w:hAnsi="Arial" w:cs="Arial"/>
            <w:noProof/>
          </w:rPr>
          <w:t>12.3 Zoznam relevantných partnerov zapojených do prípravy IROP</w:t>
        </w:r>
        <w:r>
          <w:rPr>
            <w:noProof/>
            <w:webHidden/>
          </w:rPr>
          <w:tab/>
        </w:r>
        <w:r>
          <w:rPr>
            <w:noProof/>
            <w:webHidden/>
          </w:rPr>
          <w:fldChar w:fldCharType="begin"/>
        </w:r>
        <w:r>
          <w:rPr>
            <w:noProof/>
            <w:webHidden/>
          </w:rPr>
          <w:instrText xml:space="preserve"> PAGEREF _Toc387651907 \h </w:instrText>
        </w:r>
        <w:r>
          <w:rPr>
            <w:noProof/>
            <w:webHidden/>
          </w:rPr>
        </w:r>
        <w:r>
          <w:rPr>
            <w:noProof/>
            <w:webHidden/>
          </w:rPr>
          <w:fldChar w:fldCharType="separate"/>
        </w:r>
        <w:r>
          <w:rPr>
            <w:noProof/>
            <w:webHidden/>
          </w:rPr>
          <w:t>188</w:t>
        </w:r>
        <w:r>
          <w:rPr>
            <w:noProof/>
            <w:webHidden/>
          </w:rPr>
          <w:fldChar w:fldCharType="end"/>
        </w:r>
      </w:hyperlink>
    </w:p>
    <w:p>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8" w:history="1">
        <w:r>
          <w:rPr>
            <w:rStyle w:val="Hypertextovprepojenie"/>
            <w:rFonts w:ascii="Arial" w:hAnsi="Arial" w:cs="Arial"/>
            <w:noProof/>
          </w:rPr>
          <w:t>Prílohy (na zadanie do SFC 2014 ako osobitné súbory)</w:t>
        </w:r>
        <w:r>
          <w:rPr>
            <w:noProof/>
            <w:webHidden/>
          </w:rPr>
          <w:tab/>
        </w:r>
        <w:r>
          <w:rPr>
            <w:noProof/>
            <w:webHidden/>
          </w:rPr>
          <w:fldChar w:fldCharType="begin"/>
        </w:r>
        <w:r>
          <w:rPr>
            <w:noProof/>
            <w:webHidden/>
          </w:rPr>
          <w:instrText xml:space="preserve"> PAGEREF _Toc387651908 \h </w:instrText>
        </w:r>
        <w:r>
          <w:rPr>
            <w:noProof/>
            <w:webHidden/>
          </w:rPr>
        </w:r>
        <w:r>
          <w:rPr>
            <w:noProof/>
            <w:webHidden/>
          </w:rPr>
          <w:fldChar w:fldCharType="separate"/>
        </w:r>
        <w:r>
          <w:rPr>
            <w:noProof/>
            <w:webHidden/>
          </w:rPr>
          <w:t>189</w:t>
        </w:r>
        <w:r>
          <w:rPr>
            <w:noProof/>
            <w:webHidden/>
          </w:rPr>
          <w:fldChar w:fldCharType="end"/>
        </w:r>
      </w:hyperlink>
    </w:p>
    <w:p>
      <w:pPr>
        <w:rPr>
          <w:rFonts w:ascii="Arial" w:hAnsi="Arial" w:cs="Arial"/>
        </w:rPr>
      </w:pPr>
      <w:r>
        <w:rPr>
          <w:rFonts w:ascii="Arial" w:hAnsi="Arial" w:cs="Arial"/>
          <w:b/>
          <w:bCs/>
          <w:i/>
          <w:iCs/>
          <w:sz w:val="24"/>
          <w:szCs w:val="24"/>
          <w:u w:val="single"/>
        </w:rPr>
        <w:fldChar w:fldCharType="end"/>
      </w:r>
    </w:p>
    <w:p>
      <w:pPr>
        <w:rPr>
          <w:rFonts w:ascii="Arial" w:hAnsi="Arial" w:cs="Arial"/>
        </w:rPr>
      </w:pPr>
    </w:p>
    <w:p>
      <w:pPr>
        <w:rPr>
          <w:rFonts w:ascii="Arial" w:hAnsi="Arial" w:cs="Arial"/>
        </w:rPr>
      </w:pPr>
    </w:p>
    <w:p>
      <w:pPr>
        <w:rPr>
          <w:rFonts w:ascii="Arial" w:hAnsi="Arial" w:cs="Arial"/>
        </w:rPr>
      </w:pPr>
      <w:r>
        <w:rPr>
          <w:rFonts w:ascii="Arial" w:hAnsi="Arial" w:cs="Arial"/>
        </w:rPr>
        <w:br w:type="page"/>
      </w:r>
    </w:p>
    <w:p>
      <w:pPr>
        <w:pStyle w:val="Nadpis1"/>
        <w:jc w:val="both"/>
        <w:rPr>
          <w:rFonts w:ascii="Arial" w:hAnsi="Arial" w:cs="Arial"/>
        </w:rPr>
      </w:pPr>
      <w:bookmarkStart w:id="0" w:name="_Toc387651781"/>
      <w:r>
        <w:rPr>
          <w:rFonts w:ascii="Arial" w:hAnsi="Arial" w:cs="Arial"/>
        </w:rPr>
        <w:lastRenderedPageBreak/>
        <w:t>Stratégia prínosu Integrovaného regionálneho operačného programu pre stratégiu Únie na zabezpečenie inteligentného, udržateľného a </w:t>
      </w:r>
      <w:proofErr w:type="spellStart"/>
      <w:r>
        <w:rPr>
          <w:rFonts w:ascii="Arial" w:hAnsi="Arial" w:cs="Arial"/>
        </w:rPr>
        <w:t>inkluzívneho</w:t>
      </w:r>
      <w:proofErr w:type="spellEnd"/>
      <w:r>
        <w:rPr>
          <w:rFonts w:ascii="Arial" w:hAnsi="Arial" w:cs="Arial"/>
        </w:rPr>
        <w:t xml:space="preserve"> rastu a dosiahnutie hospodárskej, sociálnej a územnej súdržnosti</w:t>
      </w:r>
      <w:bookmarkEnd w:id="0"/>
      <w:r>
        <w:rPr>
          <w:rFonts w:ascii="Arial" w:hAnsi="Arial" w:cs="Arial"/>
        </w:rPr>
        <w:t xml:space="preserve"> </w:t>
      </w:r>
    </w:p>
    <w:p>
      <w:pPr>
        <w:pStyle w:val="Nadpis2"/>
        <w:rPr>
          <w:rFonts w:ascii="Arial" w:hAnsi="Arial" w:cs="Arial"/>
        </w:rPr>
      </w:pPr>
      <w:bookmarkStart w:id="1" w:name="_Toc387651782"/>
      <w:r>
        <w:rPr>
          <w:rFonts w:ascii="Arial" w:hAnsi="Arial" w:cs="Arial"/>
        </w:rPr>
        <w:t xml:space="preserve">1.1 Stratégia prínosu Integrovaného regionálneho operačného programu pre stratégiu Únie na zabezpečenie inteligentného udržateľného a </w:t>
      </w:r>
      <w:proofErr w:type="spellStart"/>
      <w:r>
        <w:rPr>
          <w:rFonts w:ascii="Arial" w:hAnsi="Arial" w:cs="Arial"/>
        </w:rPr>
        <w:t>inkluzívneho</w:t>
      </w:r>
      <w:proofErr w:type="spellEnd"/>
      <w:r>
        <w:rPr>
          <w:rFonts w:ascii="Arial" w:hAnsi="Arial" w:cs="Arial"/>
        </w:rPr>
        <w:t xml:space="preserve"> rastu a dosiahnutie hospodárskej, sociálnej a územnej súdržnosti</w:t>
      </w:r>
      <w:bookmarkEnd w:id="1"/>
    </w:p>
    <w:p>
      <w:pPr>
        <w:pStyle w:val="Nadpis3"/>
        <w:jc w:val="both"/>
        <w:rPr>
          <w:rFonts w:ascii="Arial" w:hAnsi="Arial" w:cs="Arial"/>
        </w:rPr>
      </w:pPr>
      <w:bookmarkStart w:id="2" w:name="_Toc387651783"/>
      <w:r>
        <w:rPr>
          <w:rFonts w:ascii="Arial" w:hAnsi="Arial" w:cs="Arial"/>
        </w:rPr>
        <w:t>1.1.1 Opis stratégie Integrovaného regionálneho operačného programu pre prínos pre realizáciu stratégie Únie pre inteligentný, udržateľný a </w:t>
      </w:r>
      <w:proofErr w:type="spellStart"/>
      <w:r>
        <w:rPr>
          <w:rFonts w:ascii="Arial" w:hAnsi="Arial" w:cs="Arial"/>
        </w:rPr>
        <w:t>inkluzívny</w:t>
      </w:r>
      <w:proofErr w:type="spellEnd"/>
      <w:r>
        <w:rPr>
          <w:rFonts w:ascii="Arial" w:hAnsi="Arial" w:cs="Arial"/>
        </w:rPr>
        <w:t xml:space="preserve"> rast a dosiahnutie hospodárskej, sociálnej a územnej súdržnosti</w:t>
      </w:r>
      <w:bookmarkEnd w:id="2"/>
    </w:p>
    <w:p>
      <w:pPr>
        <w:pStyle w:val="Odsekzoznamu"/>
        <w:spacing w:after="0" w:line="240" w:lineRule="auto"/>
        <w:jc w:val="both"/>
        <w:rPr>
          <w:rFonts w:ascii="Arial" w:hAnsi="Arial" w:cs="Arial"/>
        </w:rPr>
      </w:pPr>
    </w:p>
    <w:p>
      <w:pPr>
        <w:jc w:val="both"/>
        <w:rPr>
          <w:rFonts w:ascii="Arial" w:hAnsi="Arial" w:cs="Arial"/>
        </w:rPr>
      </w:pPr>
      <w:r>
        <w:rPr>
          <w:rFonts w:ascii="Arial" w:hAnsi="Arial" w:cs="Arial"/>
        </w:rPr>
        <w:t>Integrovaný regionálny operačný program (ďalej len „IROP“) predstavuje programový dokument SR pre programové obdobie 2014 – 2020, ktorého globálnym cieľom je:</w:t>
      </w:r>
    </w:p>
    <w:p>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pPr>
        <w:spacing w:after="0" w:line="240" w:lineRule="auto"/>
        <w:jc w:val="both"/>
        <w:rPr>
          <w:rFonts w:ascii="Arial" w:hAnsi="Arial" w:cs="Arial"/>
        </w:rPr>
      </w:pPr>
      <w:r>
        <w:rPr>
          <w:rFonts w:ascii="Arial" w:hAnsi="Arial" w:cs="Arial"/>
        </w:rPr>
        <w:t>Stratégia podpory IROP zohľadňuje stratégiu Európa 2020 a prispieva k plneniu jej priorít, predovšetkým k udržateľnému a </w:t>
      </w:r>
      <w:proofErr w:type="spellStart"/>
      <w:r>
        <w:rPr>
          <w:rFonts w:ascii="Arial" w:hAnsi="Arial" w:cs="Arial"/>
        </w:rPr>
        <w:t>inkluzívnemu</w:t>
      </w:r>
      <w:proofErr w:type="spellEnd"/>
      <w:r>
        <w:rPr>
          <w:rFonts w:ascii="Arial" w:hAnsi="Arial" w:cs="Arial"/>
        </w:rPr>
        <w:t xml:space="preserve"> rastu a reflektujúc potreby a výzvy konkrétnych regiónov smeruje k:</w:t>
      </w:r>
    </w:p>
    <w:p>
      <w:pPr>
        <w:numPr>
          <w:ilvl w:val="0"/>
          <w:numId w:val="8"/>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pPr>
        <w:numPr>
          <w:ilvl w:val="0"/>
          <w:numId w:val="8"/>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pPr>
        <w:spacing w:after="0" w:line="240" w:lineRule="auto"/>
        <w:jc w:val="both"/>
        <w:rPr>
          <w:rFonts w:ascii="Arial" w:hAnsi="Arial" w:cs="Arial"/>
        </w:rPr>
      </w:pPr>
      <w:r>
        <w:rPr>
          <w:rFonts w:ascii="Arial" w:hAnsi="Arial" w:cs="Arial"/>
        </w:rPr>
        <w:t>prostredníctvom zabezpečenia</w:t>
      </w:r>
    </w:p>
    <w:p>
      <w:pPr>
        <w:numPr>
          <w:ilvl w:val="0"/>
          <w:numId w:val="8"/>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pPr>
        <w:pStyle w:val="Odsekzoznamu"/>
        <w:numPr>
          <w:ilvl w:val="0"/>
          <w:numId w:val="8"/>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w:t>
      </w:r>
    </w:p>
    <w:p>
      <w:pPr>
        <w:spacing w:before="240"/>
        <w:jc w:val="both"/>
        <w:rPr>
          <w:rFonts w:ascii="Arial" w:hAnsi="Arial" w:cs="Arial"/>
        </w:rPr>
      </w:pPr>
      <w:r>
        <w:rPr>
          <w:rFonts w:ascii="Arial" w:hAnsi="Arial" w:cs="Arial"/>
        </w:rPr>
        <w:t xml:space="preserve">Berúc do úvahy implicitne vyjadrené aspekty stratégie Európa 2020, ako aj daných národných programov reforiem SR (ďalej len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NPR SR 2013 vymedzuje prioritné oblasti pre dosiahnutie udržateľného rozvoja SR vytvárajúce predpoklady pre rast kvality života.</w:t>
      </w:r>
    </w:p>
    <w:p>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pPr>
        <w:jc w:val="both"/>
        <w:rPr>
          <w:rFonts w:ascii="Arial" w:hAnsi="Arial" w:cs="Arial"/>
        </w:rPr>
      </w:pPr>
      <w:r>
        <w:rPr>
          <w:rFonts w:ascii="Arial" w:hAnsi="Arial" w:cs="Arial"/>
        </w:rPr>
        <w:lastRenderedPageBreak/>
        <w:t xml:space="preserve">Paralelne so sektorovou identifikáciou potrieb a spoločenských výziev, ktoré sa majú riešiť, je nevyhnutné brať do úvahy aj hlavných aktérov ako nositeľov a realizátorov činností v daných oblastiach (napr. štát, územnú miestnu a regionálnu samosprávu, podnikateľský sektor, apod.). Významným aktérom realizácie štrukturálnych politík na miestnej a regionálnej úrovni sú orgány miestnej a regionálnej územnej samosprávy (obce, mestá a vyššie územné celky). </w:t>
      </w:r>
      <w:r>
        <w:rPr>
          <w:rFonts w:ascii="Arial" w:hAnsi="Arial" w:cs="Arial"/>
          <w:b/>
        </w:rPr>
        <w:t>IROP je možné považovať za nástroj podpory opatrení (predovšetkým verejných služieb), ktoré sú realizované z miestnej a regionálnej úrovne.</w:t>
      </w:r>
    </w:p>
    <w:p>
      <w:pPr>
        <w:shd w:val="clear" w:color="auto" w:fill="B8CCE4" w:themeFill="accent1" w:themeFillTint="66"/>
        <w:jc w:val="both"/>
        <w:rPr>
          <w:rFonts w:ascii="Arial" w:hAnsi="Arial" w:cs="Arial"/>
        </w:rPr>
      </w:pPr>
      <w:r>
        <w:rPr>
          <w:rFonts w:ascii="Arial" w:hAnsi="Arial" w:cs="Arial"/>
          <w:b/>
        </w:rPr>
        <w:t>Stratégia IROP je založená na kombinácii a synergickom prepojení vhodne zvolených intervencií regionálneho a miestneho charakteru a intervencií národného charakteru ako prostriedku posilnenia kvality života a regionálnej konkurencieschopnosti, s dopadom na vyvážený územný rozvoj.</w:t>
      </w:r>
    </w:p>
    <w:p>
      <w:pPr>
        <w:jc w:val="both"/>
        <w:rPr>
          <w:rFonts w:ascii="Arial" w:hAnsi="Arial" w:cs="Arial"/>
        </w:rPr>
      </w:pPr>
      <w:r>
        <w:rPr>
          <w:rFonts w:ascii="Arial" w:hAnsi="Arial" w:cs="Arial"/>
        </w:rPr>
        <w:t>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odôvodnených vnútroregionálnych rozdielov, ktoré sú v jednotlivých oblastiach  podpory IROP najvýraznejšie v Prešovskom, Banskobystrickom, Košickom a Nitrianskom kraji.</w:t>
      </w:r>
    </w:p>
    <w:p>
      <w:pPr>
        <w:spacing w:before="240"/>
        <w:jc w:val="both"/>
        <w:rPr>
          <w:rFonts w:ascii="Arial" w:hAnsi="Arial" w:cs="Arial"/>
        </w:rPr>
      </w:pPr>
      <w:r>
        <w:rPr>
          <w:rFonts w:ascii="Arial" w:hAnsi="Arial" w:cs="Arial"/>
        </w:rPr>
        <w:t xml:space="preserve">Aby si regióny SR udržali, alebo posilnili svoje postavenie, a zároveň sa zabezpečil rast v európskom konkurenčnom prostredí, musia byť splnené dve navzájom sa doplňujúce podmienky: 1) nevyhnutnosť </w:t>
      </w:r>
      <w:r>
        <w:rPr>
          <w:rFonts w:ascii="Arial" w:hAnsi="Arial" w:cs="Arial"/>
          <w:b/>
        </w:rPr>
        <w:t>primerane vybudovanej technickej infraštruktúry</w:t>
      </w:r>
      <w:r>
        <w:rPr>
          <w:rFonts w:ascii="Arial" w:hAnsi="Arial" w:cs="Arial"/>
        </w:rPr>
        <w:t xml:space="preserve"> k svojej definovanej konkurenčnej výhode (dopravná, telekomunikačná, energetická, ekologická apod.)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(školská, sociálna a zdravotnícka infraštruktúra); 2) v novej ekonomike založenej na vedomostiach musia mať regióny schopnosť inovovať a využívať existujúce aj regionálne </w:t>
      </w:r>
      <w:proofErr w:type="spellStart"/>
      <w:r>
        <w:rPr>
          <w:rFonts w:ascii="Arial" w:hAnsi="Arial" w:cs="Arial"/>
          <w:i/>
        </w:rPr>
        <w:t>know-how</w:t>
      </w:r>
      <w:proofErr w:type="spellEnd"/>
      <w:r>
        <w:rPr>
          <w:rFonts w:ascii="Arial" w:hAnsi="Arial" w:cs="Arial"/>
        </w:rPr>
        <w:t xml:space="preserve"> a sledovať cestu udržateľného rozvoja.</w:t>
      </w:r>
    </w:p>
    <w:p>
      <w:pPr>
        <w:jc w:val="both"/>
        <w:rPr>
          <w:rFonts w:ascii="Arial" w:hAnsi="Arial" w:cs="Arial"/>
          <w:b/>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u w:val="single"/>
        </w:rPr>
      </w:pPr>
      <w:r>
        <w:rPr>
          <w:rFonts w:ascii="Arial" w:hAnsi="Arial" w:cs="Arial"/>
          <w:b/>
          <w:u w:val="single"/>
        </w:rPr>
        <w:lastRenderedPageBreak/>
        <w:t>Rozvojové disparity a potreby a spôsob riešenia v IROP</w:t>
      </w:r>
    </w:p>
    <w:p>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pPr>
        <w:jc w:val="both"/>
      </w:pPr>
      <w:r>
        <w:rPr>
          <w:rFonts w:ascii="Arial" w:hAnsi="Arial" w:cs="Arial"/>
        </w:rPr>
        <w:t xml:space="preserve">Základnou podmienkou efektívneho prepojenia mestsko-vidieckeho prostredia ako funkčného územia je jeho vzájomná komunikačná prepojenosť. </w:t>
      </w:r>
      <w:r>
        <w:rPr>
          <w:rFonts w:ascii="Arial" w:hAnsi="Arial" w:cs="Arial"/>
          <w:b/>
        </w:rPr>
        <w:t>Zlepšenie týchto väzieb je podmienené zlepšením priestorovej súdržnosti na subregionálnej a miestnej úrovni, čo je zabezpečené aj sieťou regionálnych ciest</w:t>
      </w:r>
      <w:r>
        <w:rPr>
          <w:rFonts w:ascii="Arial" w:hAnsi="Arial" w:cs="Arial"/>
        </w:rPr>
        <w:t xml:space="preserve"> (II. a III. triedy), ktoré predstavujú dopravné komunikácie zabezpečujúce dostupnosť obyvateľstva k občianskej infraštruktúre a mobilitu do zamestnania (</w:t>
      </w:r>
      <w:proofErr w:type="spellStart"/>
      <w:r>
        <w:rPr>
          <w:rFonts w:ascii="Arial" w:hAnsi="Arial" w:cs="Arial"/>
          <w:i/>
        </w:rPr>
        <w:t>circular</w:t>
      </w:r>
      <w:proofErr w:type="spellEnd"/>
      <w:r>
        <w:rPr>
          <w:rFonts w:ascii="Arial" w:hAnsi="Arial" w:cs="Arial"/>
          <w:i/>
        </w:rPr>
        <w:t xml:space="preserve"> mobility</w:t>
      </w:r>
      <w:r>
        <w:rPr>
          <w:rFonts w:ascii="Arial" w:hAnsi="Arial" w:cs="Arial"/>
        </w:rPr>
        <w:t>).</w:t>
      </w:r>
    </w:p>
    <w:p>
      <w:pPr>
        <w:jc w:val="both"/>
        <w:rPr>
          <w:rFonts w:ascii="Arial" w:hAnsi="Arial" w:cs="Arial"/>
        </w:rPr>
      </w:pPr>
      <w:r>
        <w:rPr>
          <w:rFonts w:ascii="Arial" w:hAnsi="Arial" w:cs="Arial"/>
          <w:lang w:eastAsia="sk-SK"/>
        </w:rPr>
        <w:t>Celková dĺžka ciest II. a III. triedy dosahovala v roku 2013 14 050 km, čo predstavovalo 77,9% z celkovej dĺžky ciest na území SR. Cesty II. triedy z toho tvorili 3 639 km (20,2%) a cesty III. triedy 57,7% podiel (10 411 km). Na cestách II. a III. triedy sa realizovalo 20%, resp. 13% dopravných výkonov.</w:t>
      </w:r>
    </w:p>
    <w:p>
      <w:pPr>
        <w:jc w:val="both"/>
        <w:rPr>
          <w:rFonts w:ascii="Arial" w:hAnsi="Arial" w:cs="Arial"/>
        </w:rPr>
      </w:pPr>
      <w:r>
        <w:rPr>
          <w:rFonts w:ascii="Arial" w:hAnsi="Arial" w:cs="Arial"/>
          <w:b/>
        </w:rPr>
        <w:t>Zásadným problémom ciest II. a III. triedy je ich zlý stavebno-technický stav, ktorý má vplyv na zhoršenie dostupnosti regiónov a bezpečnosť a plynulosť cestnej premávky.</w:t>
      </w:r>
      <w:r>
        <w:rPr>
          <w:rFonts w:ascii="Arial" w:hAnsi="Arial" w:cs="Arial"/>
        </w:rPr>
        <w:t xml:space="preserve"> V roku 2012 bolo z celoslovenského hľadiska </w:t>
      </w:r>
      <w:r>
        <w:rPr>
          <w:rFonts w:ascii="Arial" w:hAnsi="Arial" w:cs="Arial"/>
          <w:b/>
        </w:rPr>
        <w:t>22,7% (823,1 km) v nevyhovujúcom stave a 3,8%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Pr>
          <w:rFonts w:ascii="Arial" w:hAnsi="Arial" w:cs="Arial"/>
          <w:b/>
        </w:rPr>
        <w:t>Bratislavskom kraji</w:t>
      </w:r>
      <w:r>
        <w:rPr>
          <w:rFonts w:ascii="Arial" w:hAnsi="Arial" w:cs="Arial"/>
        </w:rPr>
        <w:t>, kde až 76,9% ciest bolo v nevyhovujúcom až havarijnom stave a v </w:t>
      </w:r>
      <w:r>
        <w:rPr>
          <w:rFonts w:ascii="Arial" w:hAnsi="Arial" w:cs="Arial"/>
          <w:b/>
        </w:rPr>
        <w:t>Banskobystrickom kraji</w:t>
      </w:r>
      <w:r>
        <w:rPr>
          <w:rFonts w:ascii="Arial" w:hAnsi="Arial" w:cs="Arial"/>
        </w:rPr>
        <w:t xml:space="preserve"> (37,1%).</w:t>
      </w:r>
      <w:r>
        <w:rPr>
          <w:rStyle w:val="Odkaznapoznmkupodiarou"/>
          <w:rFonts w:ascii="Arial" w:hAnsi="Arial" w:cs="Arial"/>
        </w:rPr>
        <w:footnoteReference w:id="1"/>
      </w:r>
    </w:p>
    <w:p>
      <w:pPr>
        <w:jc w:val="both"/>
        <w:rPr>
          <w:rFonts w:ascii="Arial" w:hAnsi="Arial" w:cs="Arial"/>
        </w:rPr>
      </w:pPr>
      <w:r>
        <w:rPr>
          <w:rFonts w:ascii="Arial" w:hAnsi="Arial" w:cs="Arial"/>
          <w:b/>
        </w:rPr>
        <w:t>Na základe Koncepcie územného rozvoja Slovenska 2001 v znení KURS 2011</w:t>
      </w:r>
      <w:r>
        <w:rPr>
          <w:rStyle w:val="Odkaznapoznmkupodiarou"/>
          <w:rFonts w:ascii="Arial" w:hAnsi="Arial" w:cs="Arial"/>
        </w:rPr>
        <w:footnoteReference w:id="2"/>
      </w:r>
      <w:r>
        <w:rPr>
          <w:rFonts w:ascii="Arial" w:hAnsi="Arial" w:cs="Arial"/>
        </w:rPr>
        <w:t xml:space="preserve"> by sa mali naďalej rozvíjať stredne veľké mestá ako súčasť </w:t>
      </w:r>
      <w:proofErr w:type="spellStart"/>
      <w:r>
        <w:rPr>
          <w:rFonts w:ascii="Arial" w:hAnsi="Arial" w:cs="Arial"/>
        </w:rPr>
        <w:t>polycentrického</w:t>
      </w:r>
      <w:proofErr w:type="spellEnd"/>
      <w:r>
        <w:rPr>
          <w:rFonts w:ascii="Arial" w:hAnsi="Arial" w:cs="Arial"/>
        </w:rPr>
        <w:t xml:space="preserve"> systému osídlenia a zároveň posilniť význam sídelných systémov ako ťažísk osídlenia. Prevažná väčšina centier osídlenia je lokalizovaná na nadradenej cestnej infraštruktúre, okrem menších miest prevažne v južnej časti Slovenska a v západnej časti východného Slovenska (napr. centrá rozvoja Spišská Nová Ves, Gelnica), ktoré ležia na cestách II. triedy. </w:t>
      </w:r>
      <w:r>
        <w:rPr>
          <w:rFonts w:ascii="Arial" w:hAnsi="Arial" w:cs="Arial"/>
          <w:b/>
        </w:rPr>
        <w:t>Práve prepojením centier osídlenia (a ich zázemia) s nadradenou cestnou infraštruktúrou sa napomôže vyváženejšiemu  územnému rozvoju regiónov. V rámci štruktúry ťažísk osídlenia je nevyhnutné zabezpečiť kvalitnú cestnú infraštruktúru aj vo vzťahu k vidieckym priestorom, ktoré sú obsluhované prevažne po cestách III. triedy</w:t>
      </w:r>
      <w:r>
        <w:rPr>
          <w:rFonts w:ascii="Arial" w:hAnsi="Arial" w:cs="Arial"/>
        </w:rPr>
        <w:t xml:space="preserve">.   </w:t>
      </w:r>
    </w:p>
    <w:p>
      <w:pPr>
        <w:jc w:val="both"/>
        <w:rPr>
          <w:rFonts w:ascii="Arial" w:hAnsi="Arial" w:cs="Arial"/>
          <w:b/>
        </w:rPr>
      </w:pPr>
      <w:r>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(taktiež ako dôsledok zvýšenia intenzity v súvislosti so zavedením mýtneho systému na diaľniciach, rýchlostných cestách a cestách I. triedy). </w:t>
      </w:r>
      <w:r>
        <w:rPr>
          <w:rFonts w:ascii="Arial" w:hAnsi="Arial" w:cs="Arial"/>
          <w:b/>
        </w:rPr>
        <w:t>Cesty I. triedy úplne absentujú v okresoch Pezinok, Myjava, Poltár, Gelnica, Spišská Nová Ves, Medzilaborce a Svidník</w:t>
      </w:r>
      <w:r>
        <w:rPr>
          <w:rFonts w:ascii="Arial" w:hAnsi="Arial" w:cs="Arial"/>
        </w:rPr>
        <w:t>.</w:t>
      </w:r>
    </w:p>
    <w:p>
      <w:pPr>
        <w:jc w:val="both"/>
        <w:rPr>
          <w:rFonts w:ascii="Arial" w:hAnsi="Arial" w:cs="Arial"/>
        </w:rPr>
      </w:pPr>
      <w:r>
        <w:rPr>
          <w:rFonts w:ascii="Arial" w:hAnsi="Arial" w:cs="Arial"/>
          <w:b/>
        </w:rPr>
        <w:t xml:space="preserve">Priemerná denná intenzita vozidiel </w:t>
      </w:r>
      <w:r>
        <w:rPr>
          <w:rFonts w:ascii="Arial" w:hAnsi="Arial" w:cs="Arial"/>
        </w:rPr>
        <w:t>na cestách II. triedy na celom území SR sa v roku 2010 pohybovala na úrovni 3 557 vozidiel za deň, na cestách III. triedy 1 896.</w:t>
      </w:r>
      <w:r>
        <w:rPr>
          <w:rFonts w:ascii="Arial" w:hAnsi="Arial" w:cs="Arial"/>
          <w:b/>
        </w:rPr>
        <w:t xml:space="preserve"> V porovnaní s výsledkami sčítania dopravy v roku 2005 </w:t>
      </w:r>
      <w:r>
        <w:rPr>
          <w:rFonts w:ascii="Arial" w:hAnsi="Arial" w:cs="Arial"/>
        </w:rPr>
        <w:t>išlo o priemerný</w:t>
      </w:r>
      <w:r>
        <w:rPr>
          <w:rFonts w:ascii="Arial" w:hAnsi="Arial" w:cs="Arial"/>
          <w:b/>
        </w:rPr>
        <w:t xml:space="preserve"> nárast </w:t>
      </w:r>
      <w:r>
        <w:rPr>
          <w:rFonts w:ascii="Arial" w:hAnsi="Arial" w:cs="Arial"/>
        </w:rPr>
        <w:t xml:space="preserve">intenzity na cestách </w:t>
      </w:r>
      <w:r>
        <w:rPr>
          <w:rFonts w:ascii="Arial" w:hAnsi="Arial" w:cs="Arial"/>
          <w:b/>
        </w:rPr>
        <w:t>II. triedy</w:t>
      </w:r>
      <w:r>
        <w:rPr>
          <w:rFonts w:ascii="Arial" w:hAnsi="Arial" w:cs="Arial"/>
        </w:rPr>
        <w:t xml:space="preserve"> </w:t>
      </w:r>
      <w:r>
        <w:rPr>
          <w:rFonts w:ascii="Arial" w:hAnsi="Arial" w:cs="Arial"/>
          <w:b/>
        </w:rPr>
        <w:t>o 17%</w:t>
      </w:r>
      <w:r>
        <w:rPr>
          <w:rFonts w:ascii="Arial" w:hAnsi="Arial" w:cs="Arial"/>
        </w:rPr>
        <w:t>, v prípade ciest</w:t>
      </w:r>
      <w:r>
        <w:rPr>
          <w:rFonts w:ascii="Arial" w:hAnsi="Arial" w:cs="Arial"/>
          <w:b/>
        </w:rPr>
        <w:t xml:space="preserve"> III. triedy </w:t>
      </w:r>
      <w:r>
        <w:rPr>
          <w:rFonts w:ascii="Arial" w:hAnsi="Arial" w:cs="Arial"/>
        </w:rPr>
        <w:t xml:space="preserve">až </w:t>
      </w:r>
      <w:r>
        <w:rPr>
          <w:rFonts w:ascii="Arial" w:hAnsi="Arial" w:cs="Arial"/>
          <w:b/>
        </w:rPr>
        <w:t>o 18%</w:t>
      </w:r>
      <w:r>
        <w:rPr>
          <w:rFonts w:ascii="Arial" w:hAnsi="Arial" w:cs="Arial"/>
        </w:rPr>
        <w:t>.</w:t>
      </w:r>
    </w:p>
    <w:p>
      <w:pPr>
        <w:jc w:val="both"/>
        <w:rPr>
          <w:rFonts w:ascii="Arial" w:hAnsi="Arial" w:cs="Arial"/>
          <w:iCs/>
        </w:rPr>
      </w:pPr>
      <w:r>
        <w:rPr>
          <w:rStyle w:val="Siln"/>
          <w:rFonts w:ascii="Arial" w:hAnsi="Arial" w:cs="Arial"/>
          <w:b w:val="0"/>
          <w:iCs/>
        </w:rPr>
        <w:t>Významný prvok z hľadiska dostupnosti a zjazdnosti ciest predstavujú</w:t>
      </w:r>
      <w:r>
        <w:rPr>
          <w:rStyle w:val="Siln"/>
          <w:rFonts w:ascii="Arial" w:hAnsi="Arial" w:cs="Arial"/>
          <w:iCs/>
        </w:rPr>
        <w:t xml:space="preserve"> mostné objekty, </w:t>
      </w:r>
      <w:r>
        <w:rPr>
          <w:rStyle w:val="Siln"/>
          <w:rFonts w:ascii="Arial" w:hAnsi="Arial" w:cs="Arial"/>
          <w:b w:val="0"/>
          <w:iCs/>
        </w:rPr>
        <w:t>z ktorých mnohé sa vyznačujú zlým stavebným stavom a prekročenou dobou životnosti.</w:t>
      </w:r>
      <w:r>
        <w:rPr>
          <w:rStyle w:val="Siln"/>
          <w:rFonts w:ascii="Arial" w:hAnsi="Arial" w:cs="Arial"/>
          <w:iCs/>
        </w:rPr>
        <w:t xml:space="preserve"> </w:t>
      </w:r>
      <w:r>
        <w:rPr>
          <w:rStyle w:val="Siln"/>
          <w:rFonts w:ascii="Arial" w:hAnsi="Arial" w:cs="Arial"/>
          <w:b w:val="0"/>
          <w:iCs/>
        </w:rPr>
        <w:t xml:space="preserve">Z celkového počtu </w:t>
      </w:r>
      <w:r>
        <w:rPr>
          <w:rStyle w:val="Siln"/>
          <w:rFonts w:ascii="Arial" w:hAnsi="Arial" w:cs="Arial"/>
          <w:b w:val="0"/>
          <w:iCs/>
        </w:rPr>
        <w:lastRenderedPageBreak/>
        <w:t>mostných objektov v správe VÚC sa 47,5% vyznačuje dobrým stavebným stavom a</w:t>
      </w:r>
      <w:r>
        <w:rPr>
          <w:rStyle w:val="Siln"/>
          <w:rFonts w:ascii="Arial" w:hAnsi="Arial" w:cs="Arial"/>
          <w:iCs/>
        </w:rPr>
        <w:t xml:space="preserve"> takmer 9% mostov zlým až havarijným stavom. </w:t>
      </w:r>
      <w:r>
        <w:rPr>
          <w:rStyle w:val="Siln"/>
          <w:rFonts w:ascii="Arial" w:hAnsi="Arial" w:cs="Arial"/>
          <w:b w:val="0"/>
          <w:iCs/>
        </w:rPr>
        <w:t>V rámci regiónov je</w:t>
      </w:r>
      <w:r>
        <w:rPr>
          <w:rStyle w:val="Siln"/>
          <w:rFonts w:ascii="Arial" w:hAnsi="Arial" w:cs="Arial"/>
          <w:iCs/>
        </w:rPr>
        <w:t xml:space="preserve"> najhoršia situácia v Žilinskom kraji, </w:t>
      </w:r>
      <w:r>
        <w:rPr>
          <w:rStyle w:val="Siln"/>
          <w:rFonts w:ascii="Arial" w:hAnsi="Arial" w:cs="Arial"/>
          <w:b w:val="0"/>
          <w:iCs/>
        </w:rPr>
        <w:t xml:space="preserve">kde 35,1% mostných objektov spadá do kategórie stavebného stavu zlý až havarijný, na území </w:t>
      </w:r>
      <w:r>
        <w:rPr>
          <w:rStyle w:val="Siln"/>
          <w:rFonts w:ascii="Arial" w:hAnsi="Arial" w:cs="Arial"/>
          <w:iCs/>
        </w:rPr>
        <w:t xml:space="preserve">Banskobystrického kraja </w:t>
      </w:r>
      <w:r>
        <w:rPr>
          <w:rStyle w:val="Siln"/>
          <w:rFonts w:ascii="Arial" w:hAnsi="Arial" w:cs="Arial"/>
          <w:b w:val="0"/>
          <w:iCs/>
        </w:rPr>
        <w:t>je v uvedenej kategórii 14,8% mostných objektov</w:t>
      </w:r>
      <w:r>
        <w:rPr>
          <w:rStyle w:val="Odkaznapoznmkupodiarou"/>
          <w:rFonts w:ascii="Arial" w:hAnsi="Arial" w:cs="Arial"/>
          <w:b/>
          <w:bCs/>
          <w:iCs/>
        </w:rPr>
        <w:footnoteReference w:id="3"/>
      </w:r>
      <w:r>
        <w:rPr>
          <w:rStyle w:val="Siln"/>
          <w:rFonts w:ascii="Arial" w:hAnsi="Arial" w:cs="Arial"/>
          <w:b w:val="0"/>
          <w:iCs/>
        </w:rPr>
        <w:t>.</w:t>
      </w:r>
    </w:p>
    <w:p>
      <w:pPr>
        <w:jc w:val="both"/>
        <w:rPr>
          <w:rFonts w:ascii="Arial" w:hAnsi="Arial" w:cs="Arial"/>
          <w:i/>
          <w:iCs/>
        </w:rPr>
      </w:pPr>
      <w:r>
        <w:rPr>
          <w:rFonts w:ascii="Arial" w:hAnsi="Arial" w:cs="Arial"/>
          <w:iCs/>
        </w:rPr>
        <w:t xml:space="preserve">Kvalita ciest a cestnej infraštruktúry sa výrazným spôsobom podieľa na bezpečnosti a plynulosti cestnej premávky a tým aj na znižovaní dopravnej nehodovosti. Počet nehôd na cestách I. triedy a cestách II. a III. triedy dosahuje porovnateľné hodnoty (4 694:4 303, za rok 2011). Zvyšovanie bezpečnosti cestnej premávky je jedným zo základných cieľov EÚ v oblasti dopravy: </w:t>
      </w:r>
      <w:r>
        <w:rPr>
          <w:rFonts w:ascii="Arial" w:hAnsi="Arial" w:cs="Arial"/>
          <w:i/>
          <w:iCs/>
        </w:rPr>
        <w:t>„Znížiť do roku 2050 počet smrteľných nehôd v cestnej doprave takmer na nulu.“</w:t>
      </w:r>
      <w:r>
        <w:rPr>
          <w:rStyle w:val="Odkaznapoznmkupodiarou"/>
          <w:rFonts w:ascii="Arial" w:hAnsi="Arial" w:cs="Arial"/>
          <w:i/>
          <w:iCs/>
        </w:rPr>
        <w:footnoteReference w:id="4"/>
      </w:r>
      <w:r>
        <w:rPr>
          <w:rFonts w:ascii="Arial" w:hAnsi="Arial" w:cs="Arial"/>
          <w:i/>
          <w:iCs/>
        </w:rPr>
        <w:t xml:space="preserve"> </w:t>
      </w:r>
    </w:p>
    <w:p>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pPr>
        <w:jc w:val="both"/>
        <w:rPr>
          <w:rFonts w:ascii="Arial" w:hAnsi="Arial" w:cs="Arial"/>
          <w:b/>
        </w:rPr>
      </w:pPr>
      <w:r>
        <w:rPr>
          <w:rFonts w:ascii="Arial" w:hAnsi="Arial" w:cs="Arial"/>
          <w:b/>
        </w:rPr>
        <w:t>Verejná osobná doprava</w:t>
      </w:r>
    </w:p>
    <w:p>
      <w:pPr>
        <w:jc w:val="both"/>
        <w:rPr>
          <w:rFonts w:ascii="Arial" w:hAnsi="Arial" w:cs="Arial"/>
        </w:rPr>
      </w:pPr>
      <w:r>
        <w:rPr>
          <w:rFonts w:ascii="Arial" w:hAnsi="Arial" w:cs="Arial"/>
          <w:b/>
        </w:rPr>
        <w:t xml:space="preserve">Podiel verejnej osobnej dopravy (ďalej len „VOD“) na prepravnom množstve poklesol </w:t>
      </w:r>
      <w:r>
        <w:rPr>
          <w:rFonts w:ascii="Arial" w:hAnsi="Arial" w:cs="Arial"/>
          <w:b/>
        </w:rPr>
        <w:br/>
        <w:t>z 50% v roku 1995 na 30% v roku 2008 a podiel individuálnej automobilovej dopravy (ďalej len „IAD“) sa tak v tomto období zvýšil na 70%.</w:t>
      </w:r>
      <w:r>
        <w:rPr>
          <w:rFonts w:ascii="Arial" w:hAnsi="Arial" w:cs="Arial"/>
        </w:rPr>
        <w:t xml:space="preserve"> V prímestskej a regionálnej autobusovej doprave sa vykonali v poslednej dekáde viaceré opatrenia smerujúce k zmene tohto nepriaznivého stavu (obnova vozidlového parku, budovanie infraštruktúry apod.).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 v rámci staníc chýbajú parkoviská pre osobné vozidlá a taxíky a odstavné plochy pre bicykle a motocykle a úschovne batožiny. </w:t>
      </w:r>
      <w:r>
        <w:rPr>
          <w:rFonts w:ascii="Arial" w:hAnsi="Arial" w:cs="Arial"/>
          <w:b/>
        </w:rPr>
        <w:t xml:space="preserve">Dlhodobo v regionálnej VOD dominuje autobusová doprava, avšak počet cestujúcich autobusmi trvale klesá, zatiaľ čo počet cestujúcich v železničnej doprave zostáva približne rovnaký, a to napriek </w:t>
      </w:r>
      <w:r>
        <w:rPr>
          <w:rFonts w:ascii="Arial" w:hAnsi="Arial" w:cs="Arial"/>
        </w:rPr>
        <w:t>rušeniu viacerých málo využívaných vlakových spojov, v prevažnej miere v regionálnej doprave.</w:t>
      </w:r>
    </w:p>
    <w:p>
      <w:pPr>
        <w:jc w:val="both"/>
        <w:rPr>
          <w:rFonts w:ascii="Arial" w:hAnsi="Arial" w:cs="Arial"/>
        </w:rPr>
      </w:pPr>
      <w:r>
        <w:rPr>
          <w:rFonts w:ascii="Arial" w:hAnsi="Arial" w:cs="Arial"/>
          <w:b/>
        </w:rPr>
        <w:t>Mestská hromadná doprava</w:t>
      </w:r>
      <w:r>
        <w:rPr>
          <w:rFonts w:ascii="Arial" w:hAnsi="Arial" w:cs="Arial"/>
        </w:rPr>
        <w:t xml:space="preserve"> (ďalej len „MHD“) v roku 2011 prepravila 417 mil. cestujúcich. Najväčším problémom príťažlivosti MHD je </w:t>
      </w:r>
      <w:r>
        <w:rPr>
          <w:rFonts w:ascii="Arial" w:hAnsi="Arial" w:cs="Arial"/>
          <w:b/>
        </w:rPr>
        <w:t>zlý technický stav dopravných prostriedkov MHD a dopravnej infraštruktúry.</w:t>
      </w:r>
      <w:r>
        <w:rPr>
          <w:rFonts w:ascii="Arial" w:hAnsi="Arial" w:cs="Arial"/>
        </w:rPr>
        <w:t xml:space="preserve"> Mestá nemajú definované dostatočné štandardy kvality a dopravnej obslužnosti vrátane účinnej kontroly, </w:t>
      </w:r>
      <w:r>
        <w:rPr>
          <w:rFonts w:ascii="Arial" w:hAnsi="Arial" w:cs="Arial"/>
          <w:b/>
        </w:rPr>
        <w:t xml:space="preserve">chýbajú samostatné vyhradené pruhy pre MHD, inteligentné dopravné systémy – </w:t>
      </w:r>
      <w:proofErr w:type="spellStart"/>
      <w:r>
        <w:rPr>
          <w:rFonts w:ascii="Arial" w:hAnsi="Arial" w:cs="Arial"/>
          <w:b/>
        </w:rPr>
        <w:t>prioritizácia</w:t>
      </w:r>
      <w:proofErr w:type="spellEnd"/>
      <w:r>
        <w:rPr>
          <w:rFonts w:ascii="Arial" w:hAnsi="Arial" w:cs="Arial"/>
          <w:b/>
        </w:rPr>
        <w:t xml:space="preserve"> MHD napr. na vstupe do križovatky.</w:t>
      </w:r>
    </w:p>
    <w:p>
      <w:pPr>
        <w:jc w:val="both"/>
        <w:rPr>
          <w:rFonts w:ascii="Arial" w:hAnsi="Arial" w:cs="Arial"/>
          <w:b/>
        </w:rPr>
      </w:pPr>
      <w:r>
        <w:rPr>
          <w:rFonts w:ascii="Arial" w:hAnsi="Arial" w:cs="Arial"/>
        </w:rPr>
        <w:t xml:space="preserve">Súčasné mestské aglomerácie zápasia s problémami narastajúceho podielu IAD a narastajúcich emisií znečisťujúcich látok. </w:t>
      </w:r>
      <w:r>
        <w:rPr>
          <w:rFonts w:ascii="Arial" w:hAnsi="Arial" w:cs="Arial"/>
          <w:b/>
        </w:rPr>
        <w:t>Mobilné zdroje znečisťovania predstavujú nezanedbateľný podiel na celkových emisiách bilancovaných znečisťujúcich látok, z toho až 45%-ný podiel patrí cestnej doprave.</w:t>
      </w:r>
      <w:r>
        <w:rPr>
          <w:rFonts w:ascii="Arial" w:hAnsi="Arial" w:cs="Arial"/>
        </w:rPr>
        <w:t xml:space="preserve"> Na celkových emisiách tuhých znečisťujúcich látok sa doprava v roku 2010 podieľala 8%, na emisiách SO</w:t>
      </w:r>
      <w:r>
        <w:rPr>
          <w:rFonts w:ascii="Arial" w:hAnsi="Arial" w:cs="Arial"/>
          <w:vertAlign w:val="subscript"/>
        </w:rPr>
        <w:t>2</w:t>
      </w:r>
      <w:r>
        <w:rPr>
          <w:rFonts w:ascii="Arial" w:hAnsi="Arial" w:cs="Arial"/>
        </w:rPr>
        <w:t xml:space="preserve"> 0,40%, na emisiách ťažkých kovov cca 3%. </w:t>
      </w:r>
      <w:r>
        <w:rPr>
          <w:rFonts w:ascii="Arial" w:hAnsi="Arial" w:cs="Arial"/>
          <w:b/>
        </w:rPr>
        <w:t>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sa pohybuje na úrovni 8,2 roka</w:t>
      </w:r>
      <w:r>
        <w:rPr>
          <w:rFonts w:ascii="Arial" w:hAnsi="Arial" w:cs="Arial"/>
        </w:rPr>
        <w:t xml:space="preserve">, pričom najhoršia je situácia v Nitrianskom kraji, kde je vek vozidlového parku na úrovni 12,8 roka, najlepšia v Žilinskom a Trenčianskom kraji. Obdobne nevyhovujúce parametre dosahuje aj </w:t>
      </w:r>
      <w:r>
        <w:rPr>
          <w:rFonts w:ascii="Arial" w:hAnsi="Arial" w:cs="Arial"/>
          <w:b/>
        </w:rPr>
        <w:t xml:space="preserve">vozidlový park mestských </w:t>
      </w:r>
      <w:r>
        <w:rPr>
          <w:rFonts w:ascii="Arial" w:hAnsi="Arial" w:cs="Arial"/>
          <w:b/>
        </w:rPr>
        <w:lastRenderedPageBreak/>
        <w:t>prepravcov, keď jeho priemerný vek je 8,5 roka</w:t>
      </w:r>
      <w:r>
        <w:rPr>
          <w:rStyle w:val="Odkaznapoznmkupodiarou"/>
          <w:rFonts w:ascii="Arial" w:hAnsi="Arial" w:cs="Arial"/>
        </w:rPr>
        <w:footnoteReference w:id="5"/>
      </w:r>
      <w:r>
        <w:rPr>
          <w:rFonts w:ascii="Arial" w:hAnsi="Arial" w:cs="Arial"/>
        </w:rPr>
        <w:t>,</w:t>
      </w:r>
      <w:r>
        <w:rPr>
          <w:rFonts w:ascii="Arial" w:hAnsi="Arial" w:cs="Arial"/>
          <w:b/>
        </w:rPr>
        <w:t xml:space="preserve"> </w:t>
      </w:r>
      <w:r>
        <w:rPr>
          <w:rFonts w:ascii="Arial" w:hAnsi="Arial" w:cs="Arial"/>
        </w:rPr>
        <w:t>najnižší je v Banskej Bystrici, najvyšší v Košiciach a Prešove.</w:t>
      </w:r>
      <w:r>
        <w:rPr>
          <w:rFonts w:ascii="Arial" w:hAnsi="Arial" w:cs="Arial"/>
          <w:b/>
        </w:rPr>
        <w:t xml:space="preserve"> Priemerný vek autobusov mestskej dopravy v krajinách EÚ dosahoval v roku 2008 7,6 roka, pričom vek autobusov v slovenských mestách bol druhý najstarší (13 rokov)</w:t>
      </w:r>
      <w:r>
        <w:rPr>
          <w:rStyle w:val="Odkaznapoznmkupodiarou"/>
          <w:rFonts w:ascii="Arial" w:hAnsi="Arial" w:cs="Arial"/>
        </w:rPr>
        <w:footnoteReference w:id="6"/>
      </w:r>
      <w:r>
        <w:rPr>
          <w:rFonts w:ascii="Arial" w:hAnsi="Arial" w:cs="Arial"/>
        </w:rPr>
        <w:t>.</w:t>
      </w:r>
      <w:r>
        <w:rPr>
          <w:rFonts w:ascii="Arial" w:hAnsi="Arial" w:cs="Arial"/>
          <w:b/>
        </w:rPr>
        <w:t xml:space="preserve"> </w:t>
      </w:r>
    </w:p>
    <w:p>
      <w:pPr>
        <w:jc w:val="both"/>
        <w:rPr>
          <w:rFonts w:ascii="Arial" w:hAnsi="Arial" w:cs="Arial"/>
          <w:b/>
        </w:rPr>
      </w:pPr>
      <w:r>
        <w:rPr>
          <w:rFonts w:ascii="Arial" w:hAnsi="Arial" w:cs="Arial"/>
          <w:b/>
        </w:rPr>
        <w:t>Opatrenia na riešenie v rámci IROP:</w:t>
      </w:r>
    </w:p>
    <w:p>
      <w:pPr>
        <w:pStyle w:val="Odsekzoznamu"/>
        <w:numPr>
          <w:ilvl w:val="0"/>
          <w:numId w:val="8"/>
        </w:numPr>
        <w:jc w:val="both"/>
        <w:rPr>
          <w:rFonts w:ascii="Arial" w:hAnsi="Arial" w:cs="Arial"/>
        </w:rPr>
      </w:pPr>
      <w:r>
        <w:rPr>
          <w:rFonts w:ascii="Arial" w:hAnsi="Arial" w:cs="Arial"/>
        </w:rPr>
        <w:t>zvyšovanie atraktivity a efektívnosti VOD;</w:t>
      </w:r>
    </w:p>
    <w:p>
      <w:pPr>
        <w:pStyle w:val="Odsekzoznamu"/>
        <w:numPr>
          <w:ilvl w:val="0"/>
          <w:numId w:val="8"/>
        </w:numPr>
        <w:jc w:val="both"/>
        <w:rPr>
          <w:rFonts w:ascii="Arial" w:hAnsi="Arial" w:cs="Arial"/>
        </w:rPr>
      </w:pPr>
      <w:r>
        <w:rPr>
          <w:rFonts w:ascii="Arial" w:hAnsi="Arial" w:cs="Arial"/>
        </w:rPr>
        <w:t>rozvoj integrovaných dopravných systémov;</w:t>
      </w:r>
    </w:p>
    <w:p>
      <w:pPr>
        <w:pStyle w:val="Odsekzoznamu"/>
        <w:numPr>
          <w:ilvl w:val="0"/>
          <w:numId w:val="8"/>
        </w:numPr>
        <w:jc w:val="both"/>
        <w:rPr>
          <w:rFonts w:ascii="Arial" w:hAnsi="Arial" w:cs="Arial"/>
        </w:rPr>
      </w:pPr>
      <w:r>
        <w:rPr>
          <w:rFonts w:ascii="Arial" w:hAnsi="Arial" w:cs="Arial"/>
        </w:rPr>
        <w:t xml:space="preserve">podpora </w:t>
      </w:r>
      <w:proofErr w:type="spellStart"/>
      <w:r>
        <w:rPr>
          <w:rFonts w:ascii="Arial" w:hAnsi="Arial" w:cs="Arial"/>
        </w:rPr>
        <w:t>bezemisnej</w:t>
      </w:r>
      <w:proofErr w:type="spellEnd"/>
      <w:r>
        <w:rPr>
          <w:rFonts w:ascii="Arial" w:hAnsi="Arial" w:cs="Arial"/>
        </w:rPr>
        <w:t xml:space="preserve"> a </w:t>
      </w:r>
      <w:proofErr w:type="spellStart"/>
      <w:r>
        <w:rPr>
          <w:rFonts w:ascii="Arial" w:hAnsi="Arial" w:cs="Arial"/>
        </w:rPr>
        <w:t>nízkoemisnej</w:t>
      </w:r>
      <w:proofErr w:type="spellEnd"/>
      <w:r>
        <w:rPr>
          <w:rFonts w:ascii="Arial" w:hAnsi="Arial" w:cs="Arial"/>
        </w:rPr>
        <w:t xml:space="preserve"> mestskej a prímestskej verejnej dopravy.</w:t>
      </w:r>
    </w:p>
    <w:p>
      <w:pPr>
        <w:jc w:val="both"/>
        <w:rPr>
          <w:rFonts w:ascii="Arial" w:hAnsi="Arial" w:cs="Arial"/>
        </w:rPr>
      </w:pPr>
      <w:r>
        <w:rPr>
          <w:rFonts w:ascii="Arial" w:hAnsi="Arial" w:cs="Arial"/>
        </w:rPr>
        <w:t xml:space="preserve">Aktivity v rámci rozvoja ekologicky priaznivých a </w:t>
      </w:r>
      <w:proofErr w:type="spellStart"/>
      <w:r>
        <w:rPr>
          <w:rFonts w:ascii="Arial" w:hAnsi="Arial" w:cs="Arial"/>
        </w:rPr>
        <w:t>nízkouhlíkových</w:t>
      </w:r>
      <w:proofErr w:type="spellEnd"/>
      <w:r>
        <w:rPr>
          <w:rFonts w:ascii="Arial" w:hAnsi="Arial" w:cs="Arial"/>
        </w:rPr>
        <w:t xml:space="preserve"> dopravných systémov a podpory udržateľnej mestskej mobility prispievajú k napĺňaniu jedného z hlavných cieľov stratégie Európa 2020, a to </w:t>
      </w:r>
      <w:r>
        <w:rPr>
          <w:rFonts w:ascii="Arial" w:hAnsi="Arial" w:cs="Arial"/>
          <w:i/>
        </w:rPr>
        <w:t>„znížiť emisie skleníkových plynov o 20% (resp. až o 30% pokiaľ k tomu budú vytvorené podmienky) v porovnaní s rokom 1990“.</w:t>
      </w:r>
    </w:p>
    <w:p>
      <w:pPr>
        <w:jc w:val="both"/>
        <w:rPr>
          <w:rFonts w:ascii="Arial" w:hAnsi="Arial" w:cs="Arial"/>
          <w:b/>
        </w:rPr>
      </w:pPr>
      <w:r>
        <w:rPr>
          <w:rFonts w:ascii="Arial" w:hAnsi="Arial" w:cs="Arial"/>
          <w:b/>
        </w:rPr>
        <w:t xml:space="preserve">Nemotorová doprava </w:t>
      </w:r>
    </w:p>
    <w:p>
      <w:pPr>
        <w:jc w:val="both"/>
        <w:rPr>
          <w:rFonts w:ascii="Arial" w:hAnsi="Arial" w:cs="Arial"/>
        </w:rPr>
      </w:pPr>
      <w:r>
        <w:rPr>
          <w:rFonts w:ascii="Arial" w:hAnsi="Arial" w:cs="Arial"/>
        </w:rPr>
        <w:t xml:space="preserve">Z hľadiska podpory ekologicky priaznivých a </w:t>
      </w:r>
      <w:proofErr w:type="spellStart"/>
      <w:r>
        <w:rPr>
          <w:rFonts w:ascii="Arial" w:hAnsi="Arial" w:cs="Arial"/>
        </w:rPr>
        <w:t>nízkouhlíkových</w:t>
      </w:r>
      <w:proofErr w:type="spellEnd"/>
      <w:r>
        <w:rPr>
          <w:rFonts w:ascii="Arial" w:hAnsi="Arial" w:cs="Arial"/>
        </w:rPr>
        <w:t xml:space="preserve"> dopravných systémov je nevyhnutné, aby sa cyklistická doprava stala rovnocenným druhom dopravy a bola integrovaná s ostatnými druhmi dopravy. </w:t>
      </w:r>
      <w:r>
        <w:rPr>
          <w:rFonts w:ascii="Arial" w:hAnsi="Arial" w:cs="Arial"/>
          <w:i/>
        </w:rPr>
        <w:t>Dopravná politika SR do roku 2015</w:t>
      </w:r>
      <w:r>
        <w:rPr>
          <w:rFonts w:ascii="Arial" w:hAnsi="Arial" w:cs="Arial"/>
        </w:rPr>
        <w:t xml:space="preserve"> obsahuje 2 špecifické ciele a 6 priorít, ktoré sa dotýkajú rozvoja a podpory </w:t>
      </w:r>
      <w:proofErr w:type="spellStart"/>
      <w:r>
        <w:rPr>
          <w:rFonts w:ascii="Arial" w:hAnsi="Arial" w:cs="Arial"/>
        </w:rPr>
        <w:t>cyklodopravy</w:t>
      </w:r>
      <w:proofErr w:type="spellEnd"/>
      <w:r>
        <w:rPr>
          <w:rFonts w:ascii="Arial" w:hAnsi="Arial" w:cs="Arial"/>
        </w:rPr>
        <w:t xml:space="preserve">, predovšetkým zabezpečenia modernizácie a rozvoja infraštruktúry pre </w:t>
      </w:r>
      <w:proofErr w:type="spellStart"/>
      <w:r>
        <w:rPr>
          <w:rFonts w:ascii="Arial" w:hAnsi="Arial" w:cs="Arial"/>
        </w:rPr>
        <w:t>cyklodopravu</w:t>
      </w:r>
      <w:proofErr w:type="spellEnd"/>
      <w:r>
        <w:rPr>
          <w:rFonts w:ascii="Arial" w:hAnsi="Arial" w:cs="Arial"/>
        </w:rPr>
        <w:t xml:space="preserve"> a znižovaniu negatívnych dopadov dopravy na životné prostredie. Podpora financovania </w:t>
      </w:r>
      <w:proofErr w:type="spellStart"/>
      <w:r>
        <w:rPr>
          <w:rFonts w:ascii="Arial" w:hAnsi="Arial" w:cs="Arial"/>
        </w:rPr>
        <w:t>cyklodopravy</w:t>
      </w:r>
      <w:proofErr w:type="spellEnd"/>
      <w:r>
        <w:rPr>
          <w:rFonts w:ascii="Arial" w:hAnsi="Arial" w:cs="Arial"/>
        </w:rPr>
        <w:t xml:space="preserve"> v SR z verejných zdrojov je obsiahnutá vo vládnom materiáli „</w:t>
      </w:r>
      <w:r>
        <w:rPr>
          <w:rFonts w:ascii="Arial" w:hAnsi="Arial" w:cs="Arial"/>
          <w:i/>
        </w:rPr>
        <w:t>Trvalý finančný mechanizmus na implementáciu Národnej stratégie rozvoja cyklistickej dopravy a cykloturistiky v Slovenskej republike</w:t>
      </w:r>
      <w:r>
        <w:rPr>
          <w:rFonts w:ascii="Arial" w:hAnsi="Arial" w:cs="Arial"/>
        </w:rPr>
        <w:t>“.</w:t>
      </w:r>
    </w:p>
    <w:p>
      <w:pPr>
        <w:jc w:val="both"/>
        <w:rPr>
          <w:rFonts w:ascii="Arial" w:hAnsi="Arial" w:cs="Arial"/>
        </w:rPr>
      </w:pPr>
      <w:r>
        <w:rPr>
          <w:rFonts w:ascii="Arial" w:hAnsi="Arial" w:cs="Arial"/>
          <w:b/>
        </w:rPr>
        <w:t xml:space="preserve">Rozvoj mestskej mobility formou podpory </w:t>
      </w:r>
      <w:proofErr w:type="spellStart"/>
      <w:r>
        <w:rPr>
          <w:rFonts w:ascii="Arial" w:hAnsi="Arial" w:cs="Arial"/>
          <w:b/>
        </w:rPr>
        <w:t>cyklodopravy</w:t>
      </w:r>
      <w:proofErr w:type="spellEnd"/>
      <w:r>
        <w:rPr>
          <w:rFonts w:ascii="Arial" w:hAnsi="Arial" w:cs="Arial"/>
          <w:b/>
        </w:rPr>
        <w:t xml:space="preserve"> prináša pozitívny efekt nielen pre cyklistov, ale i pre motoristov a samotné samosprávy. </w:t>
      </w:r>
      <w:r>
        <w:rPr>
          <w:rFonts w:ascii="Arial" w:hAnsi="Arial" w:cs="Arial"/>
        </w:rPr>
        <w:t>Súčasný trend v SR poukazuje na zvyšujúci sa záujem verejnosti o </w:t>
      </w:r>
      <w:proofErr w:type="spellStart"/>
      <w:r>
        <w:rPr>
          <w:rFonts w:ascii="Arial" w:hAnsi="Arial" w:cs="Arial"/>
        </w:rPr>
        <w:t>cyklodopravu</w:t>
      </w:r>
      <w:proofErr w:type="spellEnd"/>
      <w:r>
        <w:rPr>
          <w:rFonts w:ascii="Arial" w:hAnsi="Arial" w:cs="Arial"/>
        </w:rPr>
        <w:t xml:space="preserve"> v súvislosti s postupne vzrastajúcou preferenciou VOD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w:t>
      </w:r>
      <w:proofErr w:type="spellStart"/>
      <w:r>
        <w:rPr>
          <w:rFonts w:ascii="Arial" w:hAnsi="Arial" w:cs="Arial"/>
        </w:rPr>
        <w:t>cyklokomunikácií</w:t>
      </w:r>
      <w:proofErr w:type="spellEnd"/>
      <w:r>
        <w:rPr>
          <w:rFonts w:ascii="Arial" w:hAnsi="Arial" w:cs="Arial"/>
        </w:rPr>
        <w:t xml:space="preserve"> v SR predstavuje necelých 150 km. Až tri pätiny tvoria samostatné komunikácie – buď výhradne pre cyklistov (15%) alebo častejšie pre chodcov i cyklistov, a to s oddelenou prevádzkou (23%) i zmiešanou prevádzkou (22%). Tretinu súhrnnej dĺžky tvoria chodníky vybudované v pridruženom dopravnom priestore, z toho na takmer 16% je pohyb cyklistov oddelený, na vyše 18% je zmiešaný s pohybom chodcov. Iba 6% dĺžky </w:t>
      </w:r>
      <w:proofErr w:type="spellStart"/>
      <w:r>
        <w:rPr>
          <w:rFonts w:ascii="Arial" w:hAnsi="Arial" w:cs="Arial"/>
        </w:rPr>
        <w:t>cyklokomunikácií</w:t>
      </w:r>
      <w:proofErr w:type="spellEnd"/>
      <w:r>
        <w:rPr>
          <w:rFonts w:ascii="Arial" w:hAnsi="Arial" w:cs="Arial"/>
        </w:rPr>
        <w:t xml:space="preserve"> v mestách je v hlavnom dopravnom priestore (cyklistický pruh, pás, koridor). </w:t>
      </w:r>
      <w:r>
        <w:rPr>
          <w:rFonts w:ascii="Arial" w:hAnsi="Arial" w:cs="Arial"/>
          <w:b/>
        </w:rPr>
        <w:t>Z autobusových staníc, železničných staníc a zastávok v sledovaných mestách SR je 16% vybavených parkoviskami alebo stojanmi pre bicykle.</w:t>
      </w:r>
      <w:r>
        <w:rPr>
          <w:rStyle w:val="Odkaznapoznmkupodiarou"/>
          <w:rFonts w:ascii="Arial" w:hAnsi="Arial" w:cs="Arial"/>
        </w:rPr>
        <w:footnoteReference w:id="7"/>
      </w:r>
      <w:r>
        <w:rPr>
          <w:rFonts w:ascii="Arial" w:hAnsi="Arial" w:cs="Arial"/>
        </w:rPr>
        <w:t xml:space="preserve"> Podpora IROP bude v rámci posilnenia cyklistickej dopravy zameraná na rozvoj </w:t>
      </w:r>
      <w:proofErr w:type="spellStart"/>
      <w:r>
        <w:rPr>
          <w:rFonts w:ascii="Arial" w:hAnsi="Arial" w:cs="Arial"/>
        </w:rPr>
        <w:t>cyklokomunikácií</w:t>
      </w:r>
      <w:proofErr w:type="spellEnd"/>
      <w:r>
        <w:rPr>
          <w:rFonts w:ascii="Arial" w:hAnsi="Arial" w:cs="Arial"/>
        </w:rPr>
        <w:t xml:space="preserve">, </w:t>
      </w:r>
      <w:proofErr w:type="spellStart"/>
      <w:r>
        <w:rPr>
          <w:rFonts w:ascii="Arial" w:hAnsi="Arial" w:cs="Arial"/>
        </w:rPr>
        <w:t>cyklopruhov</w:t>
      </w:r>
      <w:proofErr w:type="spellEnd"/>
      <w:r>
        <w:rPr>
          <w:rFonts w:ascii="Arial" w:hAnsi="Arial" w:cs="Arial"/>
        </w:rPr>
        <w:t xml:space="preserve">, </w:t>
      </w:r>
      <w:proofErr w:type="spellStart"/>
      <w:r>
        <w:rPr>
          <w:rFonts w:ascii="Arial" w:hAnsi="Arial" w:cs="Arial"/>
        </w:rPr>
        <w:t>cyklokoridorov</w:t>
      </w:r>
      <w:proofErr w:type="spellEnd"/>
      <w:r>
        <w:rPr>
          <w:rFonts w:ascii="Arial" w:hAnsi="Arial" w:cs="Arial"/>
        </w:rPr>
        <w:t xml:space="preserve"> apod., ako aj na rozšírenie doplnkovej cyklistickej infraštruktúry (</w:t>
      </w:r>
      <w:proofErr w:type="spellStart"/>
      <w:r>
        <w:rPr>
          <w:rFonts w:ascii="Arial" w:hAnsi="Arial" w:cs="Arial"/>
        </w:rPr>
        <w:t>cyklostojany</w:t>
      </w:r>
      <w:proofErr w:type="spellEnd"/>
      <w:r>
        <w:rPr>
          <w:rFonts w:ascii="Arial" w:hAnsi="Arial" w:cs="Arial"/>
        </w:rPr>
        <w:t>, odpočívadlá apod.).</w:t>
      </w:r>
    </w:p>
    <w:p>
      <w:pPr>
        <w:shd w:val="clear" w:color="auto" w:fill="BFBFBF" w:themeFill="background1" w:themeFillShade="BF"/>
        <w:jc w:val="both"/>
        <w:rPr>
          <w:rFonts w:ascii="Arial" w:hAnsi="Arial" w:cs="Arial"/>
          <w:b/>
          <w:i/>
        </w:rPr>
      </w:pPr>
      <w:r>
        <w:rPr>
          <w:rFonts w:ascii="Arial" w:hAnsi="Arial" w:cs="Arial"/>
          <w:b/>
          <w:i/>
        </w:rPr>
        <w:lastRenderedPageBreak/>
        <w:t>Poskytovanie verejných služieb s ohľadom na rozvoj ľudských zdrojov a sociálnu inklúziu</w:t>
      </w:r>
    </w:p>
    <w:p>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pPr>
        <w:jc w:val="both"/>
        <w:rPr>
          <w:rFonts w:ascii="Arial" w:hAnsi="Arial" w:cs="Arial"/>
        </w:rPr>
      </w:pPr>
      <w:r>
        <w:rPr>
          <w:rFonts w:ascii="Arial" w:hAnsi="Arial" w:cs="Arial"/>
          <w:b/>
        </w:rPr>
        <w:t>Ciele stratégie Európa 2020 týkajúce sa sociálnej inklúzie</w:t>
      </w:r>
      <w:r>
        <w:rPr>
          <w:rFonts w:ascii="Arial" w:hAnsi="Arial" w:cs="Arial"/>
        </w:rPr>
        <w:t xml:space="preserve"> nemôžu byť dosiahnuté bez toho, aby nebola riešená situácia obyvateľov EÚ (zraniteľné skupiny, v tomto prípade rodiny, seniorov, deti a mladých dospelých, osoby so zdravotným postihnutím), umiestnených v inštitucionálnych zariadeniach, a tým segregovaných a vylúčených z ostatnej spoločnosti.</w:t>
      </w:r>
      <w:r>
        <w:rPr>
          <w:rStyle w:val="Odkaznapoznmkupodiarou"/>
          <w:rFonts w:ascii="Arial" w:hAnsi="Arial" w:cs="Arial"/>
        </w:rPr>
        <w:footnoteReference w:id="8"/>
      </w:r>
      <w:r>
        <w:rPr>
          <w:rFonts w:ascii="Arial" w:hAnsi="Arial" w:cs="Arial"/>
        </w:rPr>
        <w:t xml:space="preserve"> </w:t>
      </w:r>
    </w:p>
    <w:p>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 xml:space="preserve">prispievajú k napĺňaniu cieľa stratégie Európa 2020 v rámci </w:t>
      </w:r>
      <w:proofErr w:type="spellStart"/>
      <w:r>
        <w:rPr>
          <w:rFonts w:ascii="Arial" w:hAnsi="Arial" w:cs="Arial"/>
          <w:b/>
        </w:rPr>
        <w:t>inkluzívneho</w:t>
      </w:r>
      <w:proofErr w:type="spellEnd"/>
      <w:r>
        <w:rPr>
          <w:rFonts w:ascii="Arial" w:hAnsi="Arial" w:cs="Arial"/>
          <w:b/>
        </w:rPr>
        <w:t xml:space="preserve"> rastu, a to znížiť počet osôb ohrozených chudobou a sociálnym vylúčením</w:t>
      </w:r>
      <w:r>
        <w:rPr>
          <w:rFonts w:ascii="Arial" w:hAnsi="Arial" w:cs="Arial"/>
        </w:rPr>
        <w:t xml:space="preserve"> v EÚ aspoň o 20 miliónov (pre SR najmenej 170 tis. ľudí do roku 2020).</w:t>
      </w:r>
    </w:p>
    <w:p>
      <w:pPr>
        <w:jc w:val="both"/>
        <w:rPr>
          <w:rFonts w:ascii="Arial" w:hAnsi="Arial" w:cs="Arial"/>
          <w:b/>
        </w:rPr>
      </w:pPr>
      <w:r>
        <w:rPr>
          <w:rFonts w:ascii="Arial" w:hAnsi="Arial" w:cs="Arial"/>
          <w:b/>
        </w:rPr>
        <w:t>Sociálne služby</w:t>
      </w:r>
    </w:p>
    <w:p>
      <w:pPr>
        <w:jc w:val="both"/>
        <w:rPr>
          <w:rFonts w:ascii="Arial" w:hAnsi="Arial" w:cs="Arial"/>
          <w:b/>
        </w:rPr>
      </w:pPr>
      <w:r>
        <w:rPr>
          <w:rFonts w:ascii="Arial" w:hAnsi="Arial" w:cs="Arial"/>
        </w:rPr>
        <w:t xml:space="preserve">V SR prevláda poskytovanie tradičných inštitucionálnych sociálnych služieb, ktoré poskytujú prevažne celoročné pobytové služby. K 31. 12. 2012 bolo v SR 5 410 836 obyvateľov, pričom sociálne služby boli poskytnuté </w:t>
      </w:r>
      <w:r>
        <w:rPr>
          <w:rFonts w:ascii="Arial" w:hAnsi="Arial" w:cs="Arial"/>
          <w:b/>
        </w:rPr>
        <w:t xml:space="preserve"> 47 240 obyvateľom (0,88%) v rámci  1 249 zariadení sociálnych služieb </w:t>
      </w:r>
      <w:r>
        <w:rPr>
          <w:rFonts w:ascii="Arial" w:hAnsi="Arial" w:cs="Arial"/>
        </w:rPr>
        <w:t xml:space="preserve">(ďalej len „zariadenie“). Z celkového počtu  1 249 zariadení bolo </w:t>
      </w:r>
      <w:r>
        <w:rPr>
          <w:rFonts w:ascii="Arial" w:hAnsi="Arial" w:cs="Arial"/>
          <w:b/>
        </w:rPr>
        <w:t xml:space="preserve">641 pobytových </w:t>
      </w:r>
      <w:r>
        <w:rPr>
          <w:rFonts w:ascii="Arial" w:hAnsi="Arial" w:cs="Arial"/>
        </w:rPr>
        <w:t>(51%). K 31. 12. 2012 celková kapacita zariadení predstavovala</w:t>
      </w:r>
      <w:r>
        <w:rPr>
          <w:rFonts w:ascii="Arial" w:hAnsi="Arial" w:cs="Arial"/>
          <w:b/>
        </w:rPr>
        <w:t xml:space="preserve">  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pre celoročnú starostlivosť</w:t>
      </w:r>
      <w:r>
        <w:rPr>
          <w:rFonts w:ascii="Arial" w:hAnsi="Arial" w:cs="Arial"/>
        </w:rPr>
        <w:t xml:space="preserve">. Celková </w:t>
      </w:r>
      <w:r>
        <w:rPr>
          <w:rFonts w:ascii="Arial" w:hAnsi="Arial" w:cs="Arial"/>
          <w:b/>
        </w:rPr>
        <w:t>kapacita pobytových zariadení</w:t>
      </w:r>
      <w:r>
        <w:rPr>
          <w:rFonts w:ascii="Arial" w:hAnsi="Arial" w:cs="Arial"/>
        </w:rPr>
        <w:t xml:space="preserve"> predstavovala </w:t>
      </w:r>
      <w:r>
        <w:rPr>
          <w:rFonts w:ascii="Arial" w:hAnsi="Arial" w:cs="Arial"/>
          <w:b/>
        </w:rPr>
        <w:t>40 698</w:t>
      </w:r>
      <w:r>
        <w:rPr>
          <w:rFonts w:ascii="Arial" w:hAnsi="Arial" w:cs="Arial"/>
        </w:rPr>
        <w:t xml:space="preserve"> miest </w:t>
      </w:r>
      <w:r>
        <w:rPr>
          <w:rFonts w:ascii="Arial" w:hAnsi="Arial" w:cs="Arial"/>
          <w:b/>
        </w:rPr>
        <w:t>(86,2% z celkovej kapacity všetkých zariadení)</w:t>
      </w:r>
      <w:r>
        <w:rPr>
          <w:rFonts w:ascii="Arial" w:hAnsi="Arial" w:cs="Arial"/>
        </w:rPr>
        <w:t>.</w:t>
      </w:r>
    </w:p>
    <w:p>
      <w:pPr>
        <w:jc w:val="both"/>
        <w:rPr>
          <w:rFonts w:ascii="Arial" w:hAnsi="Arial" w:cs="Arial"/>
        </w:rPr>
      </w:pPr>
      <w:r>
        <w:rPr>
          <w:rFonts w:ascii="Arial" w:hAnsi="Arial" w:cs="Arial"/>
        </w:rPr>
        <w:t xml:space="preserve">V rámci SR je nedostatok sociálnych služieb poskytovaných na </w:t>
      </w:r>
      <w:proofErr w:type="spellStart"/>
      <w:r>
        <w:rPr>
          <w:rFonts w:ascii="Arial" w:hAnsi="Arial" w:cs="Arial"/>
        </w:rPr>
        <w:t>komunitnej</w:t>
      </w:r>
      <w:proofErr w:type="spellEnd"/>
      <w:r>
        <w:rPr>
          <w:rFonts w:ascii="Arial" w:hAnsi="Arial" w:cs="Arial"/>
        </w:rPr>
        <w:t xml:space="preserve"> úrovni. V roku 2012 sa celoročné pobytové služby v zariadeniach, ktoré môžeme považovať za </w:t>
      </w:r>
      <w:proofErr w:type="spellStart"/>
      <w:r>
        <w:rPr>
          <w:rFonts w:ascii="Arial" w:hAnsi="Arial" w:cs="Arial"/>
        </w:rPr>
        <w:t>komunitné</w:t>
      </w:r>
      <w:proofErr w:type="spellEnd"/>
      <w:r>
        <w:rPr>
          <w:rFonts w:ascii="Arial" w:hAnsi="Arial" w:cs="Arial"/>
        </w:rPr>
        <w:t xml:space="preserve"> (zariadenia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predstavuje </w:t>
      </w:r>
      <w:r>
        <w:rPr>
          <w:rFonts w:ascii="Arial" w:hAnsi="Arial" w:cs="Arial"/>
          <w:b/>
        </w:rPr>
        <w:t>9,84% celoročných pobytových služieb</w:t>
      </w:r>
      <w:r>
        <w:rPr>
          <w:rFonts w:ascii="Arial" w:hAnsi="Arial" w:cs="Arial"/>
        </w:rPr>
        <w:t>.</w:t>
      </w:r>
      <w:r>
        <w:rPr>
          <w:rStyle w:val="Odkaznapoznmkupodiarou"/>
          <w:rFonts w:ascii="Arial" w:hAnsi="Arial" w:cs="Arial"/>
        </w:rPr>
        <w:footnoteReference w:id="9"/>
      </w:r>
      <w:r>
        <w:rPr>
          <w:rFonts w:ascii="Arial" w:hAnsi="Arial" w:cs="Arial"/>
        </w:rPr>
        <w:t xml:space="preserve"> V zariadeniach sa poskytovali služby na </w:t>
      </w:r>
      <w:proofErr w:type="spellStart"/>
      <w:r>
        <w:rPr>
          <w:rFonts w:ascii="Arial" w:hAnsi="Arial" w:cs="Arial"/>
        </w:rPr>
        <w:t>komunitnej</w:t>
      </w:r>
      <w:proofErr w:type="spellEnd"/>
      <w:r>
        <w:rPr>
          <w:rFonts w:ascii="Arial" w:hAnsi="Arial" w:cs="Arial"/>
        </w:rPr>
        <w:t xml:space="preserve"> úrovni (denné centrá, zariadenia podporovaného bývania, zariadenia opatrovateľskej služby, rehabilitačné strediská, zariadenia núdzového bývania, domovy na polceste, zariadenia dočasnej starostlivosti o deti, útulky a nocľahárne) pre 6 950 obyvateľov z celkového počtu 40 679 obyvateľov, ktorým boli poskytované sociálne služby (17%). </w:t>
      </w:r>
    </w:p>
    <w:p>
      <w:pPr>
        <w:jc w:val="both"/>
        <w:rPr>
          <w:rFonts w:ascii="Arial" w:hAnsi="Arial" w:cs="Arial"/>
        </w:rPr>
      </w:pPr>
      <w:r>
        <w:rPr>
          <w:rFonts w:ascii="Arial" w:hAnsi="Arial" w:cs="Arial"/>
        </w:rPr>
        <w:t xml:space="preserve">Typickým znakom sociálnych služieb v SR je veľká rôznorodosť prijímateľov sociálnych služieb v zariadeniach, čo vedie k nedostatočnej špecifickosti poskytovania služieb. Dôvodom je veľké množstvo rôznych skupín prijímateľov sociálnych služieb, ktorí žijú v jednom zariadení, a to najmä z hľadiska veku alebo zdravotného postihnutia a nie všetci sú schopní sa vrátiť späť do svojho domáceho prostredia. </w:t>
      </w:r>
      <w:r>
        <w:rPr>
          <w:rFonts w:ascii="Arial" w:hAnsi="Arial" w:cs="Arial"/>
          <w:b/>
        </w:rPr>
        <w:t xml:space="preserve">Je preto nevyhnutné vytvárať rôzne formy aj rôznych pobytových </w:t>
      </w:r>
      <w:proofErr w:type="spellStart"/>
      <w:r>
        <w:rPr>
          <w:rFonts w:ascii="Arial" w:hAnsi="Arial" w:cs="Arial"/>
          <w:b/>
        </w:rPr>
        <w:t>komunitných</w:t>
      </w:r>
      <w:proofErr w:type="spellEnd"/>
      <w:r>
        <w:rPr>
          <w:rFonts w:ascii="Arial" w:hAnsi="Arial" w:cs="Arial"/>
          <w:b/>
        </w:rPr>
        <w:t xml:space="preserve"> služieb spojených s bývaním a služieb dlhodobej integrovanej sociálno-zdravotnej starostlivosti</w:t>
      </w:r>
      <w:r>
        <w:rPr>
          <w:rFonts w:ascii="Arial" w:hAnsi="Arial" w:cs="Arial"/>
        </w:rPr>
        <w:t>.</w:t>
      </w:r>
      <w:r>
        <w:rPr>
          <w:rFonts w:ascii="Arial" w:hAnsi="Arial" w:cs="Arial"/>
          <w:b/>
        </w:rPr>
        <w:t xml:space="preserve"> </w:t>
      </w:r>
    </w:p>
    <w:p>
      <w:pPr>
        <w:jc w:val="both"/>
        <w:rPr>
          <w:rFonts w:ascii="Arial" w:hAnsi="Arial" w:cs="Arial"/>
        </w:rPr>
      </w:pPr>
      <w:r>
        <w:rPr>
          <w:rFonts w:ascii="Arial" w:hAnsi="Arial" w:cs="Arial"/>
        </w:rPr>
        <w:lastRenderedPageBreak/>
        <w:t xml:space="preserve">Služby na podporu rodiny s deťmi, medzi ktoré patrí aj pomoc pri osobnej starostlivosti o dieťa a podpora zosúlaďovania  rodinného a pracovného života sú neoddeliteľnou súčasťou systému sociálnych služieb. Jednou z možností ako realizovať služby starostlivosti o deti do troch rokov veku v praxi je vytvorenie podmienok (materiálnych, personálnych, legislatívnych, a i.) pre možnosť vybudovania siete zariadení  „detských jaslí“. IROP poskytuje príležitosť na vytvorenie podmienok pre zabezpečenie poskytovania dlhodobo nedostatkových služieb pre rodiny s deťmi  v oblasti starostlivosti o deti do troch rokov veku v záujme zosúladenia rodinného a pracovného života rodičov a zvýšenia ich zamestnanosti, ako aj v záujme rozvoja samotných detí.  </w:t>
      </w:r>
    </w:p>
    <w:p>
      <w:pPr>
        <w:jc w:val="both"/>
        <w:rPr>
          <w:rFonts w:ascii="Arial" w:hAnsi="Arial" w:cs="Arial"/>
          <w:b/>
        </w:rPr>
      </w:pPr>
      <w:r>
        <w:rPr>
          <w:rFonts w:ascii="Arial" w:hAnsi="Arial" w:cs="Arial"/>
          <w:b/>
        </w:rPr>
        <w:t>Sociálnoprávna ochrana detí a sociálna kuratela (ďalej aj „</w:t>
      </w:r>
      <w:proofErr w:type="spellStart"/>
      <w:r>
        <w:rPr>
          <w:rFonts w:ascii="Arial" w:hAnsi="Arial" w:cs="Arial"/>
          <w:b/>
        </w:rPr>
        <w:t>SPOaSK</w:t>
      </w:r>
      <w:proofErr w:type="spellEnd"/>
      <w:r>
        <w:rPr>
          <w:rFonts w:ascii="Arial" w:hAnsi="Arial" w:cs="Arial"/>
          <w:b/>
        </w:rPr>
        <w:t>“)</w:t>
      </w:r>
    </w:p>
    <w:p>
      <w:pPr>
        <w:jc w:val="both"/>
        <w:rPr>
          <w:rFonts w:ascii="Arial" w:hAnsi="Arial" w:cs="Arial"/>
        </w:rPr>
      </w:pPr>
      <w:r>
        <w:rPr>
          <w:rFonts w:ascii="Arial" w:hAnsi="Arial" w:cs="Arial"/>
        </w:rPr>
        <w:t xml:space="preserve">Opatrenia </w:t>
      </w:r>
      <w:proofErr w:type="spellStart"/>
      <w:r>
        <w:rPr>
          <w:rFonts w:ascii="Arial" w:hAnsi="Arial" w:cs="Arial"/>
        </w:rPr>
        <w:t>SPOaSK</w:t>
      </w:r>
      <w:proofErr w:type="spellEnd"/>
      <w:r>
        <w:rPr>
          <w:rFonts w:ascii="Arial" w:hAnsi="Arial" w:cs="Arial"/>
        </w:rPr>
        <w:t xml:space="preserve"> sa vykonávajú, okrem iného, v zariadeniach </w:t>
      </w:r>
      <w:proofErr w:type="spellStart"/>
      <w:r>
        <w:rPr>
          <w:rFonts w:ascii="Arial" w:hAnsi="Arial" w:cs="Arial"/>
        </w:rPr>
        <w:t>SPOaSK</w:t>
      </w:r>
      <w:proofErr w:type="spellEnd"/>
      <w:r>
        <w:rPr>
          <w:rFonts w:ascii="Arial" w:hAnsi="Arial" w:cs="Arial"/>
        </w:rPr>
        <w:t xml:space="preserve">. Ide o zariadenia, ktorými sú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w:t>
      </w:r>
    </w:p>
    <w:p>
      <w:pPr>
        <w:jc w:val="both"/>
        <w:rPr>
          <w:rFonts w:ascii="Arial" w:hAnsi="Arial" w:cs="Arial"/>
          <w:iCs/>
        </w:rPr>
      </w:pPr>
      <w:r>
        <w:rPr>
          <w:rFonts w:ascii="Arial" w:hAnsi="Arial" w:cs="Arial"/>
          <w:iCs/>
        </w:rPr>
        <w:t xml:space="preserve">V priebehu rokov 2000 - 2012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w:t>
      </w:r>
      <w:r>
        <w:rPr>
          <w:rFonts w:ascii="Arial" w:hAnsi="Arial" w:cs="Arial"/>
          <w:b/>
          <w:iCs/>
        </w:rPr>
        <w:t>1,34%</w:t>
      </w:r>
      <w:r>
        <w:rPr>
          <w:rFonts w:ascii="Arial" w:hAnsi="Arial" w:cs="Arial"/>
          <w:iCs/>
        </w:rPr>
        <w:t xml:space="preserve">). Avšak v tom istom období bol zaznamenaný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w:t>
      </w:r>
    </w:p>
    <w:p>
      <w:pPr>
        <w:jc w:val="both"/>
        <w:rPr>
          <w:rFonts w:ascii="Arial" w:hAnsi="Arial" w:cs="Arial"/>
        </w:rPr>
      </w:pPr>
      <w:r>
        <w:rPr>
          <w:rFonts w:ascii="Arial" w:hAnsi="Arial" w:cs="Arial"/>
        </w:rPr>
        <w:t xml:space="preserve">V roku 2012 bolo 14 458 detí mimo vlastnej rodiny. Z toho bolo 8 958 detí (61,96 %) v náhradnej osobnej starostlivosti, pestúnskej starostlivosti a v osobnej starostlivosti poručníka, </w:t>
      </w:r>
      <w:r>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Pr>
          <w:rFonts w:ascii="Arial" w:hAnsi="Arial" w:cs="Arial"/>
        </w:rPr>
        <w:t>.</w:t>
      </w:r>
    </w:p>
    <w:p>
      <w:pPr>
        <w:jc w:val="both"/>
        <w:rPr>
          <w:rFonts w:ascii="Arial" w:hAnsi="Arial" w:cs="Arial"/>
          <w:iCs/>
        </w:rPr>
      </w:pPr>
      <w:r>
        <w:rPr>
          <w:rFonts w:ascii="Arial" w:hAnsi="Arial" w:cs="Arial"/>
          <w:iCs/>
        </w:rPr>
        <w:t xml:space="preserve">Od 1. 1. 2009 sa </w:t>
      </w:r>
      <w:r>
        <w:rPr>
          <w:rFonts w:ascii="Arial" w:hAnsi="Arial" w:cs="Arial"/>
          <w:b/>
          <w:iCs/>
        </w:rPr>
        <w:t>detský domov</w:t>
      </w:r>
      <w:r>
        <w:rPr>
          <w:rFonts w:ascii="Arial" w:hAnsi="Arial" w:cs="Arial"/>
          <w:iCs/>
        </w:rPr>
        <w:t xml:space="preserve"> (ďalej aj „</w:t>
      </w:r>
      <w:proofErr w:type="spellStart"/>
      <w:r>
        <w:rPr>
          <w:rFonts w:ascii="Arial" w:hAnsi="Arial" w:cs="Arial"/>
          <w:iCs/>
        </w:rPr>
        <w:t>DeD</w:t>
      </w:r>
      <w:proofErr w:type="spellEnd"/>
      <w:r>
        <w:rPr>
          <w:rFonts w:ascii="Arial" w:hAnsi="Arial" w:cs="Arial"/>
          <w:iCs/>
        </w:rPr>
        <w:t xml:space="preserve">“) zriaďuje ako domov detí alebo centrum detí. K 31. 12. 2012 bolo na Slovensku 87 </w:t>
      </w:r>
      <w:proofErr w:type="spellStart"/>
      <w:r>
        <w:rPr>
          <w:rFonts w:ascii="Arial" w:hAnsi="Arial" w:cs="Arial"/>
          <w:iCs/>
        </w:rPr>
        <w:t>DeD</w:t>
      </w:r>
      <w:proofErr w:type="spellEnd"/>
      <w:r>
        <w:rPr>
          <w:rFonts w:ascii="Arial" w:hAnsi="Arial" w:cs="Arial"/>
          <w:iCs/>
        </w:rPr>
        <w:t xml:space="preserve"> (vrátane </w:t>
      </w:r>
      <w:proofErr w:type="spellStart"/>
      <w:r>
        <w:rPr>
          <w:rFonts w:ascii="Arial" w:hAnsi="Arial" w:cs="Arial"/>
          <w:iCs/>
        </w:rPr>
        <w:t>DeD</w:t>
      </w:r>
      <w:proofErr w:type="spellEnd"/>
      <w:r>
        <w:rPr>
          <w:rFonts w:ascii="Arial" w:hAnsi="Arial" w:cs="Arial"/>
          <w:iCs/>
        </w:rPr>
        <w:t xml:space="preserve"> pre maloletých bez sprievodu) s celkovým počtom 4 701 detí a mladých dospelých, z toho 23 ako domovov detí (907 detí a mladých dospelých) a 64 ako centier detí (3 794 detí a mladých dospelých). Z celkového počtu </w:t>
      </w:r>
      <w:proofErr w:type="spellStart"/>
      <w:r>
        <w:rPr>
          <w:rFonts w:ascii="Arial" w:hAnsi="Arial" w:cs="Arial"/>
          <w:iCs/>
        </w:rPr>
        <w:t>DeD</w:t>
      </w:r>
      <w:proofErr w:type="spellEnd"/>
      <w:r>
        <w:rPr>
          <w:rFonts w:ascii="Arial" w:hAnsi="Arial" w:cs="Arial"/>
          <w:iCs/>
        </w:rPr>
        <w:t xml:space="preserve"> bolo 67 štátnych a 20 neštátnych. Regionálne rozloženie </w:t>
      </w:r>
      <w:proofErr w:type="spellStart"/>
      <w:r>
        <w:rPr>
          <w:rFonts w:ascii="Arial" w:hAnsi="Arial" w:cs="Arial"/>
          <w:iCs/>
        </w:rPr>
        <w:t>DeD</w:t>
      </w:r>
      <w:proofErr w:type="spellEnd"/>
      <w:r>
        <w:rPr>
          <w:rFonts w:ascii="Arial" w:hAnsi="Arial" w:cs="Arial"/>
          <w:iCs/>
        </w:rPr>
        <w:t xml:space="preserve"> je v zásade rovnomerné, a to 8 v Bratislavskom, 10 v Trnavskom, 9 v Trenčianskom, 10 v Nitrianskom,  15 v Banskobystrickom, 10 v Žilinskom, 14 v Košickom a 11 v Prešovskom kraji.</w:t>
      </w:r>
    </w:p>
    <w:p>
      <w:pPr>
        <w:jc w:val="both"/>
        <w:rPr>
          <w:rFonts w:ascii="Arial" w:hAnsi="Arial" w:cs="Arial"/>
          <w:iCs/>
        </w:rPr>
      </w:pPr>
      <w:r>
        <w:rPr>
          <w:rFonts w:ascii="Arial" w:hAnsi="Arial" w:cs="Arial"/>
        </w:rPr>
        <w:t xml:space="preserve">Od roku 2000 dochádza k posilňovaniu starostlivosti o deti, o ktoré sa nemôžu z rôznych dôvodov starať ich rodičia v rôznych formách náhradného rodinného prostredia, postupnému znižovaniu počtu skupín vo veľkých objektoch </w:t>
      </w:r>
      <w:proofErr w:type="spellStart"/>
      <w:r>
        <w:rPr>
          <w:rFonts w:ascii="Arial" w:hAnsi="Arial" w:cs="Arial"/>
        </w:rPr>
        <w:t>DeD</w:t>
      </w:r>
      <w:proofErr w:type="spellEnd"/>
      <w:r>
        <w:rPr>
          <w:rFonts w:ascii="Arial" w:hAnsi="Arial" w:cs="Arial"/>
        </w:rPr>
        <w:t xml:space="preserve">, k zvyšovaniu počtu skupín umiestnených v rodinných domoch </w:t>
      </w:r>
      <w:proofErr w:type="spellStart"/>
      <w:r>
        <w:rPr>
          <w:rFonts w:ascii="Arial" w:hAnsi="Arial" w:cs="Arial"/>
        </w:rPr>
        <w:t>DeD</w:t>
      </w:r>
      <w:proofErr w:type="spellEnd"/>
      <w:r>
        <w:rPr>
          <w:rFonts w:ascii="Arial" w:hAnsi="Arial" w:cs="Arial"/>
        </w:rPr>
        <w:t xml:space="preserve"> (1 skupina = 1 dom) a k zvyšovaniu počtu detí umiestnených v profesionálnych rodinách.</w:t>
      </w:r>
    </w:p>
    <w:p>
      <w:pPr>
        <w:jc w:val="both"/>
        <w:rPr>
          <w:rFonts w:ascii="Arial" w:hAnsi="Arial" w:cs="Arial"/>
          <w:i/>
          <w:iCs/>
        </w:rPr>
      </w:pPr>
      <w:r>
        <w:rPr>
          <w:rFonts w:ascii="Arial" w:hAnsi="Arial" w:cs="Arial"/>
          <w:i/>
          <w:iCs/>
        </w:rPr>
        <w:t xml:space="preserve">Resocializačné strediská </w:t>
      </w:r>
      <w:r>
        <w:rPr>
          <w:rFonts w:ascii="Arial" w:hAnsi="Arial" w:cs="Arial"/>
          <w:iCs/>
        </w:rPr>
        <w:t>(</w:t>
      </w:r>
      <w:r>
        <w:rPr>
          <w:rFonts w:ascii="Arial" w:hAnsi="Arial" w:cs="Arial"/>
        </w:rPr>
        <w:t>ďalej aj „RS“)</w:t>
      </w:r>
      <w:r>
        <w:rPr>
          <w:rFonts w:ascii="Arial" w:hAnsi="Arial" w:cs="Arial"/>
          <w:i/>
        </w:rPr>
        <w:t xml:space="preserve"> </w:t>
      </w:r>
      <w:r>
        <w:rPr>
          <w:rFonts w:ascii="Arial" w:hAnsi="Arial" w:cs="Arial"/>
          <w:iCs/>
        </w:rPr>
        <w:t xml:space="preserve">a </w:t>
      </w:r>
      <w:r>
        <w:rPr>
          <w:rFonts w:ascii="Arial" w:hAnsi="Arial" w:cs="Arial"/>
          <w:i/>
        </w:rPr>
        <w:t xml:space="preserve">krízové strediská </w:t>
      </w:r>
      <w:r>
        <w:rPr>
          <w:rFonts w:ascii="Arial" w:hAnsi="Arial" w:cs="Arial"/>
          <w:iCs/>
        </w:rPr>
        <w:t>(</w:t>
      </w:r>
      <w:r>
        <w:rPr>
          <w:rFonts w:ascii="Arial" w:hAnsi="Arial" w:cs="Arial"/>
        </w:rPr>
        <w:t>ďalej aj „KS“)</w:t>
      </w:r>
    </w:p>
    <w:p>
      <w:pPr>
        <w:jc w:val="both"/>
        <w:rPr>
          <w:rFonts w:ascii="Arial" w:hAnsi="Arial" w:cs="Arial"/>
          <w:iCs/>
        </w:rPr>
      </w:pPr>
      <w:r>
        <w:rPr>
          <w:rFonts w:ascii="Arial" w:hAnsi="Arial" w:cs="Arial"/>
        </w:rPr>
        <w:t xml:space="preserve">V SR pôsobí 20 RS, z toho jedno zriadené v pôsobnosti samosprávy a 19 je neštátnych/akreditovaných Ministerstvom práce, sociálnych vecí a rodiny SR (ďalej iba „MPSVR SR“) s celkovou kapacitou cca 430 miest. V SR pôsobí 37 KS s celkovou kapacitou 732 pobytových miest a 725 ambulantných miest. Zriaďovateľom KS je samospráva a neštátne subjekty/akreditované MPSVR SR. </w:t>
      </w:r>
      <w:r>
        <w:rPr>
          <w:rFonts w:ascii="Arial" w:hAnsi="Arial" w:cs="Arial"/>
          <w:iCs/>
        </w:rPr>
        <w:t xml:space="preserve">Regionálne rozloženie RS a KS je uvedené v prílohe č. 12.18. </w:t>
      </w:r>
    </w:p>
    <w:p>
      <w:pPr>
        <w:jc w:val="both"/>
        <w:rPr>
          <w:rFonts w:ascii="Arial" w:hAnsi="Arial" w:cs="Arial"/>
          <w:b/>
          <w:i/>
        </w:rPr>
      </w:pPr>
      <w:r>
        <w:rPr>
          <w:rFonts w:ascii="Arial" w:hAnsi="Arial" w:cs="Arial"/>
          <w:b/>
          <w:i/>
        </w:rPr>
        <w:lastRenderedPageBreak/>
        <w:t>Rozvojové potreby a výzvy v oblasti poskytovania sociálnych služieb, sociálnoprávnej ochrany detí a sociálnej kurately a spôsob ich riešenia v rámci IROP</w:t>
      </w:r>
    </w:p>
    <w:p>
      <w:pPr>
        <w:spacing w:before="240"/>
        <w:jc w:val="both"/>
        <w:rPr>
          <w:rFonts w:ascii="Arial" w:hAnsi="Arial" w:cs="Arial"/>
          <w:b/>
        </w:rPr>
      </w:pPr>
      <w:r>
        <w:rPr>
          <w:rFonts w:ascii="Arial" w:hAnsi="Arial" w:cs="Arial"/>
          <w:b/>
        </w:rPr>
        <w:t>Potreby a výzvy:</w:t>
      </w:r>
    </w:p>
    <w:p>
      <w:pPr>
        <w:pStyle w:val="Odsekzoznamu"/>
        <w:numPr>
          <w:ilvl w:val="0"/>
          <w:numId w:val="9"/>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pPr>
        <w:pStyle w:val="Odsekzoznamu"/>
        <w:numPr>
          <w:ilvl w:val="0"/>
          <w:numId w:val="9"/>
        </w:numPr>
        <w:jc w:val="both"/>
        <w:rPr>
          <w:rFonts w:ascii="Arial" w:hAnsi="Arial" w:cs="Arial"/>
        </w:rPr>
      </w:pPr>
      <w:r>
        <w:rPr>
          <w:rFonts w:ascii="Arial" w:hAnsi="Arial" w:cs="Arial"/>
        </w:rPr>
        <w:t xml:space="preserve">postupná realizácia procesu deinštitucionalizácie poskytovania sociálnych služieb a zabezpečovania výkonu </w:t>
      </w:r>
      <w:proofErr w:type="spellStart"/>
      <w:r>
        <w:rPr>
          <w:rFonts w:ascii="Arial" w:hAnsi="Arial" w:cs="Arial"/>
        </w:rPr>
        <w:t>SPOaSK</w:t>
      </w:r>
      <w:proofErr w:type="spellEnd"/>
      <w:r>
        <w:rPr>
          <w:rFonts w:ascii="Arial" w:hAnsi="Arial" w:cs="Arial"/>
        </w:rPr>
        <w:t xml:space="preserve">; v konečnej fáze zrušenie inštitucionálnych služieb starostlivosti a vytvorenie, rozvoj a podpora efektívnej siete nových alebo existujúcich alternatívnych </w:t>
      </w:r>
      <w:proofErr w:type="spellStart"/>
      <w:r>
        <w:rPr>
          <w:rFonts w:ascii="Arial" w:hAnsi="Arial" w:cs="Arial"/>
        </w:rPr>
        <w:t>komunitných</w:t>
      </w:r>
      <w:proofErr w:type="spellEnd"/>
      <w:r>
        <w:rPr>
          <w:rFonts w:ascii="Arial" w:hAnsi="Arial" w:cs="Arial"/>
        </w:rPr>
        <w:t xml:space="preserve"> služieb a zabezpečenie </w:t>
      </w:r>
      <w:proofErr w:type="spellStart"/>
      <w:r>
        <w:rPr>
          <w:rFonts w:ascii="Arial" w:hAnsi="Arial" w:cs="Arial"/>
        </w:rPr>
        <w:t>SPOaSK</w:t>
      </w:r>
      <w:proofErr w:type="spellEnd"/>
      <w:r>
        <w:rPr>
          <w:rFonts w:ascii="Arial" w:hAnsi="Arial" w:cs="Arial"/>
        </w:rPr>
        <w:t xml:space="preserve"> o deti na </w:t>
      </w:r>
      <w:proofErr w:type="spellStart"/>
      <w:r>
        <w:rPr>
          <w:rFonts w:ascii="Arial" w:hAnsi="Arial" w:cs="Arial"/>
        </w:rPr>
        <w:t>komunitnej</w:t>
      </w:r>
      <w:proofErr w:type="spellEnd"/>
      <w:r>
        <w:rPr>
          <w:rFonts w:ascii="Arial" w:hAnsi="Arial" w:cs="Arial"/>
        </w:rPr>
        <w:t xml:space="preserve"> úrovni;</w:t>
      </w:r>
    </w:p>
    <w:p>
      <w:pPr>
        <w:pStyle w:val="Odsekzoznamu"/>
        <w:numPr>
          <w:ilvl w:val="0"/>
          <w:numId w:val="9"/>
        </w:numPr>
        <w:jc w:val="both"/>
        <w:rPr>
          <w:rFonts w:ascii="Arial" w:hAnsi="Arial" w:cs="Arial"/>
        </w:rPr>
      </w:pPr>
      <w:r>
        <w:rPr>
          <w:rFonts w:ascii="Arial" w:hAnsi="Arial" w:cs="Arial"/>
        </w:rPr>
        <w:t xml:space="preserve">vytvorenie podmienok pre optimalizáciu a zmiernenie regionálnych rozdielov v kvalite, variabilite a dostupnosti poskytovania sociálnych služieb a vykonávaných opatrení </w:t>
      </w:r>
      <w:proofErr w:type="spellStart"/>
      <w:r>
        <w:rPr>
          <w:rFonts w:ascii="Arial" w:hAnsi="Arial" w:cs="Arial"/>
        </w:rPr>
        <w:t>SPOaSK</w:t>
      </w:r>
      <w:proofErr w:type="spellEnd"/>
      <w:r>
        <w:rPr>
          <w:rFonts w:ascii="Arial" w:hAnsi="Arial" w:cs="Arial"/>
        </w:rPr>
        <w:t>;</w:t>
      </w:r>
    </w:p>
    <w:p>
      <w:pPr>
        <w:pStyle w:val="Odsekzoznamu"/>
        <w:numPr>
          <w:ilvl w:val="0"/>
          <w:numId w:val="9"/>
        </w:numPr>
        <w:jc w:val="both"/>
        <w:rPr>
          <w:rFonts w:ascii="Arial" w:hAnsi="Arial" w:cs="Arial"/>
        </w:rPr>
      </w:pPr>
      <w:r>
        <w:rPr>
          <w:rFonts w:ascii="Arial" w:hAnsi="Arial" w:cs="Arial"/>
        </w:rPr>
        <w:t xml:space="preserve">potreba rozvoja existujúcich a nových nedostatkových </w:t>
      </w:r>
      <w:proofErr w:type="spellStart"/>
      <w:r>
        <w:rPr>
          <w:rFonts w:ascii="Arial" w:hAnsi="Arial" w:cs="Arial"/>
        </w:rPr>
        <w:t>komunitných</w:t>
      </w:r>
      <w:proofErr w:type="spellEnd"/>
      <w:r>
        <w:rPr>
          <w:rFonts w:ascii="Arial" w:hAnsi="Arial" w:cs="Arial"/>
        </w:rPr>
        <w:t xml:space="preserve"> sociálnych služieb pre všetky skupiny obyvateľov a utvorenie podmienok na zavedenie a previazanie preventívnych aktivít na predchádzanie nariadeniu ústavnej starostlivosti s opatreniami na zníženie negatívnych vplyvov </w:t>
      </w:r>
      <w:proofErr w:type="spellStart"/>
      <w:r>
        <w:rPr>
          <w:rFonts w:ascii="Arial" w:hAnsi="Arial" w:cs="Arial"/>
        </w:rPr>
        <w:t>inštitucionalizácie</w:t>
      </w:r>
      <w:proofErr w:type="spellEnd"/>
      <w:r>
        <w:rPr>
          <w:rFonts w:ascii="Arial" w:hAnsi="Arial" w:cs="Arial"/>
        </w:rPr>
        <w:t xml:space="preserve"> na dieťa;</w:t>
      </w:r>
    </w:p>
    <w:p>
      <w:pPr>
        <w:pStyle w:val="Odsekzoznamu"/>
        <w:numPr>
          <w:ilvl w:val="0"/>
          <w:numId w:val="9"/>
        </w:numPr>
        <w:jc w:val="both"/>
        <w:rPr>
          <w:rFonts w:ascii="Arial" w:hAnsi="Arial" w:cs="Arial"/>
        </w:rPr>
      </w:pPr>
      <w:r>
        <w:rPr>
          <w:rFonts w:ascii="Arial" w:hAnsi="Arial" w:cs="Arial"/>
        </w:rPr>
        <w:t>potreba rozvoja sociálnych služieb zameraných na podporu zosúlaďovania rodinného a pracovného života špecificky v spojení so službami starostlivosti o deti do 3 rokov veku;</w:t>
      </w:r>
    </w:p>
    <w:p>
      <w:pPr>
        <w:pStyle w:val="Odsekzoznamu"/>
        <w:numPr>
          <w:ilvl w:val="0"/>
          <w:numId w:val="9"/>
        </w:numPr>
        <w:jc w:val="both"/>
        <w:rPr>
          <w:rFonts w:ascii="Arial" w:hAnsi="Arial" w:cs="Arial"/>
        </w:rPr>
      </w:pPr>
      <w:r>
        <w:rPr>
          <w:rFonts w:ascii="Arial" w:hAnsi="Arial" w:cs="Arial"/>
        </w:rPr>
        <w:t>zavedenie a uplatňovanie štandardov kvality poskytovaných služieb.</w:t>
      </w:r>
    </w:p>
    <w:p>
      <w:pPr>
        <w:jc w:val="both"/>
        <w:rPr>
          <w:rFonts w:ascii="Arial" w:hAnsi="Arial" w:cs="Arial"/>
        </w:rPr>
      </w:pPr>
      <w:r>
        <w:rPr>
          <w:rFonts w:ascii="Arial" w:hAnsi="Arial" w:cs="Arial"/>
          <w:b/>
        </w:rPr>
        <w:t>Opatrenia na riešenie v rámci IROP</w:t>
      </w:r>
    </w:p>
    <w:p>
      <w:pPr>
        <w:jc w:val="both"/>
        <w:rPr>
          <w:rFonts w:ascii="Arial" w:hAnsi="Arial" w:cs="Arial"/>
        </w:rPr>
      </w:pPr>
      <w:r>
        <w:rPr>
          <w:rFonts w:ascii="Arial" w:hAnsi="Arial" w:cs="Arial"/>
        </w:rPr>
        <w:t>IROP bude synergicky spolupôsobiť s OP ĽZ predovšetkým v rámci priority podpory deinštitucionalizácie zariadení, ako aj priority zosúlaďovanie rodinného a pracovného života a predmetom intervencií IROP bude investičná (kapitálová) podpora zariadení, v ktorých bude poskytovaná a zabezpečovaná transformovaná a </w:t>
      </w:r>
      <w:proofErr w:type="spellStart"/>
      <w:r>
        <w:rPr>
          <w:rFonts w:ascii="Arial" w:hAnsi="Arial" w:cs="Arial"/>
        </w:rPr>
        <w:t>komunitná</w:t>
      </w:r>
      <w:proofErr w:type="spellEnd"/>
      <w:r>
        <w:rPr>
          <w:rFonts w:ascii="Arial" w:hAnsi="Arial" w:cs="Arial"/>
        </w:rPr>
        <w:t xml:space="preserve"> starostlivosť, resp. bude starostlivosť poskytovaná na </w:t>
      </w:r>
      <w:proofErr w:type="spellStart"/>
      <w:r>
        <w:rPr>
          <w:rFonts w:ascii="Arial" w:hAnsi="Arial" w:cs="Arial"/>
        </w:rPr>
        <w:t>komunitnej</w:t>
      </w:r>
      <w:proofErr w:type="spellEnd"/>
      <w:r>
        <w:rPr>
          <w:rFonts w:ascii="Arial" w:hAnsi="Arial" w:cs="Arial"/>
        </w:rPr>
        <w:t xml:space="preserve"> úrovni.</w:t>
      </w:r>
    </w:p>
    <w:p>
      <w:pPr>
        <w:jc w:val="both"/>
        <w:rPr>
          <w:rFonts w:ascii="Arial" w:hAnsi="Arial" w:cs="Arial"/>
        </w:rPr>
      </w:pPr>
    </w:p>
    <w:p>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pPr>
        <w:spacing w:after="120"/>
        <w:jc w:val="both"/>
        <w:rPr>
          <w:rFonts w:ascii="Arial" w:hAnsi="Arial" w:cs="Arial"/>
        </w:rPr>
      </w:pPr>
      <w:r>
        <w:rPr>
          <w:rFonts w:ascii="Arial" w:hAnsi="Arial" w:cs="Arial"/>
        </w:rPr>
        <w:t xml:space="preserve">Dôležitým predpokladom produktivity a sociálneho začlenenia ekonomicky aktívneho obyvateľstva je dobrý zdravotný stav a účinná prevencia vzniku ochorení. Iba zdravá pracovná sila je motorom ekonomického rastu. Efektívne nastavený a fungujúci zdravotný systém je dôležitým ekonomickým faktorom vplývajúcim na kvalitu života, produktivitu práce a </w:t>
      </w:r>
      <w:proofErr w:type="spellStart"/>
      <w:r>
        <w:rPr>
          <w:rFonts w:ascii="Arial" w:hAnsi="Arial" w:cs="Arial"/>
        </w:rPr>
        <w:t>zamestnateľnosť</w:t>
      </w:r>
      <w:proofErr w:type="spellEnd"/>
      <w:r>
        <w:rPr>
          <w:rFonts w:ascii="Arial" w:hAnsi="Arial" w:cs="Arial"/>
        </w:rPr>
        <w:t xml:space="preserve"> pracovnej sily.</w:t>
      </w:r>
    </w:p>
    <w:p>
      <w:pPr>
        <w:spacing w:before="120"/>
        <w:jc w:val="both"/>
        <w:rPr>
          <w:rFonts w:ascii="Arial" w:eastAsiaTheme="minorHAnsi" w:hAnsi="Arial" w:cs="Arial"/>
        </w:rPr>
      </w:pPr>
      <w:r>
        <w:rPr>
          <w:rFonts w:ascii="Arial" w:eastAsiaTheme="minorHAnsi" w:hAnsi="Arial" w:cs="Arial"/>
        </w:rPr>
        <w:t>SR v súčasnosti v porovnaní s ostatnými krajinami EÚ dosahuje nízku úroveň efektivity zdravotníctva. Jedným z hlavných dôsledkov je kratší počet rokov života v zdraví (</w:t>
      </w:r>
      <w:proofErr w:type="spellStart"/>
      <w:r>
        <w:rPr>
          <w:rFonts w:ascii="Arial" w:eastAsiaTheme="minorHAnsi" w:hAnsi="Arial" w:cs="Arial"/>
          <w:i/>
        </w:rPr>
        <w:t>healthy</w:t>
      </w:r>
      <w:proofErr w:type="spellEnd"/>
      <w:r>
        <w:rPr>
          <w:rFonts w:ascii="Arial" w:eastAsiaTheme="minorHAnsi" w:hAnsi="Arial" w:cs="Arial"/>
          <w:i/>
        </w:rPr>
        <w:t xml:space="preserve"> </w:t>
      </w:r>
      <w:proofErr w:type="spellStart"/>
      <w:r>
        <w:rPr>
          <w:rFonts w:ascii="Arial" w:eastAsiaTheme="minorHAnsi" w:hAnsi="Arial" w:cs="Arial"/>
          <w:i/>
        </w:rPr>
        <w:t>life</w:t>
      </w:r>
      <w:proofErr w:type="spellEnd"/>
      <w:r>
        <w:rPr>
          <w:rFonts w:ascii="Arial" w:eastAsiaTheme="minorHAnsi" w:hAnsi="Arial" w:cs="Arial"/>
          <w:i/>
        </w:rPr>
        <w:t xml:space="preserve"> </w:t>
      </w:r>
      <w:proofErr w:type="spellStart"/>
      <w:r>
        <w:rPr>
          <w:rFonts w:ascii="Arial" w:eastAsiaTheme="minorHAnsi" w:hAnsi="Arial" w:cs="Arial"/>
          <w:i/>
        </w:rPr>
        <w:t>years</w:t>
      </w:r>
      <w:proofErr w:type="spellEnd"/>
      <w:r>
        <w:rPr>
          <w:rFonts w:ascii="Arial" w:eastAsiaTheme="minorHAnsi" w:hAnsi="Arial" w:cs="Arial"/>
        </w:rPr>
        <w:t>) obyvateľov SR oproti priemeru krajín EÚ. Kým obyvatelia SR žijú v zdraví priemerne 52,2 roka, u obyvateľov EÚ je to takmer o 10 rokov viac (62 rokov)</w:t>
      </w:r>
      <w:r>
        <w:rPr>
          <w:rStyle w:val="Odkaznapoznmkupodiarou"/>
          <w:rFonts w:ascii="Arial" w:eastAsiaTheme="minorHAnsi" w:hAnsi="Arial" w:cs="Arial"/>
        </w:rPr>
        <w:footnoteReference w:id="10"/>
      </w:r>
      <w:r>
        <w:rPr>
          <w:rFonts w:ascii="Arial" w:eastAsiaTheme="minorHAnsi" w:hAnsi="Arial" w:cs="Arial"/>
        </w:rPr>
        <w:t xml:space="preserve">. Prehlbuje sa tým </w:t>
      </w:r>
      <w:r>
        <w:rPr>
          <w:rFonts w:ascii="Arial" w:eastAsiaTheme="minorHAnsi" w:hAnsi="Arial" w:cs="Arial"/>
        </w:rPr>
        <w:lastRenderedPageBreak/>
        <w:t xml:space="preserve">pravdepodobnosť sociálnej </w:t>
      </w:r>
      <w:proofErr w:type="spellStart"/>
      <w:r>
        <w:rPr>
          <w:rFonts w:ascii="Arial" w:eastAsiaTheme="minorHAnsi" w:hAnsi="Arial" w:cs="Arial"/>
        </w:rPr>
        <w:t>exklúzie</w:t>
      </w:r>
      <w:proofErr w:type="spellEnd"/>
      <w:r>
        <w:rPr>
          <w:rFonts w:ascii="Arial" w:eastAsiaTheme="minorHAnsi" w:hAnsi="Arial" w:cs="Arial"/>
        </w:rPr>
        <w:t xml:space="preserve"> obyvateľstva hlavne v preddôchodkovom veku z dôvodu zhoršovania sa ich zdravotného stavu – najmä chronické ochorenia a </w:t>
      </w:r>
      <w:proofErr w:type="spellStart"/>
      <w:r>
        <w:rPr>
          <w:rFonts w:ascii="Arial" w:eastAsiaTheme="minorHAnsi" w:hAnsi="Arial" w:cs="Arial"/>
        </w:rPr>
        <w:t>polymorbídne</w:t>
      </w:r>
      <w:proofErr w:type="spellEnd"/>
      <w:r>
        <w:rPr>
          <w:rFonts w:ascii="Arial" w:eastAsiaTheme="minorHAnsi" w:hAnsi="Arial" w:cs="Arial"/>
        </w:rPr>
        <w:t xml:space="preserve"> stavy</w:t>
      </w:r>
      <w:r>
        <w:rPr>
          <w:rStyle w:val="Odkaznapoznmkupodiarou"/>
          <w:rFonts w:ascii="Arial" w:eastAsiaTheme="minorHAnsi" w:hAnsi="Arial" w:cs="Arial"/>
        </w:rPr>
        <w:footnoteReference w:id="11"/>
      </w:r>
      <w:r>
        <w:rPr>
          <w:rFonts w:ascii="Arial" w:eastAsiaTheme="minorHAnsi" w:hAnsi="Arial" w:cs="Arial"/>
        </w:rPr>
        <w:t>.</w:t>
      </w:r>
    </w:p>
    <w:p>
      <w:pPr>
        <w:spacing w:before="120"/>
        <w:jc w:val="both"/>
        <w:rPr>
          <w:rFonts w:ascii="Arial" w:eastAsiaTheme="minorHAnsi" w:hAnsi="Arial" w:cs="Arial"/>
        </w:rPr>
      </w:pPr>
      <w:r>
        <w:rPr>
          <w:rFonts w:ascii="Arial" w:hAnsi="Arial" w:cs="Arial"/>
          <w:lang w:eastAsia="sk-SK"/>
        </w:rPr>
        <w:t>Dôležitým predpokladom zlepšenia efektívnosti slovenského zdravotníctva je dostupná a funkčne vyhovujúca zdravotnícka infraštruktúra centier primárneho kontaktu a poskytovateľov akútnej ústavnej zdravotnej starostlivosti, ktorá zo stavebného a technologického hľadiska umožní integráciu zdravotnej starostlivosti s orientáciou na pacienta a realizáciu nových procesov. Nejde teda len o potrebu jednoduchej obnovy zastaranej infraštruktúry, ale o modernizáciu zameranú na skvalitnenie a zefektívnenie poskytovania zdravotnej starostlivosti a súvisiacu s transformáciou zdravotného systému, ktorej výsledkom bude dostupnosť úplne nového typu zdravotníckej infraštruktúry, ktorý v súčasnosti v SR absentuje a lepšia integrácia poskytovaných zdravotných služieb.</w:t>
      </w:r>
      <w:r>
        <w:rPr>
          <w:rFonts w:ascii="Arial" w:eastAsiaTheme="minorHAnsi" w:hAnsi="Arial" w:cs="Arial"/>
        </w:rPr>
        <w:t xml:space="preserve"> </w:t>
      </w:r>
      <w:r>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pPr>
        <w:spacing w:after="120"/>
        <w:jc w:val="both"/>
        <w:rPr>
          <w:rFonts w:ascii="Arial" w:hAnsi="Arial" w:cs="Arial"/>
        </w:rPr>
      </w:pPr>
      <w:r>
        <w:rPr>
          <w:rFonts w:ascii="Arial" w:hAnsi="Arial" w:cs="Arial"/>
        </w:rPr>
        <w:t xml:space="preserve">Podľa analýz OECD až 80% nákladov v zdravotnej starostlivosti spotrebovávajú chronicky chorí pacienti a znevýhodnené skupiny obyvateľstva. Investície do reformy primárnej ambulantnej starostlivosti a jej centralizácii do centier a paralelne do reformy akútnej ústavnej zdravotnej starostlivosti vedú k znižovaniu hospitalizácií u znevýhodnených skupín obyvateľstva a k ich rýchlejšiemu sa začleneniu na trhu práce (štúdie </w:t>
      </w:r>
      <w:proofErr w:type="spellStart"/>
      <w:r>
        <w:rPr>
          <w:rFonts w:ascii="Arial" w:hAnsi="Arial" w:cs="Arial"/>
        </w:rPr>
        <w:t>ChenMed</w:t>
      </w:r>
      <w:proofErr w:type="spellEnd"/>
      <w:r>
        <w:rPr>
          <w:rFonts w:ascii="Arial" w:hAnsi="Arial" w:cs="Arial"/>
        </w:rPr>
        <w:t xml:space="preserve">, </w:t>
      </w:r>
      <w:proofErr w:type="spellStart"/>
      <w:r>
        <w:rPr>
          <w:rFonts w:ascii="Arial" w:hAnsi="Arial" w:cs="Arial"/>
        </w:rPr>
        <w:t>Geisinger</w:t>
      </w:r>
      <w:proofErr w:type="spellEnd"/>
      <w:r>
        <w:rPr>
          <w:rFonts w:ascii="Arial" w:hAnsi="Arial" w:cs="Arial"/>
        </w:rPr>
        <w:t xml:space="preserve">, Valencia, </w:t>
      </w:r>
      <w:proofErr w:type="spellStart"/>
      <w:r>
        <w:rPr>
          <w:rFonts w:ascii="Arial" w:hAnsi="Arial" w:cs="Arial"/>
        </w:rPr>
        <w:t>Torbay</w:t>
      </w:r>
      <w:proofErr w:type="spellEnd"/>
      <w:r>
        <w:rPr>
          <w:rFonts w:ascii="Arial" w:hAnsi="Arial" w:cs="Arial"/>
        </w:rPr>
        <w:t xml:space="preserve">, reforma primárnej ambulantnej starostlivosti v provincii </w:t>
      </w:r>
      <w:proofErr w:type="spellStart"/>
      <w:r>
        <w:rPr>
          <w:rFonts w:ascii="Arial" w:hAnsi="Arial" w:cs="Arial"/>
        </w:rPr>
        <w:t>Ontario</w:t>
      </w:r>
      <w:proofErr w:type="spellEnd"/>
      <w:r>
        <w:rPr>
          <w:rFonts w:ascii="Arial" w:hAnsi="Arial" w:cs="Arial"/>
        </w:rPr>
        <w:t>).</w:t>
      </w:r>
    </w:p>
    <w:p>
      <w:pPr>
        <w:spacing w:after="120"/>
        <w:jc w:val="both"/>
      </w:pPr>
      <w:r>
        <w:rPr>
          <w:rFonts w:ascii="Arial" w:eastAsiaTheme="minorHAnsi" w:hAnsi="Arial" w:cs="Arial"/>
        </w:rPr>
        <w:t>Podpora v oblasti zdravotníctva nadväzuje na stratégiu Európa 2020, ktorej kľúčovou súčasťou je potreba prijatia opatrení na udržanie vysokej kvality zdravého života pre súčasnú aj budúce generácie, ktorých základom sú jedinečné sociálne modely Európy</w:t>
      </w:r>
      <w:r>
        <w:rPr>
          <w:rStyle w:val="Odkaznapoznmkupodiarou"/>
          <w:rFonts w:ascii="Arial" w:eastAsiaTheme="minorHAnsi" w:hAnsi="Arial" w:cs="Arial"/>
        </w:rPr>
        <w:footnoteReference w:id="12"/>
      </w:r>
      <w:r>
        <w:rPr>
          <w:rFonts w:ascii="Arial" w:eastAsiaTheme="minorHAnsi" w:hAnsi="Arial" w:cs="Arial"/>
        </w:rPr>
        <w:t>.</w:t>
      </w:r>
    </w:p>
    <w:p>
      <w:pPr>
        <w:jc w:val="both"/>
        <w:rPr>
          <w:rFonts w:ascii="Arial" w:hAnsi="Arial" w:cs="Arial"/>
          <w:b/>
        </w:rPr>
      </w:pPr>
      <w:r>
        <w:rPr>
          <w:rFonts w:ascii="Arial" w:hAnsi="Arial" w:cs="Arial"/>
          <w:b/>
        </w:rPr>
        <w:t xml:space="preserve">Rozvojové potreby a výzvy v oblasti zdravotnej starostlivosti a spôsob ich riešenia v rámci IROP </w:t>
      </w:r>
    </w:p>
    <w:p>
      <w:pPr>
        <w:jc w:val="both"/>
        <w:rPr>
          <w:rFonts w:ascii="Arial" w:hAnsi="Arial" w:cs="Arial"/>
          <w:b/>
        </w:rPr>
      </w:pPr>
      <w:r>
        <w:rPr>
          <w:rFonts w:ascii="Arial" w:hAnsi="Arial" w:cs="Arial"/>
          <w:b/>
        </w:rPr>
        <w:t>Potreby a výzvy:</w:t>
      </w:r>
    </w:p>
    <w:p>
      <w:pPr>
        <w:pStyle w:val="Odsekzoznamu"/>
        <w:numPr>
          <w:ilvl w:val="0"/>
          <w:numId w:val="33"/>
        </w:numPr>
        <w:jc w:val="both"/>
        <w:rPr>
          <w:rFonts w:ascii="Arial" w:hAnsi="Arial" w:cs="Arial"/>
        </w:rPr>
      </w:pPr>
      <w:r>
        <w:rPr>
          <w:rFonts w:ascii="Arial" w:hAnsi="Arial" w:cs="Arial"/>
        </w:rPr>
        <w:t>nízka efektívnosť slovenského zdravotníctva,</w:t>
      </w:r>
    </w:p>
    <w:p>
      <w:pPr>
        <w:pStyle w:val="Odsekzoznamu"/>
        <w:numPr>
          <w:ilvl w:val="0"/>
          <w:numId w:val="33"/>
        </w:numPr>
        <w:jc w:val="both"/>
        <w:rPr>
          <w:rFonts w:ascii="Arial" w:hAnsi="Arial" w:cs="Arial"/>
        </w:rPr>
      </w:pPr>
      <w:r>
        <w:rPr>
          <w:rFonts w:ascii="Arial" w:hAnsi="Arial" w:cs="Arial"/>
        </w:rPr>
        <w:t>starnutie populácie,</w:t>
      </w:r>
    </w:p>
    <w:p>
      <w:pPr>
        <w:pStyle w:val="Odsekzoznamu"/>
        <w:numPr>
          <w:ilvl w:val="0"/>
          <w:numId w:val="33"/>
        </w:numPr>
        <w:jc w:val="both"/>
        <w:rPr>
          <w:rFonts w:ascii="Arial" w:hAnsi="Arial" w:cs="Arial"/>
        </w:rPr>
      </w:pPr>
      <w:r>
        <w:rPr>
          <w:rFonts w:ascii="Arial" w:hAnsi="Arial" w:cs="Arial"/>
        </w:rPr>
        <w:t>nedostatok kvalifikovaných zdravotníckych pracovníkov v systéme zdravotníctva,</w:t>
      </w:r>
    </w:p>
    <w:p>
      <w:pPr>
        <w:pStyle w:val="Odsekzoznamu"/>
        <w:numPr>
          <w:ilvl w:val="0"/>
          <w:numId w:val="33"/>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pPr>
        <w:pStyle w:val="Odsekzoznamu"/>
        <w:numPr>
          <w:ilvl w:val="0"/>
          <w:numId w:val="33"/>
        </w:numPr>
        <w:spacing w:before="120" w:after="0"/>
        <w:jc w:val="both"/>
        <w:rPr>
          <w:rFonts w:ascii="Arial" w:hAnsi="Arial" w:cs="Arial"/>
        </w:rPr>
      </w:pPr>
      <w:r>
        <w:rPr>
          <w:rFonts w:ascii="Arial" w:hAnsi="Arial" w:cs="Arial"/>
        </w:rPr>
        <w:t>slabá integrácia a veľká atomizácia všeobecných lekárov,</w:t>
      </w:r>
    </w:p>
    <w:p>
      <w:pPr>
        <w:pStyle w:val="Odsekzoznamu"/>
        <w:numPr>
          <w:ilvl w:val="0"/>
          <w:numId w:val="33"/>
        </w:numPr>
        <w:jc w:val="both"/>
        <w:rPr>
          <w:rFonts w:ascii="Arial" w:hAnsi="Arial" w:cs="Arial"/>
        </w:rPr>
      </w:pPr>
      <w:r>
        <w:rPr>
          <w:rFonts w:ascii="Arial" w:hAnsi="Arial" w:cs="Arial"/>
        </w:rPr>
        <w:t>nefungujúca úloha „</w:t>
      </w:r>
      <w:r>
        <w:rPr>
          <w:rFonts w:ascii="Arial" w:hAnsi="Arial" w:cs="Arial"/>
          <w:i/>
        </w:rPr>
        <w:t xml:space="preserve">gate </w:t>
      </w:r>
      <w:proofErr w:type="spellStart"/>
      <w:r>
        <w:rPr>
          <w:rFonts w:ascii="Arial" w:hAnsi="Arial" w:cs="Arial"/>
          <w:i/>
        </w:rPr>
        <w:t>keepera</w:t>
      </w:r>
      <w:proofErr w:type="spellEnd"/>
      <w:r>
        <w:rPr>
          <w:rFonts w:ascii="Arial" w:hAnsi="Arial" w:cs="Arial"/>
        </w:rPr>
        <w:t>“ v primárnej zdravotnej starostlivosti,</w:t>
      </w:r>
    </w:p>
    <w:p>
      <w:pPr>
        <w:pStyle w:val="Odsekzoznamu"/>
        <w:numPr>
          <w:ilvl w:val="0"/>
          <w:numId w:val="33"/>
        </w:numPr>
        <w:jc w:val="both"/>
        <w:rPr>
          <w:rFonts w:ascii="Arial" w:hAnsi="Arial" w:cs="Arial"/>
        </w:rPr>
      </w:pPr>
      <w:r>
        <w:rPr>
          <w:rFonts w:ascii="Arial" w:hAnsi="Arial" w:cs="Arial"/>
        </w:rPr>
        <w:t>nízka úroveň medicínskej prevencie,</w:t>
      </w:r>
    </w:p>
    <w:p>
      <w:pPr>
        <w:pStyle w:val="Odsekzoznamu"/>
        <w:numPr>
          <w:ilvl w:val="0"/>
          <w:numId w:val="33"/>
        </w:numPr>
        <w:jc w:val="both"/>
        <w:rPr>
          <w:rFonts w:ascii="Arial" w:hAnsi="Arial" w:cs="Arial"/>
        </w:rPr>
      </w:pPr>
      <w:r>
        <w:rPr>
          <w:rFonts w:ascii="Arial" w:hAnsi="Arial" w:cs="Arial"/>
        </w:rPr>
        <w:t>nedostatočná štandardizácia postupov liečby a prevencie,</w:t>
      </w:r>
    </w:p>
    <w:p>
      <w:pPr>
        <w:pStyle w:val="Odsekzoznamu"/>
        <w:numPr>
          <w:ilvl w:val="0"/>
          <w:numId w:val="33"/>
        </w:numPr>
        <w:jc w:val="both"/>
        <w:rPr>
          <w:rFonts w:ascii="Arial" w:hAnsi="Arial" w:cs="Arial"/>
        </w:rPr>
      </w:pPr>
      <w:r>
        <w:rPr>
          <w:rFonts w:ascii="Arial" w:hAnsi="Arial" w:cs="Arial"/>
        </w:rPr>
        <w:t>vysoký priemerný počet návštev u lekára v porovnaní s ostatnými krajinami EÚ,</w:t>
      </w:r>
    </w:p>
    <w:p>
      <w:pPr>
        <w:pStyle w:val="Odsekzoznamu"/>
        <w:numPr>
          <w:ilvl w:val="0"/>
          <w:numId w:val="33"/>
        </w:numPr>
        <w:jc w:val="both"/>
        <w:rPr>
          <w:rFonts w:ascii="Arial" w:hAnsi="Arial" w:cs="Arial"/>
        </w:rPr>
      </w:pPr>
      <w:r>
        <w:rPr>
          <w:rFonts w:ascii="Arial" w:hAnsi="Arial" w:cs="Arial"/>
        </w:rPr>
        <w:t>veľký počet akútnych ústavných zdravotníckych zariadení,</w:t>
      </w:r>
    </w:p>
    <w:p>
      <w:pPr>
        <w:pStyle w:val="Odsekzoznamu"/>
        <w:numPr>
          <w:ilvl w:val="0"/>
          <w:numId w:val="33"/>
        </w:numPr>
        <w:jc w:val="both"/>
        <w:rPr>
          <w:rFonts w:ascii="Arial" w:hAnsi="Arial" w:cs="Arial"/>
        </w:rPr>
      </w:pPr>
      <w:r>
        <w:rPr>
          <w:rFonts w:ascii="Arial" w:hAnsi="Arial" w:cs="Arial"/>
        </w:rPr>
        <w:t>nedostatočná regionálna koncentrácia a špecializácia výkonov v akútnych ústavných zdravotníckych zariadeniach,</w:t>
      </w:r>
    </w:p>
    <w:p>
      <w:pPr>
        <w:pStyle w:val="Odsekzoznamu"/>
        <w:numPr>
          <w:ilvl w:val="0"/>
          <w:numId w:val="33"/>
        </w:numPr>
        <w:jc w:val="both"/>
        <w:rPr>
          <w:rFonts w:ascii="Arial" w:hAnsi="Arial" w:cs="Arial"/>
        </w:rPr>
      </w:pPr>
      <w:r>
        <w:rPr>
          <w:rFonts w:ascii="Arial" w:hAnsi="Arial" w:cs="Arial"/>
        </w:rPr>
        <w:lastRenderedPageBreak/>
        <w:t>potreba redukcie neproduktívnych kapacít za účelom zníženia nákladovosti akútnych lôžok,</w:t>
      </w:r>
    </w:p>
    <w:p>
      <w:pPr>
        <w:pStyle w:val="Odsekzoznamu"/>
        <w:numPr>
          <w:ilvl w:val="0"/>
          <w:numId w:val="33"/>
        </w:numPr>
        <w:jc w:val="both"/>
        <w:rPr>
          <w:rFonts w:ascii="Arial" w:hAnsi="Arial" w:cs="Arial"/>
        </w:rPr>
      </w:pPr>
      <w:r>
        <w:rPr>
          <w:rFonts w:ascii="Arial" w:hAnsi="Arial" w:cs="Arial"/>
        </w:rPr>
        <w:t>zlý technický stav objektov zdravotníckej infraštruktúry.</w:t>
      </w:r>
    </w:p>
    <w:p>
      <w:pPr>
        <w:jc w:val="both"/>
        <w:rPr>
          <w:rFonts w:ascii="Arial" w:hAnsi="Arial" w:cs="Arial"/>
          <w:b/>
        </w:rPr>
      </w:pPr>
      <w:r>
        <w:rPr>
          <w:rFonts w:ascii="Arial" w:hAnsi="Arial" w:cs="Arial"/>
          <w:b/>
        </w:rPr>
        <w:t>Opatrenia na riešenie v rámci IROP:</w:t>
      </w:r>
    </w:p>
    <w:p>
      <w:pPr>
        <w:pStyle w:val="Odsekzoznamu"/>
        <w:numPr>
          <w:ilvl w:val="0"/>
          <w:numId w:val="10"/>
        </w:numPr>
        <w:jc w:val="both"/>
        <w:rPr>
          <w:rFonts w:ascii="Arial" w:hAnsi="Arial" w:cs="Arial"/>
        </w:rPr>
      </w:pPr>
      <w:r>
        <w:rPr>
          <w:rFonts w:ascii="Arial" w:hAnsi="Arial" w:cs="Arial"/>
        </w:rPr>
        <w:t xml:space="preserve">podpora reformných systémových riešení, </w:t>
      </w:r>
    </w:p>
    <w:p>
      <w:pPr>
        <w:pStyle w:val="Odsekzoznamu"/>
        <w:numPr>
          <w:ilvl w:val="0"/>
          <w:numId w:val="10"/>
        </w:numPr>
        <w:jc w:val="both"/>
        <w:rPr>
          <w:rFonts w:ascii="Arial" w:hAnsi="Arial" w:cs="Arial"/>
          <w:b/>
        </w:rPr>
      </w:pPr>
      <w:r>
        <w:rPr>
          <w:rFonts w:ascii="Arial" w:hAnsi="Arial" w:cs="Arial"/>
        </w:rPr>
        <w:t>integrácia siete všeobecných lekárov prostredníctvom investícií do Centier integrovanej zdravotnej starostlivosti, ktoré budú dosahovať lepšie výsledky v manažmente liečby pacientov a v efektivite poskytovaných zdravotníckych služieb</w:t>
      </w:r>
    </w:p>
    <w:p>
      <w:pPr>
        <w:pStyle w:val="Odsekzoznamu"/>
        <w:numPr>
          <w:ilvl w:val="0"/>
          <w:numId w:val="10"/>
        </w:numPr>
        <w:jc w:val="both"/>
        <w:rPr>
          <w:rFonts w:ascii="Arial" w:hAnsi="Arial" w:cs="Arial"/>
          <w:b/>
        </w:rPr>
      </w:pPr>
      <w:r>
        <w:rPr>
          <w:rFonts w:ascii="Arial" w:hAnsi="Arial" w:cs="Arial"/>
        </w:rPr>
        <w:t>reformná modernizácia infraštruktúry poskytovateľov akútnej ústavnej zdravotnej starostlivosti za účelom zvýšenie ich produktivity a kvality poskytovaných služieb.</w:t>
      </w:r>
    </w:p>
    <w:p>
      <w:pPr>
        <w:jc w:val="both"/>
        <w:rPr>
          <w:b/>
        </w:rPr>
      </w:pPr>
      <w:r>
        <w:rPr>
          <w:rFonts w:ascii="Arial" w:hAnsi="Arial" w:cs="Arial"/>
        </w:rPr>
        <w:t xml:space="preserve">Intervencie v oblasti primárnej ambulantnej zdravotnej starostlivosti budú realizované koordinovaným spôsobom s intervenciami v oblasti akútnej ústavnej zdravotnej starostlivosti so zámerom prispieť k integrácii služieb,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následne 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w:t>
      </w:r>
      <w:proofErr w:type="spellStart"/>
      <w:r>
        <w:rPr>
          <w:rFonts w:ascii="Arial" w:hAnsi="Arial" w:cs="Arial"/>
        </w:rPr>
        <w:t>multidimenzionálny</w:t>
      </w:r>
      <w:proofErr w:type="spellEnd"/>
      <w:r>
        <w:rPr>
          <w:rFonts w:ascii="Arial" w:hAnsi="Arial" w:cs="Arial"/>
        </w:rPr>
        <w:t xml:space="preserve"> prístup</w:t>
      </w:r>
      <w:r>
        <w:rPr>
          <w:rStyle w:val="Odkaznapoznmkupodiarou"/>
          <w:rFonts w:ascii="Arial" w:hAnsi="Arial" w:cs="Arial"/>
        </w:rPr>
        <w:footnoteReference w:id="13"/>
      </w:r>
      <w:r>
        <w:rPr>
          <w:rFonts w:ascii="Arial" w:hAnsi="Arial" w:cs="Arial"/>
        </w:rPr>
        <w:t xml:space="preserve"> k zdravotnej starostlivosti.</w:t>
      </w:r>
    </w:p>
    <w:p>
      <w:pPr>
        <w:spacing w:after="0"/>
        <w:jc w:val="both"/>
        <w:rPr>
          <w:rFonts w:ascii="Arial" w:hAnsi="Arial" w:cs="Arial"/>
          <w:b/>
        </w:rPr>
      </w:pPr>
    </w:p>
    <w:p>
      <w:pPr>
        <w:shd w:val="clear" w:color="auto" w:fill="D9D9D9" w:themeFill="background1" w:themeFillShade="D9"/>
        <w:jc w:val="both"/>
        <w:rPr>
          <w:rFonts w:ascii="Arial" w:hAnsi="Arial" w:cs="Arial"/>
          <w:b/>
          <w:i/>
        </w:rPr>
      </w:pPr>
      <w:r>
        <w:rPr>
          <w:rFonts w:ascii="Arial" w:hAnsi="Arial" w:cs="Arial"/>
          <w:b/>
          <w:i/>
        </w:rPr>
        <w:t xml:space="preserve">Rozvoj ľudských zdrojov v kontexte </w:t>
      </w:r>
      <w:proofErr w:type="spellStart"/>
      <w:r>
        <w:rPr>
          <w:rFonts w:ascii="Arial" w:hAnsi="Arial" w:cs="Arial"/>
          <w:b/>
          <w:i/>
        </w:rPr>
        <w:t>predprimárneho</w:t>
      </w:r>
      <w:proofErr w:type="spellEnd"/>
      <w:r>
        <w:rPr>
          <w:rFonts w:ascii="Arial" w:hAnsi="Arial" w:cs="Arial"/>
          <w:b/>
          <w:i/>
        </w:rPr>
        <w:t xml:space="preserve">, základného a stredného vzdelávania </w:t>
      </w:r>
    </w:p>
    <w:p>
      <w:pPr>
        <w:spacing w:after="0"/>
        <w:jc w:val="both"/>
        <w:rPr>
          <w:rFonts w:ascii="Arial" w:hAnsi="Arial" w:cs="Arial"/>
        </w:rPr>
      </w:pPr>
      <w:r>
        <w:rPr>
          <w:rFonts w:ascii="Arial" w:hAnsi="Arial" w:cs="Arial"/>
        </w:rPr>
        <w:t>Infraštruktúra vzdelávania najmä v </w:t>
      </w:r>
      <w:proofErr w:type="spellStart"/>
      <w:r>
        <w:rPr>
          <w:rFonts w:ascii="Arial" w:hAnsi="Arial" w:cs="Arial"/>
        </w:rPr>
        <w:t>predprimárnom</w:t>
      </w:r>
      <w:proofErr w:type="spellEnd"/>
      <w:r>
        <w:rPr>
          <w:rFonts w:ascii="Arial" w:hAnsi="Arial" w:cs="Arial"/>
        </w:rPr>
        <w:t xml:space="preserve">, primárnom vzdelávaní a odbornom vzdelávaní a príprave vytvára predpoklady pre dlhodobý rast a konkurencieschopnosť všetkých typov regiónov SR a rozvoj ľudských zdrojov a sociálneho kapitálu je jednou z prioritných oblastí Národnej stratégie regionálneho rozvoja SR. </w:t>
      </w:r>
      <w:r>
        <w:rPr>
          <w:rFonts w:ascii="Arial" w:hAnsi="Arial" w:cs="Arial"/>
          <w:lang w:eastAsia="sk-SK"/>
        </w:rPr>
        <w:t>V zmysle NPR SR 2013 a Pozičného dokumentu EK musia investície do oblasti vzdelávania prispievať k integrácii osôb so zdravotným postihnutím (</w:t>
      </w:r>
      <w:proofErr w:type="spellStart"/>
      <w:r>
        <w:rPr>
          <w:rFonts w:ascii="Arial" w:hAnsi="Arial" w:cs="Arial"/>
          <w:lang w:eastAsia="sk-SK"/>
        </w:rPr>
        <w:t>inkluzívne</w:t>
      </w:r>
      <w:proofErr w:type="spellEnd"/>
      <w:r>
        <w:rPr>
          <w:rFonts w:ascii="Arial" w:hAnsi="Arial" w:cs="Arial"/>
          <w:lang w:eastAsia="sk-SK"/>
        </w:rPr>
        <w:t xml:space="preserve"> vzdelávanie) na všetkých stupňoch vzdelávania</w:t>
      </w:r>
      <w:r>
        <w:rPr>
          <w:rFonts w:ascii="Arial" w:hAnsi="Arial" w:cs="Arial"/>
          <w:i/>
          <w:lang w:eastAsia="sk-SK"/>
        </w:rPr>
        <w:t>.</w:t>
      </w:r>
    </w:p>
    <w:p>
      <w:pPr>
        <w:spacing w:after="0"/>
        <w:jc w:val="both"/>
        <w:rPr>
          <w:rFonts w:ascii="Arial" w:hAnsi="Arial" w:cs="Arial"/>
          <w:b/>
        </w:rPr>
      </w:pPr>
    </w:p>
    <w:p>
      <w:pPr>
        <w:spacing w:after="0"/>
        <w:jc w:val="both"/>
        <w:rPr>
          <w:rFonts w:ascii="Arial" w:hAnsi="Arial" w:cs="Arial"/>
          <w:b/>
        </w:rPr>
      </w:pPr>
      <w:proofErr w:type="spellStart"/>
      <w:r>
        <w:rPr>
          <w:rFonts w:ascii="Arial" w:hAnsi="Arial" w:cs="Arial"/>
          <w:b/>
        </w:rPr>
        <w:t>Predprimárne</w:t>
      </w:r>
      <w:proofErr w:type="spellEnd"/>
      <w:r>
        <w:rPr>
          <w:rFonts w:ascii="Arial" w:hAnsi="Arial" w:cs="Arial"/>
          <w:b/>
        </w:rPr>
        <w:t xml:space="preserve"> vzdelávanie </w:t>
      </w:r>
    </w:p>
    <w:p>
      <w:pPr>
        <w:spacing w:before="240" w:after="0"/>
        <w:jc w:val="both"/>
        <w:rPr>
          <w:rFonts w:ascii="Arial" w:hAnsi="Arial" w:cs="Arial"/>
        </w:rPr>
      </w:pPr>
      <w:r>
        <w:rPr>
          <w:rFonts w:ascii="Arial" w:hAnsi="Arial" w:cs="Arial"/>
        </w:rPr>
        <w:t xml:space="preserve">Podpora </w:t>
      </w:r>
      <w:proofErr w:type="spellStart"/>
      <w:r>
        <w:rPr>
          <w:rFonts w:ascii="Arial" w:hAnsi="Arial" w:cs="Arial"/>
        </w:rPr>
        <w:t>predprimárneho</w:t>
      </w:r>
      <w:proofErr w:type="spellEnd"/>
      <w:r>
        <w:rPr>
          <w:rFonts w:ascii="Arial" w:hAnsi="Arial" w:cs="Arial"/>
        </w:rPr>
        <w:t xml:space="preserve"> vzdelávania je prepojená s </w:t>
      </w:r>
      <w:proofErr w:type="spellStart"/>
      <w:r>
        <w:rPr>
          <w:rFonts w:ascii="Arial" w:hAnsi="Arial" w:cs="Arial"/>
        </w:rPr>
        <w:t>inkluzívnym</w:t>
      </w:r>
      <w:proofErr w:type="spellEnd"/>
      <w:r>
        <w:rPr>
          <w:rFonts w:ascii="Arial" w:hAnsi="Arial" w:cs="Arial"/>
        </w:rPr>
        <w:t xml:space="preserve"> rastom stratégie Európa 2020 v jej hlavnej iniciatíve „</w:t>
      </w:r>
      <w:r>
        <w:rPr>
          <w:rFonts w:ascii="Arial" w:hAnsi="Arial" w:cs="Arial"/>
          <w:i/>
        </w:rPr>
        <w:t>Program pre nové zručnosti a nové pracovné miesta</w:t>
      </w:r>
      <w:r>
        <w:rPr>
          <w:rFonts w:ascii="Arial" w:hAnsi="Arial" w:cs="Arial"/>
        </w:rPr>
        <w:t>“. Jednou z úloh programu je „</w:t>
      </w:r>
      <w:r>
        <w:rPr>
          <w:rFonts w:ascii="Arial" w:hAnsi="Arial" w:cs="Arial"/>
          <w:i/>
        </w:rPr>
        <w:t>...uľahčiť zosúladenie profesionálneho a rodinného života</w:t>
      </w:r>
      <w:r>
        <w:rPr>
          <w:rFonts w:ascii="Arial" w:hAnsi="Arial" w:cs="Arial"/>
        </w:rPr>
        <w:t xml:space="preserve">“. V rámci definovania cieľov v oblasti vzdelávania do roku 2020 EK stanovila, že aspoň 95 % detí vo veku od štyroch rokov do veku, v ktorom majú začať povinnú školskú dochádzku, by sa malo zúčastniť </w:t>
      </w:r>
      <w:proofErr w:type="spellStart"/>
      <w:r>
        <w:rPr>
          <w:rFonts w:ascii="Arial" w:hAnsi="Arial" w:cs="Arial"/>
        </w:rPr>
        <w:t>predprimárneho</w:t>
      </w:r>
      <w:proofErr w:type="spellEnd"/>
      <w:r>
        <w:rPr>
          <w:rFonts w:ascii="Arial" w:hAnsi="Arial" w:cs="Arial"/>
        </w:rPr>
        <w:t xml:space="preserve"> vzdelávania. Podpora </w:t>
      </w:r>
      <w:proofErr w:type="spellStart"/>
      <w:r>
        <w:rPr>
          <w:rFonts w:ascii="Arial" w:hAnsi="Arial" w:cs="Arial"/>
        </w:rPr>
        <w:t>predprimárneho</w:t>
      </w:r>
      <w:proofErr w:type="spellEnd"/>
      <w:r>
        <w:rPr>
          <w:rFonts w:ascii="Arial" w:hAnsi="Arial" w:cs="Arial"/>
        </w:rPr>
        <w:t xml:space="preserve"> vzdelávania je z pohľadu podpory účasti žien na trhu práce obsiahnutá aj v NPR SR 2013: „</w:t>
      </w:r>
      <w:r>
        <w:rPr>
          <w:rFonts w:ascii="Arial" w:hAnsi="Arial" w:cs="Arial"/>
          <w:i/>
        </w:rPr>
        <w:t>Rozšíria sa najmä existujúce formy výchovy a vzdelávania o prípravné triedy materskej školy. V spolupráci so zriaďovateľmi materských škôl sa budú naďalej upravovať kapacity materských škôl tak, aby naplnili vyššie uvedený cieľ</w:t>
      </w:r>
      <w:r>
        <w:rPr>
          <w:rFonts w:ascii="Arial" w:hAnsi="Arial" w:cs="Arial"/>
        </w:rPr>
        <w:t xml:space="preserve">“. </w:t>
      </w:r>
      <w:r>
        <w:rPr>
          <w:rFonts w:ascii="Arial" w:hAnsi="Arial" w:cs="Arial"/>
        </w:rPr>
        <w:lastRenderedPageBreak/>
        <w:t xml:space="preserve">Čiastkovým cieľom v oblasti </w:t>
      </w:r>
      <w:proofErr w:type="spellStart"/>
      <w:r>
        <w:rPr>
          <w:rFonts w:ascii="Arial" w:hAnsi="Arial" w:cs="Arial"/>
        </w:rPr>
        <w:t>predprimárneho</w:t>
      </w:r>
      <w:proofErr w:type="spellEnd"/>
      <w:r>
        <w:rPr>
          <w:rFonts w:ascii="Arial" w:hAnsi="Arial" w:cs="Arial"/>
        </w:rPr>
        <w:t xml:space="preserve"> vzdelávania v Správe o stave školstva na Slovensku 2013 je „</w:t>
      </w:r>
      <w:r>
        <w:rPr>
          <w:rFonts w:ascii="Arial" w:hAnsi="Arial" w:cs="Arial"/>
          <w:i/>
        </w:rPr>
        <w:t>vytváranie kapacitného a technického vybavenia materských škôl</w:t>
      </w:r>
      <w:r>
        <w:rPr>
          <w:rFonts w:ascii="Arial" w:hAnsi="Arial" w:cs="Arial"/>
        </w:rPr>
        <w:t xml:space="preserve">“. </w:t>
      </w:r>
    </w:p>
    <w:p>
      <w:pPr>
        <w:spacing w:before="240" w:after="0"/>
        <w:jc w:val="both"/>
        <w:rPr>
          <w:rFonts w:ascii="Arial" w:hAnsi="Arial" w:cs="Arial"/>
        </w:rPr>
      </w:pPr>
      <w:proofErr w:type="spellStart"/>
      <w:r>
        <w:rPr>
          <w:rFonts w:ascii="Arial" w:hAnsi="Arial" w:cs="Arial"/>
        </w:rPr>
        <w:t>Predprimárne</w:t>
      </w:r>
      <w:proofErr w:type="spellEnd"/>
      <w:r>
        <w:rPr>
          <w:rFonts w:ascii="Arial" w:hAnsi="Arial" w:cs="Arial"/>
        </w:rPr>
        <w:t xml:space="preserve"> vzdelávanie je výchova a vzdelávanie poskytované deťom vo veku od 3 do 5 rokov veku dieťaťa. </w:t>
      </w:r>
      <w:r>
        <w:rPr>
          <w:rFonts w:ascii="Arial" w:hAnsi="Arial" w:cs="Arial"/>
          <w:b/>
        </w:rPr>
        <w:t xml:space="preserve">V súčasnosti neexistuje dostatočná dostupnosť kvalitných a cenovo prístupných zariadení starostlivosti o deti v predškolskom veku, čo znižuje celkovú </w:t>
      </w:r>
      <w:proofErr w:type="spellStart"/>
      <w:r>
        <w:rPr>
          <w:rFonts w:ascii="Arial" w:hAnsi="Arial" w:cs="Arial"/>
          <w:b/>
        </w:rPr>
        <w:t>zaškolenosť</w:t>
      </w:r>
      <w:proofErr w:type="spellEnd"/>
      <w:r>
        <w:rPr>
          <w:rFonts w:ascii="Arial" w:hAnsi="Arial" w:cs="Arial"/>
          <w:b/>
        </w:rPr>
        <w:t xml:space="preserve"> detí, a tým sa vytvárajú bariéry pre návrat žien po materskej dovolenke na trh práce, zároveň sa tak limituje využívanie predškolského vzdelávania k vytváraniu študijných schopností a sociálnej integrácie detí</w:t>
      </w:r>
      <w:r>
        <w:rPr>
          <w:rFonts w:ascii="Arial" w:hAnsi="Arial" w:cs="Arial"/>
        </w:rPr>
        <w:t>.</w:t>
      </w:r>
    </w:p>
    <w:p>
      <w:pPr>
        <w:pStyle w:val="Default"/>
        <w:spacing w:before="240" w:line="276" w:lineRule="auto"/>
        <w:jc w:val="both"/>
        <w:rPr>
          <w:rFonts w:ascii="Arial" w:hAnsi="Arial" w:cs="Arial"/>
          <w:color w:val="auto"/>
          <w:sz w:val="22"/>
          <w:szCs w:val="22"/>
        </w:rPr>
      </w:pPr>
      <w:r>
        <w:rPr>
          <w:rFonts w:ascii="Arial" w:hAnsi="Arial" w:cs="Arial"/>
          <w:color w:val="auto"/>
          <w:sz w:val="22"/>
          <w:szCs w:val="22"/>
        </w:rPr>
        <w:t xml:space="preserve">Pomer detí v materských školách </w:t>
      </w:r>
      <w:r>
        <w:t>(</w:t>
      </w:r>
      <w:r>
        <w:rPr>
          <w:rFonts w:ascii="Arial" w:hAnsi="Arial" w:cs="Arial"/>
          <w:color w:val="auto"/>
          <w:sz w:val="22"/>
          <w:szCs w:val="22"/>
        </w:rPr>
        <w:t xml:space="preserve">ďalej iba „MŠ“) k populácii 3- až 5-ročných detí (hrubá </w:t>
      </w:r>
      <w:proofErr w:type="spellStart"/>
      <w:r>
        <w:rPr>
          <w:rFonts w:ascii="Arial" w:hAnsi="Arial" w:cs="Arial"/>
          <w:color w:val="auto"/>
          <w:sz w:val="22"/>
          <w:szCs w:val="22"/>
        </w:rPr>
        <w:t>zaškolenosť</w:t>
      </w:r>
      <w:proofErr w:type="spellEnd"/>
      <w:r>
        <w:rPr>
          <w:rFonts w:ascii="Arial" w:hAnsi="Arial" w:cs="Arial"/>
          <w:color w:val="auto"/>
          <w:sz w:val="22"/>
          <w:szCs w:val="22"/>
        </w:rPr>
        <w:t xml:space="preserve">) sa postupnou revitalizáciou MŠ dostal v roku 2003 nad úroveň 90%. Od roku 2000 sa výrazne menil. Najvyššia hrubá </w:t>
      </w:r>
      <w:proofErr w:type="spellStart"/>
      <w:r>
        <w:rPr>
          <w:rFonts w:ascii="Arial" w:hAnsi="Arial" w:cs="Arial"/>
          <w:color w:val="auto"/>
          <w:sz w:val="22"/>
          <w:szCs w:val="22"/>
        </w:rPr>
        <w:t>zaškolenosť</w:t>
      </w:r>
      <w:proofErr w:type="spellEnd"/>
      <w:r>
        <w:rPr>
          <w:rFonts w:ascii="Arial" w:hAnsi="Arial" w:cs="Arial"/>
          <w:color w:val="auto"/>
          <w:sz w:val="22"/>
          <w:szCs w:val="22"/>
        </w:rPr>
        <w:t xml:space="preserve"> bola v rokoch 2004 – 93% a v 2006 – 92 %. V súčasnosti je na úrovni 87,70% (údaj k 2013). </w:t>
      </w:r>
      <w:r>
        <w:rPr>
          <w:rFonts w:ascii="Arial" w:hAnsi="Arial" w:cs="Arial"/>
          <w:b/>
          <w:color w:val="auto"/>
          <w:sz w:val="22"/>
          <w:szCs w:val="22"/>
        </w:rPr>
        <w:t>V medzinárodnom porovnaní SR vykazuje nižšiu účasť na predškolskej výchove ako je priemer krajín EÚ.</w:t>
      </w:r>
      <w:r>
        <w:t xml:space="preserve"> </w:t>
      </w:r>
      <w:r>
        <w:rPr>
          <w:rFonts w:ascii="Arial" w:hAnsi="Arial" w:cs="Arial"/>
          <w:color w:val="auto"/>
          <w:sz w:val="22"/>
          <w:szCs w:val="22"/>
        </w:rPr>
        <w:t xml:space="preserve">V podmienkach SR funguje systém </w:t>
      </w:r>
      <w:proofErr w:type="spellStart"/>
      <w:r>
        <w:rPr>
          <w:rFonts w:ascii="Arial" w:hAnsi="Arial" w:cs="Arial"/>
          <w:color w:val="auto"/>
          <w:sz w:val="22"/>
          <w:szCs w:val="22"/>
        </w:rPr>
        <w:t>predprimárneho</w:t>
      </w:r>
      <w:proofErr w:type="spellEnd"/>
      <w:r>
        <w:rPr>
          <w:rFonts w:ascii="Arial" w:hAnsi="Arial" w:cs="Arial"/>
          <w:color w:val="auto"/>
          <w:sz w:val="22"/>
          <w:szCs w:val="22"/>
        </w:rPr>
        <w:t xml:space="preserve"> vzdelávania vrátane vplyvu detí pochádzajúcich zo sociálne znevýhodneného prostredia na výšku miery hrubej </w:t>
      </w:r>
      <w:proofErr w:type="spellStart"/>
      <w:r>
        <w:rPr>
          <w:rFonts w:ascii="Arial" w:hAnsi="Arial" w:cs="Arial"/>
          <w:color w:val="auto"/>
          <w:sz w:val="22"/>
          <w:szCs w:val="22"/>
        </w:rPr>
        <w:t>zaškolenosti</w:t>
      </w:r>
      <w:proofErr w:type="spellEnd"/>
      <w:r>
        <w:rPr>
          <w:rFonts w:ascii="Arial" w:hAnsi="Arial" w:cs="Arial"/>
          <w:color w:val="auto"/>
          <w:sz w:val="22"/>
          <w:szCs w:val="22"/>
        </w:rPr>
        <w:t>.</w:t>
      </w:r>
    </w:p>
    <w:p>
      <w:pPr>
        <w:spacing w:before="240" w:after="0"/>
        <w:jc w:val="both"/>
        <w:rPr>
          <w:rFonts w:ascii="Arial" w:hAnsi="Arial" w:cs="Arial"/>
        </w:rPr>
      </w:pPr>
      <w:r>
        <w:rPr>
          <w:rFonts w:ascii="Arial" w:hAnsi="Arial" w:cs="Arial"/>
        </w:rPr>
        <w:t>V ostatných štyroch rokoch však pri náraste populácie 3 až 5-ročných o 13,5 tisíc poklesol počet tried MŠ o 10. Dôsledkom toho je zvýšená naplnenosť škôl. V súčasnosti sú existujúce triedy maximálne vyťažené a počet nevybavených žiadostí o prijatie do MŠ sa 9-násobne zvýšil (na 9 682 nevybavených žiadostí v roku 2013) v porovnaní s rokom 2006 (1 074 žiadostí). Odhad do roku 2016 nasvedčuje zvyšovaniu počtu nevybavených žiadostí. MŠ vzhľadom na ich kapacity nestačia uspokojiť všetky požiadavky.</w:t>
      </w:r>
    </w:p>
    <w:p>
      <w:pPr>
        <w:spacing w:before="240" w:after="0"/>
        <w:jc w:val="both"/>
        <w:rPr>
          <w:rFonts w:ascii="Arial" w:hAnsi="Arial" w:cs="Arial"/>
        </w:rPr>
      </w:pPr>
      <w:r>
        <w:rPr>
          <w:rFonts w:ascii="Arial" w:hAnsi="Arial" w:cs="Arial"/>
        </w:rPr>
        <w:t>V roku 2013 bolo evidovaných 7 525,5 tried v 2 870 MŠ. Pri zvyšujúcom sa počte detí prijatých do MŠ, ako aj pri zvyšujúcom sa počte nevybavených žiadostí o prijatí detí do MŠ sa zriaďovatelia snažia nepriaznivú situáciu pri prijímaní detí riešiť rozširovaním kapacít už existujúcich MŠ, prípadne adaptáciou vhodných priestorov na triedy MŠ. Potreba tried v nadväznosti na počet nevybavených žiadostí k 15. 9. 2013 podľa regiónov je znázornená v prílohe 12.19. Na základe prognózy (podrobnejšie v prílohe č. 12. 20) bude v najbližších rokoch výrazne najväčšia potreba rozširovania kapacít MŠ jednoznačne v Bratislavskom kraji, ďalej v Žilinskom a Košickom kraji. V ostatných krajoch sa taktiež predpokladá s potrebou rozširovania kapacít MŠ, avšak s výrazne nižšou ako v uvedených troch krajoch.</w:t>
      </w:r>
    </w:p>
    <w:p>
      <w:pPr>
        <w:spacing w:after="0" w:line="240" w:lineRule="auto"/>
        <w:jc w:val="both"/>
        <w:rPr>
          <w:rFonts w:ascii="Arial" w:hAnsi="Arial" w:cs="Arial"/>
        </w:rPr>
      </w:pPr>
    </w:p>
    <w:p>
      <w:pPr>
        <w:jc w:val="both"/>
        <w:rPr>
          <w:rFonts w:ascii="Arial" w:hAnsi="Arial" w:cs="Arial"/>
          <w:b/>
        </w:rPr>
      </w:pPr>
      <w:r>
        <w:rPr>
          <w:rFonts w:ascii="Arial" w:hAnsi="Arial" w:cs="Arial"/>
          <w:b/>
        </w:rPr>
        <w:t>Základné vzdelávanie</w:t>
      </w:r>
    </w:p>
    <w:p>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vytvorenie hospodárstva založeného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w:t>
      </w:r>
      <w:r>
        <w:rPr>
          <w:rFonts w:eastAsia="Trebuchet MS"/>
          <w:i/>
          <w:sz w:val="22"/>
          <w:szCs w:val="22"/>
          <w:lang w:eastAsia="en-US"/>
        </w:rPr>
        <w:t>Mládež v</w:t>
      </w:r>
      <w:r>
        <w:rPr>
          <w:rFonts w:eastAsia="Trebuchet MS"/>
          <w:sz w:val="22"/>
          <w:szCs w:val="22"/>
          <w:lang w:eastAsia="en-US"/>
        </w:rPr>
        <w:t> </w:t>
      </w:r>
      <w:r>
        <w:rPr>
          <w:rFonts w:eastAsia="Trebuchet MS"/>
          <w:i/>
          <w:sz w:val="22"/>
          <w:szCs w:val="22"/>
          <w:lang w:eastAsia="en-US"/>
        </w:rPr>
        <w:t>pohybe</w:t>
      </w:r>
      <w:r>
        <w:rPr>
          <w:rFonts w:eastAsia="Trebuchet MS"/>
          <w:sz w:val="22"/>
          <w:szCs w:val="22"/>
          <w:lang w:eastAsia="en-US"/>
        </w:rPr>
        <w:t xml:space="preserve">“. </w:t>
      </w:r>
      <w:r>
        <w:rPr>
          <w:sz w:val="22"/>
          <w:szCs w:val="22"/>
        </w:rPr>
        <w:t>V špecifickom odporúčaní Rady č. 4 k NPR SR 2013 sa uvádza: „</w:t>
      </w:r>
      <w:r>
        <w:rPr>
          <w:i/>
          <w:sz w:val="22"/>
          <w:szCs w:val="22"/>
        </w:rPr>
        <w:t>Zintenzívniť úsilie o zlepšenie prístupu k vysoko kvalitnému a </w:t>
      </w:r>
      <w:proofErr w:type="spellStart"/>
      <w:r>
        <w:rPr>
          <w:i/>
          <w:sz w:val="22"/>
          <w:szCs w:val="22"/>
        </w:rPr>
        <w:t>inkluzívnemu</w:t>
      </w:r>
      <w:proofErr w:type="spellEnd"/>
      <w:r>
        <w:rPr>
          <w:i/>
          <w:sz w:val="22"/>
          <w:szCs w:val="22"/>
        </w:rPr>
        <w:t xml:space="preserve"> predškolskému a školskému vzdelávaniu...</w:t>
      </w:r>
      <w:r>
        <w:rPr>
          <w:sz w:val="22"/>
          <w:szCs w:val="22"/>
        </w:rPr>
        <w:t>“. Pozičný dokument EK pri podpore vzdelávania odporúča SR „</w:t>
      </w:r>
      <w:r>
        <w:rPr>
          <w:i/>
          <w:sz w:val="22"/>
          <w:szCs w:val="22"/>
        </w:rPr>
        <w:t>Zvýšiť účasť dospelých na celoživotnom vzdelávaní</w:t>
      </w:r>
      <w:r>
        <w:rPr>
          <w:sz w:val="22"/>
          <w:szCs w:val="22"/>
        </w:rPr>
        <w:t>“.</w:t>
      </w:r>
    </w:p>
    <w:p>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základných škôl (ďalej iba „ZŠ“) a školských zariadení zaradených 2 159 ZŠ a vzdeláva sa v nich 427 377 žiakov v 23 146 triedach</w:t>
      </w:r>
      <w:r>
        <w:rPr>
          <w:rStyle w:val="Odkaznapoznmkupodiarou"/>
          <w:sz w:val="22"/>
          <w:szCs w:val="22"/>
        </w:rPr>
        <w:footnoteReference w:id="14"/>
      </w:r>
      <w:r>
        <w:rPr>
          <w:sz w:val="22"/>
          <w:szCs w:val="22"/>
        </w:rPr>
        <w:t xml:space="preserve">. K 15. 9. 2013 mal najnižší počet </w:t>
      </w:r>
      <w:r>
        <w:rPr>
          <w:sz w:val="22"/>
          <w:szCs w:val="22"/>
        </w:rPr>
        <w:lastRenderedPageBreak/>
        <w:t>žiakov ZŠ Bratislavský, Trnavský kraj a Trenčiansky kraj, najvyšší bol zaznamenaný v Košickom a Prešovskom kraji (podrobnejšie údaje sú uvedené v prílohe č. 12.21).</w:t>
      </w:r>
    </w:p>
    <w:p>
      <w:pPr>
        <w:pStyle w:val="Style38"/>
        <w:widowControl/>
        <w:tabs>
          <w:tab w:val="left" w:pos="826"/>
        </w:tabs>
        <w:spacing w:before="134" w:after="240" w:line="276" w:lineRule="auto"/>
        <w:ind w:firstLine="0"/>
        <w:rPr>
          <w:sz w:val="22"/>
          <w:szCs w:val="22"/>
        </w:rPr>
      </w:pPr>
      <w:r>
        <w:rPr>
          <w:sz w:val="22"/>
          <w:szCs w:val="22"/>
        </w:rPr>
        <w:t>Celkový počet žiakov ZŠ klesne v priebehu roka 2014, a to na úroveň 425,3 tisíc žiakov. V nasledujúcej rastovej fáze sa počet zvýši o 9%, v roku 2023 by malo byť v ZŠ celkovo 465 tisíc žiakov.</w:t>
      </w:r>
    </w:p>
    <w:p>
      <w:pPr>
        <w:spacing w:after="240"/>
        <w:jc w:val="both"/>
        <w:rPr>
          <w:rFonts w:ascii="Arial" w:hAnsi="Arial" w:cs="Arial"/>
          <w:lang w:eastAsia="sk-SK"/>
        </w:rPr>
      </w:pPr>
      <w:r>
        <w:rPr>
          <w:rFonts w:ascii="Arial" w:hAnsi="Arial" w:cs="Arial"/>
          <w:lang w:eastAsia="sk-SK"/>
        </w:rPr>
        <w:t xml:space="preserve">ZŠ zaradené do siete škôl a školských zariadení využívajú 33 294 učební, z ktorých 437 nevyhovuje hygienickým požiadavkám (stav k 15. 09. 2013, Centrum vedecko-technických informácií SR). </w:t>
      </w:r>
    </w:p>
    <w:p>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 xml:space="preserve">Žiaci ZŠ disponujú nízkou </w:t>
      </w:r>
      <w:r>
        <w:rPr>
          <w:rFonts w:eastAsia="Trebuchet MS"/>
          <w:b/>
          <w:sz w:val="22"/>
          <w:szCs w:val="22"/>
          <w:lang w:eastAsia="en-US"/>
        </w:rPr>
        <w:t>jazykovou gramotnosťou</w:t>
      </w:r>
      <w:r>
        <w:rPr>
          <w:rStyle w:val="Odkaznapoznmkupodiarou"/>
          <w:rFonts w:eastAsia="Trebuchet MS"/>
          <w:sz w:val="22"/>
          <w:szCs w:val="22"/>
          <w:lang w:eastAsia="en-US"/>
        </w:rPr>
        <w:footnoteReference w:id="15"/>
      </w:r>
      <w:r>
        <w:rPr>
          <w:rFonts w:eastAsia="Trebuchet MS"/>
          <w:sz w:val="22"/>
          <w:szCs w:val="22"/>
          <w:lang w:eastAsia="en-US"/>
        </w:rPr>
        <w:t xml:space="preserve"> (výsledky Monitor 9). V meraní PISA 2012 v každej oblasti (matematická, prírodovedná, čitateľská) došlo k výraznému poklesu výkonu slovenských žiakov. Prvýkrát sú výsledky vo vyššie uvedených oblastiach výrazne nižšie ako je priemer OECD. V </w:t>
      </w:r>
      <w:r>
        <w:rPr>
          <w:rFonts w:eastAsia="Trebuchet MS"/>
          <w:b/>
          <w:sz w:val="22"/>
          <w:szCs w:val="22"/>
          <w:lang w:eastAsia="en-US"/>
        </w:rPr>
        <w:t>matematickej gramotnosti</w:t>
      </w:r>
      <w:r>
        <w:rPr>
          <w:rFonts w:eastAsia="Trebuchet MS"/>
          <w:sz w:val="22"/>
          <w:szCs w:val="22"/>
          <w:lang w:eastAsia="en-US"/>
        </w:rPr>
        <w:t xml:space="preserve"> sa vo výsledkoch žiakov SR prejavil medziročný pokles (PISA 2009 a 2012) o 15 bodov,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o</w:t>
      </w:r>
      <w:r>
        <w:rPr>
          <w:rFonts w:eastAsia="Trebuchet MS"/>
          <w:bCs/>
          <w:sz w:val="22"/>
          <w:szCs w:val="22"/>
          <w:lang w:eastAsia="en-US"/>
        </w:rPr>
        <w:t xml:space="preserve">proti roku 2009 sa </w:t>
      </w:r>
      <w:r>
        <w:rPr>
          <w:rFonts w:eastAsia="Trebuchet MS"/>
          <w:sz w:val="22"/>
          <w:szCs w:val="22"/>
          <w:lang w:eastAsia="en-US"/>
        </w:rPr>
        <w:t xml:space="preserve">priemerný výkon našich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Až 28,2% žiakov sa zaradilo do rizikovej skupiny, teda títo žiaci nedisponujú ani najzákladnejšími čitateľskými zručnosťami. V </w:t>
      </w:r>
      <w:r>
        <w:rPr>
          <w:rFonts w:eastAsia="Trebuchet MS"/>
          <w:b/>
          <w:sz w:val="22"/>
          <w:szCs w:val="22"/>
          <w:lang w:eastAsia="en-US"/>
        </w:rPr>
        <w:t>prírodovednej gramotnosti</w:t>
      </w:r>
      <w:r>
        <w:rPr>
          <w:rFonts w:eastAsia="Trebuchet MS"/>
          <w:sz w:val="22"/>
          <w:szCs w:val="22"/>
          <w:lang w:eastAsia="en-US"/>
        </w:rPr>
        <w:t xml:space="preserve"> sa výkon žiakov sa nachádza </w:t>
      </w:r>
      <w:r>
        <w:rPr>
          <w:rFonts w:eastAsia="Trebuchet MS"/>
          <w:bCs/>
          <w:sz w:val="22"/>
          <w:szCs w:val="22"/>
          <w:lang w:eastAsia="en-US"/>
        </w:rPr>
        <w:t>pod priemerom zúčastnených krajín OECD</w:t>
      </w:r>
      <w:r>
        <w:rPr>
          <w:rFonts w:eastAsia="Trebuchet MS"/>
          <w:sz w:val="22"/>
          <w:szCs w:val="22"/>
          <w:lang w:eastAsia="en-US"/>
        </w:rPr>
        <w:t xml:space="preserve">. Už v predchádzajúcich cykloch PISA (2006 a 2009) boli výkony žiakov SR pod úrovňou priemeru krajín OECD, v meraní PISA </w:t>
      </w:r>
      <w:r>
        <w:rPr>
          <w:rFonts w:eastAsia="Trebuchet MS"/>
          <w:bCs/>
          <w:sz w:val="22"/>
          <w:szCs w:val="22"/>
          <w:lang w:eastAsia="en-US"/>
        </w:rPr>
        <w:t>2012</w:t>
      </w:r>
      <w:r>
        <w:rPr>
          <w:rFonts w:eastAsia="Trebuchet MS"/>
          <w:sz w:val="22"/>
          <w:szCs w:val="22"/>
          <w:lang w:eastAsia="en-US"/>
        </w:rPr>
        <w:t xml:space="preserve"> dosiahli žiaci dokonca </w:t>
      </w:r>
      <w:r>
        <w:rPr>
          <w:rFonts w:eastAsia="Trebuchet MS"/>
          <w:bCs/>
          <w:sz w:val="22"/>
          <w:szCs w:val="22"/>
          <w:lang w:eastAsia="en-US"/>
        </w:rPr>
        <w:t>o 19 bodov nižší priemerný výsledok ako v roku 2009.</w:t>
      </w:r>
      <w:r>
        <w:rPr>
          <w:rFonts w:eastAsia="Trebuchet MS"/>
          <w:sz w:val="22"/>
          <w:szCs w:val="22"/>
          <w:lang w:eastAsia="en-US"/>
        </w:rPr>
        <w:t> Meranie PISA 2012 potvrdilo skutočnosť, že výkon slovenských žiakov je silno prepojený s ich sociálno-ekonomickým statusom.</w:t>
      </w:r>
    </w:p>
    <w:p>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Testovanie žiakov 9. ročníka ZŠ (Monitor 9) z jazykovej gramotnosti v šk. roku 2010/2011 bol vyhodnotený priemernou úspešnosťou 58,2%, v nasledujúcom šk. roku 2011/2012 dosiahol úspešnosť 54,5%.</w:t>
      </w:r>
    </w:p>
    <w:p>
      <w:pPr>
        <w:pStyle w:val="Style38"/>
        <w:widowControl/>
        <w:tabs>
          <w:tab w:val="left" w:pos="826"/>
        </w:tabs>
        <w:spacing w:line="276" w:lineRule="auto"/>
        <w:ind w:firstLine="0"/>
      </w:pPr>
      <w:r>
        <w:rPr>
          <w:sz w:val="22"/>
          <w:szCs w:val="22"/>
        </w:rPr>
        <w:t xml:space="preserve">Podporou základného vzdelávania sa zlepší prístup mladých ľudí na trh práce, vytvorí sa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pPr>
        <w:spacing w:before="240"/>
        <w:jc w:val="both"/>
        <w:rPr>
          <w:rFonts w:ascii="Arial" w:hAnsi="Arial" w:cs="Arial"/>
          <w:b/>
        </w:rPr>
      </w:pPr>
      <w:r>
        <w:rPr>
          <w:rFonts w:ascii="Arial" w:hAnsi="Arial" w:cs="Arial"/>
          <w:b/>
        </w:rPr>
        <w:t>Stredné vzdelávanie</w:t>
      </w:r>
    </w:p>
    <w:p>
      <w:pPr>
        <w:pStyle w:val="Default"/>
        <w:spacing w:after="240"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navrhuje rad iniciatív v oblasti vzdelávania. V iniciatíve </w:t>
      </w:r>
      <w:r>
        <w:rPr>
          <w:rFonts w:ascii="Arial" w:eastAsia="Trebuchet MS" w:hAnsi="Arial" w:cs="Arial"/>
          <w:i/>
          <w:color w:val="auto"/>
          <w:sz w:val="22"/>
          <w:szCs w:val="22"/>
          <w:lang w:eastAsia="sk-SK"/>
        </w:rPr>
        <w:t xml:space="preserve">„Mládež v pohybe“ </w:t>
      </w:r>
      <w:r>
        <w:rPr>
          <w:rFonts w:ascii="Arial" w:eastAsia="Trebuchet MS" w:hAnsi="Arial" w:cs="Arial"/>
          <w:color w:val="auto"/>
          <w:sz w:val="22"/>
          <w:szCs w:val="22"/>
          <w:lang w:eastAsia="sk-SK"/>
        </w:rPr>
        <w:t>vyzýva ČŠ</w:t>
      </w:r>
      <w:r>
        <w:rPr>
          <w:rFonts w:ascii="Arial" w:eastAsia="Trebuchet MS" w:hAnsi="Arial" w:cs="Arial"/>
          <w:i/>
          <w:color w:val="auto"/>
          <w:sz w:val="22"/>
          <w:szCs w:val="22"/>
          <w:lang w:eastAsia="sk-SK"/>
        </w:rPr>
        <w:t xml:space="preserve"> „zabezpečiť efektívne investovanie do systému vzdelávania a odbornej prípravy na všetkých úrovniach“ </w:t>
      </w:r>
      <w:r>
        <w:rPr>
          <w:rFonts w:ascii="Arial" w:eastAsia="Trebuchet MS" w:hAnsi="Arial" w:cs="Arial"/>
          <w:color w:val="auto"/>
          <w:sz w:val="22"/>
          <w:szCs w:val="22"/>
          <w:lang w:eastAsia="sk-SK"/>
        </w:rPr>
        <w:t>a zároveň vyzýva</w:t>
      </w:r>
      <w:r>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zapracovaním prvkov duálneho školstva do systému odborného vzdelávania a prípravy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pPr>
        <w:pStyle w:val="Default"/>
        <w:spacing w:after="240" w:line="276" w:lineRule="auto"/>
        <w:jc w:val="both"/>
        <w:rPr>
          <w:rFonts w:ascii="Arial" w:hAnsi="Arial" w:cs="Arial"/>
          <w:lang w:eastAsia="sk-SK"/>
        </w:rPr>
      </w:pPr>
      <w:r>
        <w:rPr>
          <w:rFonts w:ascii="Arial" w:hAnsi="Arial" w:cs="Arial"/>
          <w:i/>
          <w:sz w:val="22"/>
          <w:szCs w:val="22"/>
          <w:lang w:eastAsia="sk-SK"/>
        </w:rPr>
        <w:lastRenderedPageBreak/>
        <w:t>Správa o stave školstva na Slovensku 2013</w:t>
      </w:r>
      <w:r>
        <w:rPr>
          <w:rFonts w:ascii="Arial" w:hAnsi="Arial" w:cs="Arial"/>
          <w:sz w:val="22"/>
          <w:szCs w:val="22"/>
          <w:lang w:eastAsia="sk-SK"/>
        </w:rPr>
        <w:t xml:space="preserve"> stanovuje úlohu v oblasti odborného školstva „</w:t>
      </w:r>
      <w:r>
        <w:rPr>
          <w:rFonts w:ascii="Arial" w:hAnsi="Arial" w:cs="Arial"/>
          <w:i/>
          <w:sz w:val="22"/>
          <w:szCs w:val="22"/>
          <w:lang w:eastAsia="sk-SK"/>
        </w:rPr>
        <w:t>zvýšiť kvalitu odborného vzdelávania a prípravy tak, aby jeho absolventi boli schopní bezprostredne po skončení štúdiu priamo vstúpiť do pracovného procesu</w:t>
      </w:r>
      <w:r>
        <w:rPr>
          <w:rFonts w:ascii="Arial" w:hAnsi="Arial" w:cs="Arial"/>
          <w:sz w:val="22"/>
          <w:szCs w:val="22"/>
          <w:lang w:eastAsia="sk-SK"/>
        </w:rPr>
        <w:t xml:space="preserve">“. </w:t>
      </w:r>
    </w:p>
    <w:p>
      <w:pPr>
        <w:spacing w:after="240"/>
        <w:jc w:val="both"/>
        <w:rPr>
          <w:rFonts w:ascii="Arial" w:hAnsi="Arial" w:cs="Arial"/>
          <w:lang w:eastAsia="sk-SK"/>
        </w:rPr>
      </w:pPr>
      <w:r>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odborného vzdelávania a prípravy </w:t>
      </w:r>
      <w:r>
        <w:rPr>
          <w:rFonts w:ascii="Arial" w:hAnsi="Arial" w:cs="Arial"/>
        </w:rPr>
        <w:t xml:space="preserve">(ďalej aj „OVP“) </w:t>
      </w:r>
      <w:r>
        <w:rPr>
          <w:rFonts w:ascii="Arial" w:hAnsi="Arial" w:cs="Arial"/>
          <w:lang w:eastAsia="sk-SK"/>
        </w:rPr>
        <w:t>v SOŠ je praktické vyučovanie. Praktické vyučovanie sa uskutočňuje v školách, v strediskách praktického vyučovania a v školských zariadeniach alebo individuálne priamo u zamestnávateľov. Poskytuje žiakom najmä praktické zručnosti, návyky a získanie schopností nevyhnutých pre výkon príslušných povolaní a pracovných činností. SOŠ, centrá odborného vzdelávania a prípravy poskytujú v rámci celoživotného vzdelávania vyučovanie/kurzy pre verejnosť, akreditované rekvalifikačné programy podľa zákona č. 568/2009 Z. z. o celoživotnom vzdelávaní a o zmene a doplnení niektorých zákonov.</w:t>
      </w:r>
    </w:p>
    <w:p>
      <w:pPr>
        <w:spacing w:after="240"/>
        <w:jc w:val="both"/>
        <w:rPr>
          <w:rFonts w:ascii="Arial" w:hAnsi="Arial" w:cs="Arial"/>
          <w:lang w:eastAsia="sk-SK"/>
        </w:rPr>
      </w:pPr>
      <w:r>
        <w:rPr>
          <w:rFonts w:ascii="Arial" w:hAnsi="Arial" w:cs="Arial"/>
          <w:lang w:eastAsia="sk-SK"/>
        </w:rPr>
        <w:t>Z hľadiska regionálneho delenia mal k 15. 9. 2013 najvyšší počet SOŠ Prešovský kraj (75), najnižší Trnavský (47) a Trenčiansky (42). Ostatné kraje mali približne rovnaký počet SOŠ (od 58 do 62). Z hľadiska počtu žiakov SOŠ mal najnižší počet Bratislavský kraj (12, 7 tisíc), najvyšší Košický, Žilinský a Prešovský kraj (od 20,4 do 23,5 tisíc). Podrobnejšie údaje sú uvedené v prílohe č. 12.22.</w:t>
      </w:r>
    </w:p>
    <w:p>
      <w:pPr>
        <w:jc w:val="both"/>
        <w:rPr>
          <w:rFonts w:ascii="Arial" w:hAnsi="Arial" w:cs="Arial"/>
          <w:lang w:eastAsia="sk-SK"/>
        </w:rPr>
      </w:pPr>
      <w:r>
        <w:rPr>
          <w:rFonts w:ascii="Arial" w:hAnsi="Arial" w:cs="Arial"/>
          <w:lang w:eastAsia="sk-SK"/>
        </w:rPr>
        <w:t>Miera nezamestnanosti absolventov stredných škôl (ďalej iba „SŠ“) sa pohybovala na úrovni 17,1% (medián) (v období 6/2012 do 5/2013). Z tohto výrazne najnižšia je absolventská miera nezamestnanosti gymnazistov 6,6% (medián). Najvyššia miera absolventskej nezamestnanosti bola zaznamenaná v rámci absolventov SOŠ, pohybovala sa v rozmedzí 19,2 – 23,6% (medián) v závislosti od typu SOŠ.</w:t>
      </w:r>
      <w:r>
        <w:rPr>
          <w:rStyle w:val="Odkaznapoznmkupodiarou"/>
          <w:rFonts w:ascii="Arial" w:hAnsi="Arial" w:cs="Arial"/>
          <w:lang w:eastAsia="sk-SK"/>
        </w:rPr>
        <w:footnoteReference w:id="16"/>
      </w:r>
      <w:r>
        <w:rPr>
          <w:rFonts w:ascii="Arial" w:hAnsi="Arial" w:cs="Arial"/>
          <w:lang w:eastAsia="sk-SK"/>
        </w:rPr>
        <w:t xml:space="preserve"> Z regionálneho pohľadu dosahujú dlhodobo najvyššiu absolventskú mieru nezamestnanosti Košický, Prešovský a Banskobystrický kraj, najnižšiu Bratislavský kraj. Podrobnejšie údaje sú uvedené v prílohe č. 12.23.</w:t>
      </w:r>
    </w:p>
    <w:p>
      <w:pPr>
        <w:jc w:val="both"/>
        <w:rPr>
          <w:rFonts w:ascii="Arial" w:hAnsi="Arial" w:cs="Arial"/>
          <w:lang w:eastAsia="sk-SK"/>
        </w:rPr>
      </w:pPr>
      <w:r>
        <w:rPr>
          <w:rFonts w:ascii="Arial" w:hAnsi="Arial" w:cs="Arial"/>
          <w:lang w:eastAsia="sk-SK"/>
        </w:rPr>
        <w:t xml:space="preserve">Miera nezamestnanosti absolventov SOŠ je vo väčšej miere spôsobená nespokojnosťou zamestnávateľov s kvalitou OVP. Medzi príčiny zhoršenej uplatniteľnosti absolventov OVP na trhu práce patrí nepružné reagovanie systému OVP na potreby trhu práce, nepripravenosť kvalifikovanej pracovnej sily v takom rozsahu, aby bola schopná bezprostredne po ukončení štúdia vstúpiť do pracovného procesu. Nedostatočný je aj podiel účasti žiakov SŠ na praktickom vzdelávaní u zamestnávateľa (3,2% v šk. roku 2013/2014). Ďalším problémom je atraktivita OVP z dôvodu uprednostňovania všeobecného vzdelávania žiakmi základných škôl. To je ovplyvnené aj nedostatočným materiálnym a technickým vybavením odborných škôl, ktoré je pre žiaka nevyhnutné na získanie potrebných zručností potrebných pre prax. </w:t>
      </w:r>
    </w:p>
    <w:p>
      <w:pPr>
        <w:jc w:val="both"/>
        <w:rPr>
          <w:rFonts w:ascii="Arial" w:hAnsi="Arial" w:cs="Arial"/>
        </w:rPr>
      </w:pPr>
      <w:r>
        <w:rPr>
          <w:rFonts w:ascii="Arial" w:hAnsi="Arial" w:cs="Arial"/>
          <w:lang w:eastAsia="sk-SK"/>
        </w:rPr>
        <w:t xml:space="preserve">Za účelom zlepšenia a prispôsobenia podmienok OVP potrebám trhu práce bude IROP podporovať investície do </w:t>
      </w:r>
      <w:r>
        <w:rPr>
          <w:rFonts w:ascii="Arial" w:hAnsi="Arial" w:cs="Arial"/>
        </w:rPr>
        <w:t xml:space="preserve">dostatočného a adekvátneho materiálneho a technického </w:t>
      </w:r>
      <w:r>
        <w:rPr>
          <w:rFonts w:ascii="Arial" w:hAnsi="Arial" w:cs="Arial"/>
          <w:lang w:eastAsia="sk-SK"/>
        </w:rPr>
        <w:t xml:space="preserve">vybavenia (vrátane </w:t>
      </w:r>
      <w:r>
        <w:rPr>
          <w:rFonts w:ascii="Arial" w:hAnsi="Arial" w:cs="Arial"/>
        </w:rPr>
        <w:t xml:space="preserve">prvkov </w:t>
      </w:r>
      <w:proofErr w:type="spellStart"/>
      <w:r>
        <w:rPr>
          <w:rFonts w:ascii="Arial" w:hAnsi="Arial" w:cs="Arial"/>
        </w:rPr>
        <w:t>inkluzívneho</w:t>
      </w:r>
      <w:proofErr w:type="spellEnd"/>
      <w:r>
        <w:rPr>
          <w:rFonts w:ascii="Arial" w:hAnsi="Arial" w:cs="Arial"/>
        </w:rPr>
        <w:t xml:space="preserve"> vzdelávania)</w:t>
      </w:r>
      <w:r>
        <w:rPr>
          <w:rFonts w:ascii="Arial" w:hAnsi="Arial" w:cs="Arial"/>
          <w:lang w:eastAsia="sk-SK"/>
        </w:rPr>
        <w:t xml:space="preserve"> SOŠ, </w:t>
      </w:r>
      <w:r>
        <w:rPr>
          <w:rFonts w:ascii="Arial" w:hAnsi="Arial" w:cs="Arial"/>
        </w:rPr>
        <w:t xml:space="preserve">stredísk praktického vyučovania, školských hospodárstiev, stredísk odbornej praxe, ktoré umožňujú poskytovať vzdelávanie a rekvalifikáciu v súlade s požiadavkami trhu práce, s dôrazom na podporu a vznik </w:t>
      </w:r>
      <w:r>
        <w:rPr>
          <w:rFonts w:ascii="Arial" w:hAnsi="Arial" w:cs="Arial"/>
          <w:lang w:eastAsia="sk-SK"/>
        </w:rPr>
        <w:t>centier odborného vzdelávania a prípravy.</w:t>
      </w:r>
    </w:p>
    <w:p>
      <w:pPr>
        <w:spacing w:after="0"/>
        <w:jc w:val="both"/>
        <w:rPr>
          <w:rFonts w:ascii="Arial" w:hAnsi="Arial" w:cs="Arial"/>
          <w:b/>
        </w:rPr>
      </w:pPr>
      <w:r>
        <w:rPr>
          <w:rFonts w:ascii="Arial" w:hAnsi="Arial" w:cs="Arial"/>
          <w:b/>
        </w:rPr>
        <w:lastRenderedPageBreak/>
        <w:t xml:space="preserve">Rozvojové potreby a výzvy v oblasti </w:t>
      </w:r>
      <w:proofErr w:type="spellStart"/>
      <w:r>
        <w:rPr>
          <w:rFonts w:ascii="Arial" w:hAnsi="Arial" w:cs="Arial"/>
          <w:b/>
        </w:rPr>
        <w:t>predprimárneho</w:t>
      </w:r>
      <w:proofErr w:type="spellEnd"/>
      <w:r>
        <w:rPr>
          <w:rFonts w:ascii="Arial" w:hAnsi="Arial" w:cs="Arial"/>
          <w:b/>
        </w:rPr>
        <w:t>, základného a stredného odborného vzdelávania a spôsob ich riešenia v rámci IROP:</w:t>
      </w:r>
    </w:p>
    <w:p>
      <w:pPr>
        <w:spacing w:after="0"/>
        <w:jc w:val="both"/>
        <w:rPr>
          <w:rFonts w:ascii="Arial" w:hAnsi="Arial" w:cs="Arial"/>
          <w:b/>
        </w:rPr>
      </w:pPr>
    </w:p>
    <w:p>
      <w:pPr>
        <w:spacing w:after="0"/>
        <w:jc w:val="both"/>
        <w:rPr>
          <w:rFonts w:ascii="Arial" w:hAnsi="Arial" w:cs="Arial"/>
          <w:b/>
        </w:rPr>
      </w:pPr>
      <w:r>
        <w:rPr>
          <w:rFonts w:ascii="Arial" w:hAnsi="Arial" w:cs="Arial"/>
          <w:b/>
        </w:rPr>
        <w:t xml:space="preserve">Potreby a výzvy: </w:t>
      </w:r>
    </w:p>
    <w:p>
      <w:pPr>
        <w:pStyle w:val="Style38"/>
        <w:widowControl/>
        <w:numPr>
          <w:ilvl w:val="0"/>
          <w:numId w:val="32"/>
        </w:numPr>
        <w:tabs>
          <w:tab w:val="left" w:pos="826"/>
        </w:tabs>
        <w:spacing w:line="276" w:lineRule="auto"/>
        <w:rPr>
          <w:rFonts w:eastAsia="Trebuchet MS"/>
          <w:sz w:val="22"/>
          <w:szCs w:val="22"/>
          <w:lang w:eastAsia="en-US"/>
        </w:rPr>
      </w:pPr>
      <w:proofErr w:type="spellStart"/>
      <w:r>
        <w:rPr>
          <w:rFonts w:eastAsia="Trebuchet MS"/>
          <w:sz w:val="22"/>
          <w:szCs w:val="22"/>
          <w:lang w:eastAsia="en-US"/>
        </w:rPr>
        <w:t>predprimárne</w:t>
      </w:r>
      <w:proofErr w:type="spellEnd"/>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MŠ vrátane nepriaznivej priestorovej situácie škôl, ktorá bezprostredne ohrozuje prípravu detí na plnenie povinnej školskej dochádzky,</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nízka hrubá </w:t>
      </w:r>
      <w:proofErr w:type="spellStart"/>
      <w:r>
        <w:rPr>
          <w:rFonts w:eastAsia="Trebuchet MS"/>
          <w:sz w:val="22"/>
          <w:szCs w:val="22"/>
          <w:lang w:eastAsia="en-US"/>
        </w:rPr>
        <w:t>zaškolenosť</w:t>
      </w:r>
      <w:proofErr w:type="spellEnd"/>
      <w:r>
        <w:rPr>
          <w:rFonts w:eastAsia="Trebuchet MS"/>
          <w:sz w:val="22"/>
          <w:szCs w:val="22"/>
          <w:lang w:eastAsia="en-US"/>
        </w:rPr>
        <w:t xml:space="preserve"> detí,</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MŠ,</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nedostatočne vytvorené podmienky pre deti so špeciálnymi vzdelávacími potrebami pre ich začlenenie do MŠ (nízky počet </w:t>
      </w:r>
      <w:proofErr w:type="spellStart"/>
      <w:r>
        <w:rPr>
          <w:rFonts w:eastAsia="Trebuchet MS"/>
          <w:sz w:val="22"/>
          <w:szCs w:val="22"/>
          <w:lang w:eastAsia="en-US"/>
        </w:rPr>
        <w:t>debarierizovaných</w:t>
      </w:r>
      <w:proofErr w:type="spellEnd"/>
      <w:r>
        <w:rPr>
          <w:rFonts w:eastAsia="Trebuchet MS"/>
          <w:sz w:val="22"/>
          <w:szCs w:val="22"/>
          <w:lang w:eastAsia="en-US"/>
        </w:rPr>
        <w:t xml:space="preserve"> škôl, škôl vybavených kompenzačnými a špeciálnymi učebnými pomôckami), absencia, resp. nízky počet asistentov učiteľa,</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MŠ.</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jazykových a prírodovedných učební, </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ZŠ,</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prírodovedné znalosti žiakov ZŠ,</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škôl prvkami </w:t>
      </w:r>
      <w:proofErr w:type="spellStart"/>
      <w:r>
        <w:rPr>
          <w:rFonts w:eastAsia="Trebuchet MS"/>
          <w:sz w:val="22"/>
          <w:szCs w:val="22"/>
          <w:lang w:eastAsia="en-US"/>
        </w:rPr>
        <w:t>inkluzívneho</w:t>
      </w:r>
      <w:proofErr w:type="spellEnd"/>
      <w:r>
        <w:rPr>
          <w:rFonts w:eastAsia="Trebuchet MS"/>
          <w:sz w:val="22"/>
          <w:szCs w:val="22"/>
          <w:lang w:eastAsia="en-US"/>
        </w:rPr>
        <w:t xml:space="preserve"> vzdelávania.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SOŠ,</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nízka miera celoživotného vzdelávania.</w:t>
      </w:r>
    </w:p>
    <w:p>
      <w:pPr>
        <w:spacing w:after="0"/>
        <w:jc w:val="both"/>
        <w:rPr>
          <w:rFonts w:ascii="Arial" w:hAnsi="Arial" w:cs="Arial"/>
          <w:b/>
        </w:rPr>
      </w:pPr>
    </w:p>
    <w:p>
      <w:pPr>
        <w:spacing w:after="0"/>
        <w:jc w:val="both"/>
        <w:rPr>
          <w:rFonts w:ascii="Arial" w:hAnsi="Arial" w:cs="Arial"/>
          <w:b/>
        </w:rPr>
      </w:pPr>
      <w:r>
        <w:rPr>
          <w:rFonts w:ascii="Arial" w:hAnsi="Arial" w:cs="Arial"/>
          <w:b/>
        </w:rPr>
        <w:t>Opatrenia na riešenie v rámci IROP:</w:t>
      </w:r>
    </w:p>
    <w:p>
      <w:pPr>
        <w:pStyle w:val="Style38"/>
        <w:widowControl/>
        <w:numPr>
          <w:ilvl w:val="0"/>
          <w:numId w:val="32"/>
        </w:numPr>
        <w:tabs>
          <w:tab w:val="left" w:pos="826"/>
        </w:tabs>
        <w:spacing w:line="276" w:lineRule="auto"/>
        <w:rPr>
          <w:rFonts w:eastAsia="Trebuchet MS"/>
          <w:sz w:val="22"/>
          <w:szCs w:val="22"/>
          <w:lang w:eastAsia="en-US"/>
        </w:rPr>
      </w:pPr>
      <w:proofErr w:type="spellStart"/>
      <w:r>
        <w:rPr>
          <w:rFonts w:eastAsia="Trebuchet MS"/>
          <w:sz w:val="22"/>
          <w:szCs w:val="22"/>
          <w:lang w:eastAsia="en-US"/>
        </w:rPr>
        <w:t>predprimárne</w:t>
      </w:r>
      <w:proofErr w:type="spellEnd"/>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MŠ, </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a materiálno-technického vybavenia MŠ vrátane vybavenia moderným nábytkom, IKT, učebnými pomôckami a didaktickými hračkami,</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MŠ, </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prispôsobenie vonkajších a vnútorných priestorov MŠ podmienkam </w:t>
      </w:r>
      <w:proofErr w:type="spellStart"/>
      <w:r>
        <w:rPr>
          <w:rFonts w:eastAsia="Trebuchet MS"/>
          <w:sz w:val="22"/>
          <w:szCs w:val="22"/>
          <w:lang w:eastAsia="en-US"/>
        </w:rPr>
        <w:t>inkluzívneho</w:t>
      </w:r>
      <w:proofErr w:type="spellEnd"/>
      <w:r>
        <w:rPr>
          <w:rFonts w:eastAsia="Trebuchet MS"/>
          <w:sz w:val="22"/>
          <w:szCs w:val="22"/>
          <w:lang w:eastAsia="en-US"/>
        </w:rPr>
        <w:t xml:space="preserve"> vzdelávania.</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modernizácia materiálno-technického vybavenia po stránke zavedenia prvkov </w:t>
      </w:r>
      <w:proofErr w:type="spellStart"/>
      <w:r>
        <w:rPr>
          <w:rFonts w:eastAsia="Trebuchet MS"/>
          <w:sz w:val="22"/>
          <w:szCs w:val="22"/>
          <w:lang w:eastAsia="en-US"/>
        </w:rPr>
        <w:t>inkluzívneho</w:t>
      </w:r>
      <w:proofErr w:type="spellEnd"/>
      <w:r>
        <w:rPr>
          <w:rFonts w:eastAsia="Trebuchet MS"/>
          <w:sz w:val="22"/>
          <w:szCs w:val="22"/>
          <w:lang w:eastAsia="en-US"/>
        </w:rPr>
        <w:t xml:space="preserve"> vzdelávania</w:t>
      </w:r>
      <w:r>
        <w:t>.</w:t>
      </w:r>
    </w:p>
    <w:p>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zvýšenie kvality odborného vzdelávania prepojeného s praxou,</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vytvorenie podmienok na zabezpečenie </w:t>
      </w:r>
      <w:proofErr w:type="spellStart"/>
      <w:r>
        <w:rPr>
          <w:rFonts w:eastAsia="Trebuchet MS"/>
          <w:sz w:val="22"/>
          <w:szCs w:val="22"/>
          <w:lang w:eastAsia="en-US"/>
        </w:rPr>
        <w:t>inkluzívneho</w:t>
      </w:r>
      <w:proofErr w:type="spellEnd"/>
      <w:r>
        <w:rPr>
          <w:rFonts w:eastAsia="Trebuchet MS"/>
          <w:sz w:val="22"/>
          <w:szCs w:val="22"/>
          <w:lang w:eastAsia="en-US"/>
        </w:rPr>
        <w:t xml:space="preserve"> vzdelávania,</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lastRenderedPageBreak/>
        <w:t>vytvorenie podmienok na zvýšenie podielu účasti žiakov na praktickom vyučovaní priamo u zamestnávateľa,</w:t>
      </w:r>
    </w:p>
    <w:p>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vytvorenie podmienok pre celoživotné vzdelávanie.</w:t>
      </w:r>
    </w:p>
    <w:p>
      <w:pPr>
        <w:jc w:val="both"/>
        <w:rPr>
          <w:rFonts w:ascii="Arial" w:hAnsi="Arial" w:cs="Arial"/>
          <w:b/>
        </w:rPr>
      </w:pPr>
    </w:p>
    <w:p>
      <w:pPr>
        <w:shd w:val="clear" w:color="auto" w:fill="BFBFBF" w:themeFill="background1" w:themeFillShade="BF"/>
        <w:jc w:val="both"/>
        <w:rPr>
          <w:rFonts w:ascii="Arial" w:hAnsi="Arial" w:cs="Arial"/>
          <w:b/>
        </w:rPr>
      </w:pPr>
      <w:r>
        <w:rPr>
          <w:rFonts w:ascii="Arial" w:hAnsi="Arial" w:cs="Arial"/>
          <w:b/>
        </w:rPr>
        <w:t>Využitie potenciálu kreativity ľudských zdrojov regiónov</w:t>
      </w:r>
    </w:p>
    <w:p>
      <w:pPr>
        <w:jc w:val="both"/>
        <w:rPr>
          <w:rFonts w:ascii="Arial" w:hAnsi="Arial" w:cs="Arial"/>
        </w:rPr>
      </w:pPr>
      <w:r>
        <w:rPr>
          <w:rFonts w:ascii="Arial" w:hAnsi="Arial" w:cs="Arial"/>
        </w:rPr>
        <w:t xml:space="preserve">Vychádzajúc zo Spoločného strategického rámca a kohéznej politiky pre roky 2014 - 2020, cieľom podpory v tejto oblasti je hospodársky rast a zamestnanosť v SR </w:t>
      </w:r>
      <w:r>
        <w:rPr>
          <w:rFonts w:ascii="Arial" w:hAnsi="Arial" w:cs="Arial"/>
          <w:bCs/>
        </w:rPr>
        <w:t>prostredníctvom 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rStyle w:val="Odkaznapoznmkupodiarou"/>
          <w:rFonts w:ascii="Arial" w:hAnsi="Arial" w:cs="Arial"/>
        </w:rPr>
        <w:footnoteReference w:id="17"/>
      </w:r>
      <w:r>
        <w:rPr>
          <w:rFonts w:ascii="Arial" w:hAnsi="Arial" w:cs="Arial"/>
          <w:bCs/>
        </w:rPr>
        <w:t>.</w:t>
      </w:r>
      <w:r>
        <w:rPr>
          <w:rFonts w:ascii="Arial" w:hAnsi="Arial" w:cs="Arial"/>
          <w:b/>
          <w:bCs/>
        </w:rPr>
        <w:t xml:space="preserve"> Vnútorným potenciálom regiónov je okrem iného aj kreativita ľudských zdrojov, ktoré spolu s kultúrnymi zdrojmi tvoria súčasť tzv. kreatívnej ekonomiky.</w:t>
      </w:r>
    </w:p>
    <w:p>
      <w:pPr>
        <w:jc w:val="both"/>
        <w:rPr>
          <w:rFonts w:ascii="Arial" w:hAnsi="Arial" w:cs="Arial"/>
          <w:b/>
          <w:highlight w:val="cyan"/>
        </w:rPr>
      </w:pPr>
      <w:r>
        <w:rPr>
          <w:rFonts w:ascii="Arial" w:hAnsi="Arial" w:cs="Arial"/>
          <w:b/>
        </w:rPr>
        <w:t>Kultúrny a kreatívny sektor (ďalej len „KKS“) má ako katalyzátor inovácií</w:t>
      </w:r>
      <w:r>
        <w:rPr>
          <w:rFonts w:ascii="Arial" w:hAnsi="Arial" w:cs="Arial"/>
        </w:rPr>
        <w:t xml:space="preserve"> značný potenciál pre riešenie tvorby hospodárskeho rastu a ako sektor má významný podiel na zamestnanosti. V súčasnosti predstavuje 4,5 % HDP a 8,5 mil. pracovných miest na úrovni EU</w:t>
      </w:r>
      <w:r>
        <w:rPr>
          <w:rStyle w:val="Odkaznapoznmkupodiarou"/>
          <w:rFonts w:ascii="Arial" w:hAnsi="Arial" w:cs="Arial"/>
        </w:rPr>
        <w:footnoteReference w:id="18"/>
      </w:r>
      <w:r>
        <w:rPr>
          <w:rFonts w:ascii="Arial" w:hAnsi="Arial" w:cs="Arial"/>
        </w:rPr>
        <w:t xml:space="preserve">, </w:t>
      </w:r>
      <w:r>
        <w:rPr>
          <w:rFonts w:ascii="Arial" w:hAnsi="Arial" w:cs="Arial"/>
          <w:b/>
        </w:rPr>
        <w:t>v SR je to približne 4% HDP a viac než 4% podiel celkového počtu pracovných miest</w:t>
      </w:r>
      <w:r>
        <w:rPr>
          <w:rStyle w:val="Odkaznapoznmkupodiarou"/>
          <w:rFonts w:ascii="Arial" w:hAnsi="Arial" w:cs="Arial"/>
        </w:rPr>
        <w:footnoteReference w:id="19"/>
      </w:r>
      <w:r>
        <w:rPr>
          <w:rFonts w:ascii="Arial" w:hAnsi="Arial" w:cs="Arial"/>
          <w:b/>
        </w:rPr>
        <w:t xml:space="preserve">, </w:t>
      </w:r>
      <w:r>
        <w:rPr>
          <w:rFonts w:ascii="Arial" w:hAnsi="Arial" w:cs="Arial"/>
        </w:rPr>
        <w:t>čím môže významne prispieť k plnenie cieľov stratégie Európa 2020.</w:t>
      </w:r>
    </w:p>
    <w:p>
      <w:pPr>
        <w:jc w:val="both"/>
        <w:rPr>
          <w:rFonts w:ascii="Arial" w:hAnsi="Arial" w:cs="Arial"/>
        </w:rPr>
      </w:pPr>
      <w:r>
        <w:rPr>
          <w:rFonts w:ascii="Arial" w:hAnsi="Arial" w:cs="Arial"/>
        </w:rPr>
        <w:t>Stratégia Európa 2020 má za cieľ vytvoriť z EÚ inteligentnú, udržateľnú a </w:t>
      </w:r>
      <w:proofErr w:type="spellStart"/>
      <w:r>
        <w:rPr>
          <w:rFonts w:ascii="Arial" w:hAnsi="Arial" w:cs="Arial"/>
        </w:rPr>
        <w:t>inkluzívnu</w:t>
      </w:r>
      <w:proofErr w:type="spellEnd"/>
      <w:r>
        <w:rPr>
          <w:rFonts w:ascii="Arial" w:hAnsi="Arial" w:cs="Arial"/>
        </w:rPr>
        <w:t xml:space="preserve"> ekonomiku , ktorá bude vytvárať vysokú mieru zamestnanosti, produktivity a sociálnej kohézie. Uvádza sa v nej, že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ktoré sú založené na tzv. </w:t>
      </w:r>
      <w:r>
        <w:rPr>
          <w:rFonts w:ascii="Arial" w:hAnsi="Arial" w:cs="Arial"/>
          <w:b/>
        </w:rPr>
        <w:t>kultúrnej kreativite</w:t>
      </w:r>
      <w:r>
        <w:rPr>
          <w:rFonts w:ascii="Arial" w:hAnsi="Arial" w:cs="Arial"/>
        </w:rPr>
        <w:t xml:space="preserve"> (</w:t>
      </w:r>
      <w:proofErr w:type="spellStart"/>
      <w:r>
        <w:rPr>
          <w:rFonts w:ascii="Arial" w:hAnsi="Arial" w:cs="Arial"/>
          <w:i/>
        </w:rPr>
        <w:t>culture-based</w:t>
      </w:r>
      <w:proofErr w:type="spellEnd"/>
      <w:r>
        <w:rPr>
          <w:rFonts w:ascii="Arial" w:hAnsi="Arial" w:cs="Arial"/>
          <w:i/>
        </w:rPr>
        <w:t xml:space="preserve"> </w:t>
      </w:r>
      <w:proofErr w:type="spellStart"/>
      <w:r>
        <w:rPr>
          <w:rFonts w:ascii="Arial" w:hAnsi="Arial" w:cs="Arial"/>
          <w:i/>
        </w:rPr>
        <w:t>creativity</w:t>
      </w:r>
      <w:proofErr w:type="spellEnd"/>
      <w:r>
        <w:rPr>
          <w:rFonts w:ascii="Arial" w:hAnsi="Arial" w:cs="Arial"/>
        </w:rPr>
        <w:t xml:space="preserve">). V tomto zmysle je na Slovensku potrebné </w:t>
      </w:r>
      <w:r>
        <w:rPr>
          <w:rFonts w:ascii="Arial" w:hAnsi="Arial" w:cs="Arial"/>
          <w:b/>
        </w:rPr>
        <w:t xml:space="preserve">systémovo podporiť rozvoj KKS </w:t>
      </w:r>
      <w:r>
        <w:rPr>
          <w:rFonts w:ascii="Arial" w:hAnsi="Arial" w:cs="Arial"/>
        </w:rPr>
        <w:t>pre zamestnanosť v kontexte  celého jeho „ekosystému“.</w:t>
      </w:r>
    </w:p>
    <w:p>
      <w:pPr>
        <w:jc w:val="both"/>
        <w:rPr>
          <w:rFonts w:ascii="Arial" w:hAnsi="Arial" w:cs="Arial"/>
        </w:rPr>
      </w:pPr>
      <w:r>
        <w:rPr>
          <w:rFonts w:ascii="Arial" w:hAnsi="Arial" w:cs="Arial"/>
          <w:b/>
        </w:rPr>
        <w:t>KKS</w:t>
      </w:r>
      <w:r>
        <w:rPr>
          <w:rFonts w:ascii="Arial" w:hAnsi="Arial" w:cs="Arial"/>
        </w:rPr>
        <w:t xml:space="preserve">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Patria sem všetky umelecké, literárne, kultúrne, hudobné, architektonické a kreatívne obsahy, diela, produkty, predstavenia či služby s ekonomicky relevantným východiskom</w:t>
      </w:r>
      <w:r>
        <w:rPr>
          <w:rStyle w:val="Odkaznapoznmkupodiarou"/>
          <w:rFonts w:ascii="Arial" w:hAnsi="Arial" w:cs="Arial"/>
        </w:rPr>
        <w:footnoteReference w:id="20"/>
      </w:r>
      <w:r>
        <w:rPr>
          <w:rFonts w:ascii="Arial" w:hAnsi="Arial" w:cs="Arial"/>
        </w:rPr>
        <w:t xml:space="preserve">. Úspešné pretavenie kreatívneho aktu do kreatívnych produktov a služieb, či netechnologických inovácií je podmienené </w:t>
      </w:r>
      <w:r>
        <w:rPr>
          <w:rFonts w:ascii="Arial" w:hAnsi="Arial" w:cs="Arial"/>
          <w:b/>
        </w:rPr>
        <w:t>existenciou kreatívnych zručností a laterálneho myslenia</w:t>
      </w:r>
      <w:r>
        <w:rPr>
          <w:rFonts w:ascii="Arial" w:hAnsi="Arial" w:cs="Arial"/>
        </w:rPr>
        <w:t xml:space="preserve"> (originalita, originálne zdroje, kultúrna kreativita) ľudských zdrojov </w:t>
      </w:r>
      <w:r>
        <w:rPr>
          <w:rFonts w:ascii="Arial" w:hAnsi="Arial" w:cs="Arial"/>
          <w:b/>
        </w:rPr>
        <w:t xml:space="preserve">v podmienkach podporného prostredia </w:t>
      </w:r>
      <w:r>
        <w:rPr>
          <w:rFonts w:ascii="Arial" w:hAnsi="Arial" w:cs="Arial"/>
        </w:rPr>
        <w:t xml:space="preserve">(priestorové, technologické, sociálne, podnikateľské, finančné). Dôležitou podmienkou úspešných výsledkov je aj </w:t>
      </w:r>
      <w:r>
        <w:rPr>
          <w:rFonts w:ascii="Arial" w:hAnsi="Arial" w:cs="Arial"/>
          <w:b/>
        </w:rPr>
        <w:t xml:space="preserve">využívanie existujúcich štruktúr </w:t>
      </w:r>
      <w:r>
        <w:rPr>
          <w:rFonts w:ascii="Arial" w:hAnsi="Arial" w:cs="Arial"/>
        </w:rPr>
        <w:t>(kultúrne organizácie v zmysle ich infraštruktúry, produkcie a </w:t>
      </w:r>
      <w:proofErr w:type="spellStart"/>
      <w:r>
        <w:rPr>
          <w:rFonts w:ascii="Arial" w:hAnsi="Arial" w:cs="Arial"/>
          <w:i/>
        </w:rPr>
        <w:t>know-how</w:t>
      </w:r>
      <w:proofErr w:type="spellEnd"/>
      <w:r>
        <w:rPr>
          <w:rFonts w:ascii="Arial" w:hAnsi="Arial" w:cs="Arial"/>
        </w:rPr>
        <w:t xml:space="preserve">) </w:t>
      </w:r>
      <w:r>
        <w:rPr>
          <w:rFonts w:ascii="Arial" w:hAnsi="Arial" w:cs="Arial"/>
          <w:b/>
        </w:rPr>
        <w:t>a  dôraz na mladú generáciu</w:t>
      </w:r>
      <w:r>
        <w:rPr>
          <w:rFonts w:ascii="Arial" w:hAnsi="Arial" w:cs="Arial"/>
        </w:rPr>
        <w:t xml:space="preserve"> (absolventi umeleckých a kreatívnych odborov SŠ a VŠ) a talenty.</w:t>
      </w:r>
    </w:p>
    <w:p>
      <w:pPr>
        <w:jc w:val="both"/>
        <w:rPr>
          <w:rFonts w:ascii="Arial" w:hAnsi="Arial" w:cs="Arial"/>
          <w:b/>
        </w:rPr>
      </w:pPr>
      <w:r>
        <w:rPr>
          <w:rFonts w:ascii="Arial" w:hAnsi="Arial" w:cs="Arial"/>
          <w:b/>
        </w:rPr>
        <w:t>Potenciál kreatívneho priemyslu v SR a jeho regionálny priemet</w:t>
      </w:r>
    </w:p>
    <w:p>
      <w:pPr>
        <w:jc w:val="both"/>
        <w:rPr>
          <w:rFonts w:ascii="Arial" w:hAnsi="Arial" w:cs="Arial"/>
        </w:rPr>
      </w:pPr>
      <w:r>
        <w:rPr>
          <w:rFonts w:ascii="Arial" w:hAnsi="Arial" w:cs="Arial"/>
        </w:rPr>
        <w:t xml:space="preserve">Investície do integrovaných kreatívnych centier budú realizované vo všetkých regiónoch SR na úrovni NUTS3, ktorých je celkovo osem. Zároveň potenciál budovania kreatívnych centier </w:t>
      </w:r>
      <w:r>
        <w:rPr>
          <w:rFonts w:ascii="Arial" w:hAnsi="Arial" w:cs="Arial"/>
        </w:rPr>
        <w:lastRenderedPageBreak/>
        <w:t xml:space="preserve">predstavuje približne jedno integrované kreatívne centrum na región na úrovni NUTS3. Tieto centrá budú vychádzať z existujúceho potenciálu jednotlivých regiónov. </w:t>
      </w:r>
    </w:p>
    <w:p>
      <w:pPr>
        <w:jc w:val="both"/>
        <w:rPr>
          <w:rFonts w:ascii="Arial" w:hAnsi="Arial" w:cs="Arial"/>
        </w:rPr>
      </w:pPr>
      <w:r>
        <w:rPr>
          <w:rFonts w:ascii="Arial" w:hAnsi="Arial" w:cs="Arial"/>
          <w:b/>
        </w:rPr>
        <w:t>Bratislavský kraj</w:t>
      </w:r>
      <w:r>
        <w:rPr>
          <w:rFonts w:ascii="Arial" w:hAnsi="Arial" w:cs="Arial"/>
        </w:rPr>
        <w:t xml:space="preserve"> je absolútnym kreatívnym centrom SR a disponuje rozvojovým potenciálom v každom z kreatívnych odvetví. Za nevýhody možno považovať nedostatočne rozvinutú infraštruktúru, jej roztrieštenosť a </w:t>
      </w:r>
      <w:proofErr w:type="spellStart"/>
      <w:r>
        <w:rPr>
          <w:rFonts w:ascii="Arial" w:hAnsi="Arial" w:cs="Arial"/>
        </w:rPr>
        <w:t>nekomplexnosť</w:t>
      </w:r>
      <w:proofErr w:type="spellEnd"/>
      <w:r>
        <w:rPr>
          <w:rFonts w:ascii="Arial" w:hAnsi="Arial" w:cs="Arial"/>
        </w:rPr>
        <w:t>.</w:t>
      </w:r>
    </w:p>
    <w:p>
      <w:pPr>
        <w:jc w:val="both"/>
        <w:rPr>
          <w:rFonts w:ascii="Arial" w:hAnsi="Arial" w:cs="Arial"/>
        </w:rPr>
      </w:pPr>
      <w:r>
        <w:rPr>
          <w:rFonts w:ascii="Arial" w:hAnsi="Arial" w:cs="Arial"/>
        </w:rPr>
        <w:t>Potenciál</w:t>
      </w:r>
      <w:r>
        <w:rPr>
          <w:rFonts w:ascii="Arial" w:hAnsi="Arial" w:cs="Arial"/>
          <w:b/>
        </w:rPr>
        <w:t xml:space="preserve"> Nitrianskeho kraja</w:t>
      </w:r>
      <w:r>
        <w:rPr>
          <w:rFonts w:ascii="Arial" w:hAnsi="Arial" w:cs="Arial"/>
        </w:rPr>
        <w:t xml:space="preserve"> pre kreatívnych odvetvia predstavujú najmä výroba nábytku v Topoľčanoch (dizajn), obuvnícky priemysel v Komárne (módny dizajn) a rozvinutý potravinársky priemysel (reklama a marketing).</w:t>
      </w:r>
    </w:p>
    <w:p>
      <w:pPr>
        <w:jc w:val="both"/>
        <w:rPr>
          <w:rFonts w:ascii="Arial" w:hAnsi="Arial" w:cs="Arial"/>
        </w:rPr>
      </w:pPr>
      <w:r>
        <w:rPr>
          <w:rFonts w:ascii="Arial" w:hAnsi="Arial" w:cs="Arial"/>
        </w:rPr>
        <w:t>Výhodami</w:t>
      </w:r>
      <w:r>
        <w:rPr>
          <w:rFonts w:ascii="Arial" w:hAnsi="Arial" w:cs="Arial"/>
          <w:b/>
        </w:rPr>
        <w:t xml:space="preserve"> Trnavského kraja</w:t>
      </w:r>
      <w:r>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pPr>
        <w:jc w:val="both"/>
        <w:rPr>
          <w:rFonts w:ascii="Arial" w:hAnsi="Arial" w:cs="Arial"/>
        </w:rPr>
      </w:pPr>
      <w:r>
        <w:rPr>
          <w:rFonts w:ascii="Arial" w:hAnsi="Arial" w:cs="Arial"/>
        </w:rPr>
        <w:t>Historická tradícia rozvoja módneho priemyslu v </w:t>
      </w:r>
      <w:r>
        <w:rPr>
          <w:rFonts w:ascii="Arial" w:hAnsi="Arial" w:cs="Arial"/>
          <w:b/>
        </w:rPr>
        <w:t>Trenčianskom kraji</w:t>
      </w:r>
      <w:r>
        <w:rPr>
          <w:rFonts w:ascii="Arial" w:hAnsi="Arial" w:cs="Arial"/>
        </w:rPr>
        <w:t xml:space="preserve"> napriek absencii vysokoškolského štúdia v tejto oblasti dáva predpoklad rozvoja kreatívneho priemyslu spojeného s obuvníckym a textilným priemyslom. Prudkým rozvojom elektrotechnického a </w:t>
      </w:r>
      <w:proofErr w:type="spellStart"/>
      <w:r>
        <w:rPr>
          <w:rFonts w:ascii="Arial" w:hAnsi="Arial" w:cs="Arial"/>
        </w:rPr>
        <w:t>kovoobrácieho</w:t>
      </w:r>
      <w:proofErr w:type="spellEnd"/>
      <w:r>
        <w:rPr>
          <w:rFonts w:ascii="Arial" w:hAnsi="Arial" w:cs="Arial"/>
        </w:rPr>
        <w:t xml:space="preserve"> priemyslu sa bude generovať požiadavka priemyslu po službách v oblasti dizajnu, módneho a nábytkárskeho dizajnu.</w:t>
      </w:r>
    </w:p>
    <w:p>
      <w:pPr>
        <w:jc w:val="both"/>
        <w:rPr>
          <w:rFonts w:ascii="Arial" w:hAnsi="Arial" w:cs="Arial"/>
        </w:rPr>
      </w:pPr>
      <w:r>
        <w:rPr>
          <w:rFonts w:ascii="Arial" w:hAnsi="Arial" w:cs="Arial"/>
        </w:rPr>
        <w:t xml:space="preserve">Prirodzený rozvoj </w:t>
      </w:r>
      <w:r>
        <w:rPr>
          <w:rFonts w:ascii="Arial" w:hAnsi="Arial" w:cs="Arial"/>
          <w:b/>
        </w:rPr>
        <w:t>Žilinského kraja</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Banskobystrického kraja</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pPr>
        <w:jc w:val="both"/>
        <w:rPr>
          <w:rFonts w:ascii="Arial" w:hAnsi="Arial" w:cs="Arial"/>
        </w:rPr>
      </w:pPr>
      <w:r>
        <w:rPr>
          <w:rFonts w:ascii="Arial" w:hAnsi="Arial" w:cs="Arial"/>
          <w:b/>
        </w:rPr>
        <w:t>Prešovský kraj</w:t>
      </w:r>
      <w:r>
        <w:rPr>
          <w:rFonts w:ascii="Arial" w:hAnsi="Arial" w:cs="Arial"/>
        </w:rPr>
        <w:t xml:space="preserve"> 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pPr>
        <w:jc w:val="both"/>
        <w:rPr>
          <w:rFonts w:ascii="Arial" w:hAnsi="Arial" w:cs="Arial"/>
        </w:rPr>
      </w:pPr>
      <w:r>
        <w:rPr>
          <w:rFonts w:ascii="Arial" w:hAnsi="Arial" w:cs="Arial"/>
        </w:rPr>
        <w:t xml:space="preserve">Ľudský potenciál </w:t>
      </w:r>
      <w:r>
        <w:rPr>
          <w:rFonts w:ascii="Arial" w:hAnsi="Arial" w:cs="Arial"/>
          <w:b/>
        </w:rPr>
        <w:t>Košického kraja</w:t>
      </w:r>
      <w:r>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Realizované by mohli byť v rámci infraštruktúry vytvorenej počas realizácie projektu EHMK 2013.</w:t>
      </w:r>
    </w:p>
    <w:p>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pPr>
        <w:jc w:val="both"/>
      </w:pPr>
      <w:r>
        <w:rPr>
          <w:rFonts w:ascii="Arial" w:hAnsi="Arial" w:cs="Arial"/>
        </w:rPr>
        <w:t xml:space="preserve">Podiel zamestnanosti v KKS na celkovej zamestnanosti dosahuje v  priemere za roky </w:t>
      </w:r>
      <w:r>
        <w:rPr>
          <w:rFonts w:ascii="Arial" w:hAnsi="Arial" w:cs="Arial"/>
        </w:rPr>
        <w:br/>
        <w:t xml:space="preserve">2009 – 2011 nasledujúce hodnoty v jednotlivých krajoch: v  Bratislavskom 14,69%, v Trnavskom </w:t>
      </w:r>
      <w:r>
        <w:rPr>
          <w:rFonts w:ascii="Arial" w:hAnsi="Arial" w:cs="Arial"/>
        </w:rPr>
        <w:lastRenderedPageBreak/>
        <w:t>11,97%, v Trenčianskom 15,2%, v Nitrianskom 14,02%, v Žilinskom 15,9%,  v Banskobystrickom 17,92% , v Prešovskom 13,5% a v Košickom kraji 17,69%.</w:t>
      </w:r>
    </w:p>
    <w:p>
      <w:pPr>
        <w:jc w:val="both"/>
        <w:rPr>
          <w:rFonts w:ascii="Arial" w:hAnsi="Arial" w:cs="Arial"/>
          <w:b/>
        </w:rPr>
      </w:pPr>
      <w:r>
        <w:rPr>
          <w:rFonts w:ascii="Arial" w:hAnsi="Arial" w:cs="Arial"/>
          <w:b/>
        </w:rPr>
        <w:t xml:space="preserve">Rozvojové potreby a disparity v oblasti KKS a spôsob ich riešenia v rámci IROP </w:t>
      </w:r>
    </w:p>
    <w:p>
      <w:pPr>
        <w:jc w:val="both"/>
        <w:rPr>
          <w:rFonts w:ascii="Arial" w:hAnsi="Arial" w:cs="Arial"/>
          <w:b/>
        </w:rPr>
      </w:pPr>
      <w:r>
        <w:rPr>
          <w:rFonts w:ascii="Arial" w:hAnsi="Arial" w:cs="Arial"/>
          <w:b/>
        </w:rPr>
        <w:t>Potreby a výzvy:</w:t>
      </w:r>
    </w:p>
    <w:p>
      <w:pPr>
        <w:pStyle w:val="Odsekzoznamu"/>
        <w:numPr>
          <w:ilvl w:val="0"/>
          <w:numId w:val="33"/>
        </w:numPr>
        <w:jc w:val="both"/>
        <w:rPr>
          <w:rFonts w:ascii="Arial" w:hAnsi="Arial" w:cs="Arial"/>
        </w:rPr>
      </w:pPr>
      <w:r>
        <w:rPr>
          <w:rFonts w:ascii="Arial" w:hAnsi="Arial" w:cs="Arial"/>
        </w:rPr>
        <w:t xml:space="preserve">Slabý stupeň pripravenosti absolventov kreatívnych odborov na </w:t>
      </w:r>
      <w:proofErr w:type="spellStart"/>
      <w:r>
        <w:rPr>
          <w:rFonts w:ascii="Arial" w:hAnsi="Arial" w:cs="Arial"/>
        </w:rPr>
        <w:t>samozamestnanie</w:t>
      </w:r>
      <w:proofErr w:type="spellEnd"/>
      <w:r>
        <w:rPr>
          <w:rFonts w:ascii="Arial" w:hAnsi="Arial" w:cs="Arial"/>
        </w:rPr>
        <w:t xml:space="preserve">, zamestnanie, či zakladanie vlastných podnikov </w:t>
      </w:r>
    </w:p>
    <w:p>
      <w:pPr>
        <w:pStyle w:val="Odsekzoznamu"/>
        <w:numPr>
          <w:ilvl w:val="0"/>
          <w:numId w:val="33"/>
        </w:numPr>
        <w:jc w:val="both"/>
        <w:rPr>
          <w:rFonts w:ascii="Arial" w:hAnsi="Arial" w:cs="Arial"/>
        </w:rPr>
      </w:pPr>
      <w:r>
        <w:rPr>
          <w:rFonts w:ascii="Arial" w:hAnsi="Arial" w:cs="Arial"/>
        </w:rPr>
        <w:t>Absencia modernej infraštruktúry nového typu (kreatívne centrá, huby, inkubátory) vrátane technologického vybavenia</w:t>
      </w:r>
    </w:p>
    <w:p>
      <w:pPr>
        <w:pStyle w:val="Odsekzoznamu"/>
        <w:numPr>
          <w:ilvl w:val="0"/>
          <w:numId w:val="33"/>
        </w:numPr>
        <w:jc w:val="both"/>
        <w:rPr>
          <w:rFonts w:ascii="Arial" w:hAnsi="Arial" w:cs="Arial"/>
        </w:rPr>
      </w:pPr>
      <w:r>
        <w:rPr>
          <w:rFonts w:ascii="Arial" w:hAnsi="Arial" w:cs="Arial"/>
        </w:rPr>
        <w:t>Nedostatočná podpora rozvoja talentov, experimentálnej tvorby a medzinárodnej spolupráce</w:t>
      </w:r>
    </w:p>
    <w:p>
      <w:pPr>
        <w:pStyle w:val="Odsekzoznamu"/>
        <w:numPr>
          <w:ilvl w:val="0"/>
          <w:numId w:val="33"/>
        </w:numPr>
        <w:jc w:val="both"/>
        <w:rPr>
          <w:rFonts w:ascii="Arial" w:hAnsi="Arial" w:cs="Arial"/>
        </w:rPr>
      </w:pPr>
      <w:r>
        <w:rPr>
          <w:rFonts w:ascii="Arial" w:hAnsi="Arial" w:cs="Arial"/>
        </w:rPr>
        <w:t>Nízka úroveň prepojenia kultúrnej a kreatívnej produkcie, netechnologických inovácií s prepojením na potreby trhu</w:t>
      </w:r>
    </w:p>
    <w:p>
      <w:pPr>
        <w:pStyle w:val="Odsekzoznamu"/>
        <w:numPr>
          <w:ilvl w:val="0"/>
          <w:numId w:val="33"/>
        </w:numPr>
        <w:jc w:val="both"/>
        <w:rPr>
          <w:rFonts w:ascii="Arial" w:hAnsi="Arial" w:cs="Arial"/>
        </w:rPr>
      </w:pPr>
      <w:r>
        <w:rPr>
          <w:rFonts w:ascii="Arial" w:hAnsi="Arial" w:cs="Arial"/>
        </w:rPr>
        <w:t>Nedostatočná spolupráca verejného a súkromného sektora v KKS</w:t>
      </w:r>
    </w:p>
    <w:p>
      <w:pPr>
        <w:pStyle w:val="Odsekzoznamu"/>
        <w:numPr>
          <w:ilvl w:val="0"/>
          <w:numId w:val="33"/>
        </w:numPr>
        <w:jc w:val="both"/>
        <w:rPr>
          <w:rFonts w:ascii="Arial" w:hAnsi="Arial" w:cs="Arial"/>
        </w:rPr>
      </w:pPr>
      <w:r>
        <w:rPr>
          <w:rFonts w:ascii="Arial" w:hAnsi="Arial" w:cs="Arial"/>
        </w:rPr>
        <w:t xml:space="preserve">Absentujúce príležitosti financovania </w:t>
      </w:r>
      <w:proofErr w:type="spellStart"/>
      <w:r>
        <w:rPr>
          <w:rFonts w:ascii="Arial" w:hAnsi="Arial" w:cs="Arial"/>
        </w:rPr>
        <w:t>mikro</w:t>
      </w:r>
      <w:proofErr w:type="spellEnd"/>
      <w:r>
        <w:rPr>
          <w:rFonts w:ascii="Arial" w:hAnsi="Arial" w:cs="Arial"/>
        </w:rPr>
        <w:t>, malých a stredných podnikov KKP</w:t>
      </w:r>
    </w:p>
    <w:p>
      <w:pPr>
        <w:pStyle w:val="Odsekzoznamu"/>
        <w:numPr>
          <w:ilvl w:val="0"/>
          <w:numId w:val="33"/>
        </w:numPr>
        <w:jc w:val="both"/>
        <w:rPr>
          <w:rFonts w:ascii="Arial" w:hAnsi="Arial" w:cs="Arial"/>
        </w:rPr>
      </w:pPr>
      <w:r>
        <w:rPr>
          <w:rFonts w:ascii="Arial" w:hAnsi="Arial" w:cs="Arial"/>
        </w:rPr>
        <w:t>Nízke povedomie o KKS.</w:t>
      </w:r>
    </w:p>
    <w:p>
      <w:pPr>
        <w:jc w:val="both"/>
        <w:rPr>
          <w:rFonts w:ascii="Arial" w:hAnsi="Arial" w:cs="Arial"/>
          <w:b/>
        </w:rPr>
      </w:pPr>
      <w:r>
        <w:rPr>
          <w:rFonts w:ascii="Arial" w:hAnsi="Arial" w:cs="Arial"/>
          <w:b/>
        </w:rPr>
        <w:t>Opatrenia na riešenie v rámci IROP:</w:t>
      </w:r>
    </w:p>
    <w:p>
      <w:pPr>
        <w:pStyle w:val="Odsekzoznamu"/>
        <w:numPr>
          <w:ilvl w:val="0"/>
          <w:numId w:val="33"/>
        </w:numPr>
        <w:spacing w:line="280" w:lineRule="auto"/>
        <w:jc w:val="both"/>
        <w:rPr>
          <w:rFonts w:ascii="Arial" w:hAnsi="Arial" w:cs="Arial"/>
        </w:rPr>
      </w:pPr>
      <w:r>
        <w:rPr>
          <w:rFonts w:ascii="Arial" w:hAnsi="Arial" w:cs="Arial"/>
        </w:rPr>
        <w:t xml:space="preserve">Podpora budovania podnikateľského ducha a zručností študentov, absolventov a talentov v KKS s cieľom </w:t>
      </w:r>
      <w:proofErr w:type="spellStart"/>
      <w:r>
        <w:rPr>
          <w:rFonts w:ascii="Arial" w:hAnsi="Arial" w:cs="Arial"/>
        </w:rPr>
        <w:t>samozamestnateľnosti</w:t>
      </w:r>
      <w:proofErr w:type="spellEnd"/>
      <w:r>
        <w:rPr>
          <w:rFonts w:ascii="Arial" w:hAnsi="Arial" w:cs="Arial"/>
        </w:rPr>
        <w:t>, či zakladania vlastných podnikov</w:t>
      </w:r>
    </w:p>
    <w:p>
      <w:pPr>
        <w:pStyle w:val="Odsekzoznamu"/>
        <w:numPr>
          <w:ilvl w:val="0"/>
          <w:numId w:val="33"/>
        </w:numPr>
        <w:jc w:val="both"/>
        <w:rPr>
          <w:rFonts w:ascii="Arial" w:hAnsi="Arial" w:cs="Arial"/>
        </w:rPr>
      </w:pPr>
      <w:r>
        <w:rPr>
          <w:rFonts w:ascii="Arial" w:hAnsi="Arial" w:cs="Arial"/>
        </w:rPr>
        <w:t>Podpora kreatívnej a experimentálnej tvorby, špecifické poradenstvo v oblasti netechnologických inovácií a podnikania, sieťovanie, medzinárodná spolupráca</w:t>
      </w:r>
    </w:p>
    <w:p>
      <w:pPr>
        <w:pStyle w:val="Odsekzoznamu"/>
        <w:numPr>
          <w:ilvl w:val="0"/>
          <w:numId w:val="33"/>
        </w:numPr>
        <w:spacing w:line="280" w:lineRule="auto"/>
        <w:jc w:val="both"/>
        <w:rPr>
          <w:rFonts w:ascii="Arial" w:hAnsi="Arial" w:cs="Arial"/>
        </w:rPr>
      </w:pPr>
      <w:r>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pPr>
        <w:pStyle w:val="Odsekzoznamu"/>
        <w:numPr>
          <w:ilvl w:val="0"/>
          <w:numId w:val="33"/>
        </w:numPr>
        <w:jc w:val="both"/>
        <w:rPr>
          <w:rFonts w:ascii="Arial" w:hAnsi="Arial" w:cs="Arial"/>
        </w:rPr>
      </w:pPr>
      <w:r>
        <w:rPr>
          <w:rFonts w:ascii="Arial" w:hAnsi="Arial" w:cs="Arial"/>
        </w:rPr>
        <w:t xml:space="preserve">Budovanie partnerstiev a organizačnej kultúry medzi verejným a súkromným sektorom v KKS </w:t>
      </w:r>
    </w:p>
    <w:p>
      <w:pPr>
        <w:pStyle w:val="Odsekzoznamu"/>
        <w:numPr>
          <w:ilvl w:val="0"/>
          <w:numId w:val="33"/>
        </w:numPr>
        <w:jc w:val="both"/>
        <w:rPr>
          <w:rFonts w:ascii="Arial" w:hAnsi="Arial" w:cs="Arial"/>
        </w:rPr>
      </w:pPr>
      <w:r>
        <w:rPr>
          <w:rFonts w:ascii="Arial" w:hAnsi="Arial" w:cs="Arial"/>
        </w:rPr>
        <w:t>Umožnenie prístupu k financovaniu pre rozvoj talentov, organizácií a podnikov KKS</w:t>
      </w:r>
    </w:p>
    <w:p>
      <w:pPr>
        <w:pStyle w:val="Odsekzoznamu"/>
        <w:numPr>
          <w:ilvl w:val="0"/>
          <w:numId w:val="33"/>
        </w:numPr>
        <w:jc w:val="both"/>
        <w:rPr>
          <w:rFonts w:ascii="Arial" w:hAnsi="Arial" w:cs="Arial"/>
        </w:rPr>
      </w:pPr>
      <w:r>
        <w:rPr>
          <w:rFonts w:ascii="Arial" w:hAnsi="Arial" w:cs="Arial"/>
        </w:rPr>
        <w:t>Budovanie povedomia o KKS (prezentácie, kampane, konferencie, semináre, kultúrne politiky).</w:t>
      </w:r>
    </w:p>
    <w:p>
      <w:pPr>
        <w:jc w:val="both"/>
        <w:rPr>
          <w:rFonts w:ascii="Arial" w:hAnsi="Arial" w:cs="Arial"/>
        </w:rPr>
      </w:pPr>
    </w:p>
    <w:p>
      <w:pPr>
        <w:shd w:val="clear" w:color="auto" w:fill="BFBFBF" w:themeFill="background1" w:themeFillShade="BF"/>
        <w:rPr>
          <w:rFonts w:ascii="Arial" w:hAnsi="Arial" w:cs="Arial"/>
          <w:b/>
          <w:i/>
        </w:rPr>
      </w:pPr>
      <w:r>
        <w:rPr>
          <w:rFonts w:ascii="Arial" w:hAnsi="Arial" w:cs="Arial"/>
          <w:b/>
          <w:i/>
        </w:rPr>
        <w:t>Zlepšenie kvality života v regiónoch s dôrazom na životné prostredie</w:t>
      </w:r>
    </w:p>
    <w:p>
      <w:pPr>
        <w:shd w:val="clear" w:color="auto" w:fill="D9D9D9"/>
        <w:jc w:val="both"/>
        <w:rPr>
          <w:rStyle w:val="Zvraznenie"/>
          <w:rFonts w:ascii="Arial" w:hAnsi="Arial" w:cs="Arial"/>
          <w:b/>
        </w:rPr>
      </w:pPr>
      <w:r>
        <w:rPr>
          <w:rStyle w:val="Zvraznenie"/>
          <w:rFonts w:ascii="Arial" w:hAnsi="Arial" w:cs="Arial"/>
          <w:b/>
        </w:rPr>
        <w:t>Zvýšenie energetickej efektívnosti budov na bývanie</w:t>
      </w:r>
    </w:p>
    <w:p>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priamo prispieva k dosahovaniu jedného z hlavných cieľov stratégie Európa 2020, a to </w:t>
      </w:r>
      <w:r>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Pr>
          <w:rFonts w:ascii="Arial" w:hAnsi="Arial" w:cs="Arial"/>
        </w:rPr>
        <w:t>(„20/20/20“). Tieto ciele sú v rámci NPR SR 2013 transformované do národných cieľov nasledovne: „13/14/11“.</w:t>
      </w:r>
    </w:p>
    <w:p>
      <w:pPr>
        <w:pStyle w:val="Odsekzoznamu"/>
        <w:ind w:left="0"/>
        <w:contextualSpacing w:val="0"/>
        <w:jc w:val="both"/>
        <w:rPr>
          <w:rFonts w:ascii="Arial" w:hAnsi="Arial" w:cs="Arial"/>
        </w:rPr>
      </w:pPr>
      <w:r>
        <w:rPr>
          <w:rFonts w:ascii="Arial" w:hAnsi="Arial" w:cs="Arial"/>
        </w:rPr>
        <w:t xml:space="preserve">Na konečnú energetickú spotrebu domácností, sektoru obchodu a služieb vrátane služieb verejného sektora má spotreba budov najväčší vplyv. Na základe monitorovania energetickej certifikácie budov možno konštatovať, že v období 2008-2010 sa zlepšením tepelno-technických vlastností budov ušetrilo cca 10 </w:t>
      </w:r>
      <w:proofErr w:type="spellStart"/>
      <w:r>
        <w:rPr>
          <w:rFonts w:ascii="Arial" w:hAnsi="Arial" w:cs="Arial"/>
        </w:rPr>
        <w:t>GWh</w:t>
      </w:r>
      <w:proofErr w:type="spellEnd"/>
      <w:r>
        <w:rPr>
          <w:rFonts w:ascii="Arial" w:hAnsi="Arial" w:cs="Arial"/>
        </w:rPr>
        <w:t xml:space="preserve"> (na základe 9 343 certifikátov). K zníženiu spotreby tepla </w:t>
      </w:r>
      <w:r>
        <w:rPr>
          <w:rFonts w:ascii="Arial" w:hAnsi="Arial" w:cs="Arial"/>
        </w:rPr>
        <w:lastRenderedPageBreak/>
        <w:t>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pPr>
        <w:pStyle w:val="Odsekzoznamu"/>
        <w:ind w:left="0"/>
        <w:contextualSpacing w:val="0"/>
        <w:jc w:val="both"/>
        <w:rPr>
          <w:rFonts w:ascii="Arial" w:hAnsi="Arial" w:cs="Arial"/>
        </w:rPr>
      </w:pPr>
      <w:r>
        <w:rPr>
          <w:rFonts w:ascii="Arial" w:hAnsi="Arial" w:cs="Arial"/>
        </w:rPr>
        <w:t>Súčasné výrazné zatepľovanie bytových domov a budov a zároveň výmena okien napomáhajú znižovať spotrebu tepla v domácnostiach, kde sa do roku 2030 očakáva zateplenie väčšiny bytových domov. Je pravdepodobné, že bude potrebné obnoviť už aj určitý podiel budov zateplených pred rokom 2010</w:t>
      </w:r>
      <w:r>
        <w:rPr>
          <w:rStyle w:val="Odkaznapoznmkupodiarou"/>
          <w:rFonts w:ascii="Arial" w:hAnsi="Arial" w:cs="Arial"/>
        </w:rPr>
        <w:footnoteReference w:id="21"/>
      </w:r>
      <w:r>
        <w:rPr>
          <w:rFonts w:ascii="Arial" w:hAnsi="Arial" w:cs="Arial"/>
        </w:rPr>
        <w:t xml:space="preserve">. V rokoch 1992-2011 bola podľa odborného odhadu obnovená 1/3 budov na bývanie (celkovo v SR evidujeme 1,7 mil. bytových jednotiek v 880 tis. budovách na bývanie), pričom z celkového počtu 815 386 rodinných domov bolo obnovených 27% a  34% z 64 615 bytových domov. </w:t>
      </w:r>
    </w:p>
    <w:p>
      <w:pPr>
        <w:pStyle w:val="Odsekzoznamu"/>
        <w:ind w:left="0"/>
        <w:contextualSpacing w:val="0"/>
        <w:jc w:val="both"/>
        <w:rPr>
          <w:rFonts w:ascii="Arial" w:hAnsi="Arial" w:cs="Arial"/>
        </w:rPr>
      </w:pPr>
      <w:r>
        <w:rPr>
          <w:rFonts w:ascii="Arial" w:hAnsi="Arial" w:cs="Arial"/>
        </w:rPr>
        <w:t>V SR v súčasnosti prebieha čiastočná pasportizácia bytových domov s celkovou podlahovou plochou viac ako 1 000 m</w:t>
      </w:r>
      <w:r>
        <w:rPr>
          <w:rFonts w:ascii="Arial" w:hAnsi="Arial" w:cs="Arial"/>
          <w:vertAlign w:val="superscript"/>
        </w:rPr>
        <w:t>2</w:t>
      </w:r>
      <w:r>
        <w:rPr>
          <w:rFonts w:ascii="Arial" w:hAnsi="Arial" w:cs="Arial"/>
        </w:rPr>
        <w:t xml:space="preserve"> prostredníctvom monitorovacieho systému efektívnosti pri používaní energie (SIEA). V súčasnosti je v monitorovacom systéme evidovaných viac ako </w:t>
      </w:r>
      <w:r>
        <w:rPr>
          <w:rFonts w:ascii="Arial" w:hAnsi="Arial" w:cs="Arial"/>
        </w:rPr>
        <w:br/>
        <w:t>13 000 bytových domov  z celkového počtu 64 615 bytových domov (k roku 2011), čo je zhruba 20%. Údaje o energetickej náročnosti sú v štádiu vyhodnocovania. Výstupná správa bude k dispozícii v druhom polroku 2014.</w:t>
      </w:r>
    </w:p>
    <w:p>
      <w:pPr>
        <w:pStyle w:val="Odsekzoznamu"/>
        <w:ind w:left="0"/>
        <w:contextualSpacing w:val="0"/>
        <w:jc w:val="both"/>
        <w:rPr>
          <w:rFonts w:ascii="Arial" w:hAnsi="Arial" w:cs="Arial"/>
        </w:rPr>
      </w:pPr>
      <w:r>
        <w:rPr>
          <w:rFonts w:ascii="Arial" w:hAnsi="Arial" w:cs="Arial"/>
        </w:rPr>
        <w:t xml:space="preserve">Odhadovaná absorpčná kapacita pre zlepšovanie tepelno-technických vlastností stavebných konštrukcií budov na bývanie a modernizáciu technických zariadení budov je na obdobie rokov 2014-2020 minimálne 780 mil. EUR. Zvýši sa podiel nových nízkoenergetických a pasívnych budov, spotreba energie bude smerovať k vyššiemu využitiu obnoviteľných zdrojov energie. Vzhľadom na požiadavky smernice 2010/31/EÚ o energetickej hospodárnosti budov by mali všetky nové verejné budovy postavené od roku 2019 a všetky budovy postavené od roku 2021, spĺňať požiadavky budov s takmer nulovou potrebou energie. Predmetné požiadavky sú zohľadnené aj v </w:t>
      </w:r>
      <w:r>
        <w:rPr>
          <w:rFonts w:ascii="Arial" w:hAnsi="Arial" w:cs="Arial"/>
          <w:i/>
        </w:rPr>
        <w:t>Národnom pláne zvyšovania počtu budov s takmer nulovou potrebou energie</w:t>
      </w:r>
      <w:r>
        <w:rPr>
          <w:rFonts w:ascii="Arial" w:hAnsi="Arial" w:cs="Arial"/>
        </w:rPr>
        <w:t>. Aplikáciou opatrení pre znižovanie energetickej náročnosti budov sa úspora energie na vykurovanie za rok po roku 2015 predpokladá na úrovni 40,7 kWh/m</w:t>
      </w:r>
      <w:r>
        <w:rPr>
          <w:rFonts w:ascii="Arial" w:hAnsi="Arial" w:cs="Arial"/>
          <w:vertAlign w:val="superscript"/>
        </w:rPr>
        <w:t>2</w:t>
      </w:r>
      <w:r>
        <w:rPr>
          <w:rFonts w:ascii="Arial" w:hAnsi="Arial" w:cs="Arial"/>
        </w:rPr>
        <w:t xml:space="preserve"> pre rodinný dom, 25 kWh/m</w:t>
      </w:r>
      <w:r>
        <w:rPr>
          <w:rFonts w:ascii="Arial" w:hAnsi="Arial" w:cs="Arial"/>
          <w:vertAlign w:val="superscript"/>
        </w:rPr>
        <w:t>2</w:t>
      </w:r>
      <w:r>
        <w:rPr>
          <w:rFonts w:ascii="Arial" w:hAnsi="Arial" w:cs="Arial"/>
        </w:rPr>
        <w:t xml:space="preserve"> pre bytovú jednotku. Za predpokladov stanovených vo vyššie uvedenom národnom pláne predstavuje potenciál možných úspor energie za roky 2016 až 2021 pri nových budovách dosiahnutím energetickej úrovne takmer nulovej potreby energie spolu 1 497,7 TJ, respektíve 1,5 PJ, čo predstavuje približne zníženie emisií CO</w:t>
      </w:r>
      <w:r>
        <w:rPr>
          <w:rFonts w:ascii="Arial" w:hAnsi="Arial" w:cs="Arial"/>
          <w:vertAlign w:val="subscript"/>
        </w:rPr>
        <w:t>2</w:t>
      </w:r>
      <w:r>
        <w:rPr>
          <w:rFonts w:ascii="Arial" w:hAnsi="Arial" w:cs="Arial"/>
        </w:rPr>
        <w:t xml:space="preserve"> o 87 tis. ton</w:t>
      </w:r>
      <w:r>
        <w:rPr>
          <w:rStyle w:val="Odkaznapoznmkupodiarou"/>
          <w:rFonts w:ascii="Arial" w:hAnsi="Arial" w:cs="Arial"/>
        </w:rPr>
        <w:footnoteReference w:id="22"/>
      </w:r>
      <w:r>
        <w:rPr>
          <w:rFonts w:ascii="Arial" w:hAnsi="Arial" w:cs="Arial"/>
        </w:rPr>
        <w:t>.</w:t>
      </w:r>
    </w:p>
    <w:p>
      <w:pPr>
        <w:shd w:val="clear" w:color="auto" w:fill="D9D9D9"/>
        <w:jc w:val="both"/>
        <w:rPr>
          <w:rStyle w:val="Zvraznenie"/>
          <w:rFonts w:ascii="Arial" w:hAnsi="Arial" w:cs="Arial"/>
          <w:b/>
        </w:rPr>
      </w:pPr>
      <w:r>
        <w:rPr>
          <w:rStyle w:val="Zvraznenie"/>
          <w:rFonts w:ascii="Arial" w:hAnsi="Arial" w:cs="Arial"/>
          <w:b/>
        </w:rPr>
        <w:t>Zvýšenie dostupnosti zdrojov podzemných vôd pre zásobovanie obyvateľstva pitnou vodou</w:t>
      </w:r>
    </w:p>
    <w:p>
      <w:pPr>
        <w:pStyle w:val="Odsekzoznamu"/>
        <w:ind w:left="0"/>
        <w:contextualSpacing w:val="0"/>
        <w:jc w:val="both"/>
        <w:rPr>
          <w:rFonts w:ascii="Arial" w:hAnsi="Arial" w:cs="Arial"/>
        </w:rPr>
      </w:pPr>
      <w:r>
        <w:rPr>
          <w:rFonts w:ascii="Arial" w:hAnsi="Arial" w:cs="Arial"/>
        </w:rPr>
        <w:t xml:space="preserve">Nevyhnutnosť zabezpečenia zvýšenia dostupnosti zdrojov podzemnej vody umocňuje zmena klímy a jej nepriaznivé dôsledky. Na území SR sa výrazne prejavili počas posledných 30 rokov, a najmä v prvom desaťročí 21. storočia. 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dostupnosť zdrojov pitnej vody. Dôsledky klimatickej zmeny a možné adaptačné opatrenia v jednotlivých sektoroch sú popísané v </w:t>
      </w:r>
      <w:r>
        <w:rPr>
          <w:rFonts w:ascii="Arial" w:hAnsi="Arial" w:cs="Arial"/>
          <w:i/>
        </w:rPr>
        <w:t xml:space="preserve">Záverečnej správe projektu Dôsledky klimatickej zmeny a možné adaptačné opatrenia </w:t>
      </w:r>
      <w:r>
        <w:rPr>
          <w:rFonts w:ascii="Arial" w:hAnsi="Arial" w:cs="Arial"/>
          <w:i/>
        </w:rPr>
        <w:lastRenderedPageBreak/>
        <w:t>v jednotlivých sektoroch</w:t>
      </w:r>
      <w:r>
        <w:rPr>
          <w:rStyle w:val="Odkaznapoznmkupodiarou"/>
          <w:rFonts w:ascii="Arial" w:hAnsi="Arial" w:cs="Arial"/>
        </w:rPr>
        <w:footnoteReference w:id="23"/>
      </w:r>
      <w:r>
        <w:rPr>
          <w:rFonts w:ascii="Arial" w:hAnsi="Arial" w:cs="Arial"/>
          <w:b/>
        </w:rPr>
        <w:t xml:space="preserve"> </w:t>
      </w:r>
      <w:r>
        <w:rPr>
          <w:rFonts w:ascii="Arial" w:hAnsi="Arial" w:cs="Arial"/>
        </w:rPr>
        <w:t xml:space="preserve">a v </w:t>
      </w:r>
      <w:r>
        <w:rPr>
          <w:rFonts w:ascii="Arial" w:hAnsi="Arial" w:cs="Arial"/>
          <w:i/>
        </w:rPr>
        <w:t>Národnej správe SR o zmene klímy</w:t>
      </w:r>
      <w:r>
        <w:rPr>
          <w:rFonts w:ascii="Arial" w:hAnsi="Arial" w:cs="Arial"/>
        </w:rPr>
        <w:t>, ktoré boli vypracované v rámci plnenia záväzkov podľa čl. 4 a čl. 12 Rámcového dohovoru OSN o zmene klímy.</w:t>
      </w:r>
      <w:r>
        <w:rPr>
          <w:rFonts w:ascii="Arial" w:hAnsi="Arial" w:cs="Arial"/>
          <w:b/>
        </w:rPr>
        <w:t xml:space="preserve"> </w:t>
      </w:r>
      <w:r>
        <w:rPr>
          <w:rFonts w:ascii="Arial" w:hAnsi="Arial" w:cs="Arial"/>
        </w:rPr>
        <w:t xml:space="preserve">Prvým komplexným dokumentom, ktorý na základe scenárov a analýzy nepriaznivých dôsledkov zmeny klímy poskytuje informácie o možnostiach na znižovanie zraniteľnosti a </w:t>
      </w:r>
      <w:proofErr w:type="spellStart"/>
      <w:r>
        <w:rPr>
          <w:rFonts w:ascii="Arial" w:hAnsi="Arial" w:cs="Arial"/>
        </w:rPr>
        <w:t>proaktívnu</w:t>
      </w:r>
      <w:proofErr w:type="spellEnd"/>
      <w:r>
        <w:rPr>
          <w:rFonts w:ascii="Arial" w:hAnsi="Arial" w:cs="Arial"/>
        </w:rPr>
        <w:t xml:space="preserve"> adaptáciu, je</w:t>
      </w:r>
      <w:r>
        <w:rPr>
          <w:rFonts w:ascii="Arial" w:hAnsi="Arial" w:cs="Arial"/>
          <w:b/>
        </w:rPr>
        <w:t xml:space="preserve"> </w:t>
      </w:r>
      <w:r>
        <w:rPr>
          <w:rFonts w:ascii="Arial" w:hAnsi="Arial" w:cs="Arial"/>
          <w:i/>
        </w:rPr>
        <w:t>Stratégia adaptácie SR na nepriaznivé dôsledky zmeny klímy</w:t>
      </w:r>
      <w:r>
        <w:rPr>
          <w:rStyle w:val="Odkaznapoznmkupodiarou"/>
          <w:rFonts w:ascii="Arial" w:hAnsi="Arial" w:cs="Arial"/>
        </w:rPr>
        <w:footnoteReference w:id="24"/>
      </w:r>
      <w:r>
        <w:rPr>
          <w:rFonts w:ascii="Arial" w:hAnsi="Arial" w:cs="Arial"/>
        </w:rPr>
        <w:t>.</w:t>
      </w:r>
    </w:p>
    <w:p>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i/>
        </w:rPr>
        <w:t>Koncepcia vodohospodárskej politiky SR do roku 2015</w:t>
      </w:r>
      <w:r>
        <w:rPr>
          <w:rFonts w:ascii="Arial" w:hAnsi="Arial" w:cs="Arial"/>
        </w:rPr>
        <w:t xml:space="preserve"> stanovuje špecifický cieľ: </w:t>
      </w:r>
      <w:r>
        <w:rPr>
          <w:rFonts w:ascii="Arial" w:hAnsi="Arial" w:cs="Arial"/>
          <w:i/>
        </w:rPr>
        <w:t>„Pripravovať výstavbu zdrojov vody na zásobovanie deficitných oblastí a oblastí s ohrozenou kvalitou vody v závislosti na rozširovaní zásobovania a kapacite využívaných zdrojov“</w:t>
      </w:r>
      <w:r>
        <w:rPr>
          <w:rFonts w:ascii="Arial" w:hAnsi="Arial" w:cs="Arial"/>
        </w:rPr>
        <w:t>.</w:t>
      </w:r>
    </w:p>
    <w:p>
      <w:pPr>
        <w:pStyle w:val="Odsekzoznamu"/>
        <w:ind w:left="0"/>
        <w:contextualSpacing w:val="0"/>
        <w:jc w:val="both"/>
        <w:rPr>
          <w:rFonts w:ascii="Arial" w:hAnsi="Arial" w:cs="Arial"/>
        </w:rPr>
      </w:pPr>
      <w:r>
        <w:rPr>
          <w:rFonts w:ascii="Arial" w:hAnsi="Arial" w:cs="Arial"/>
        </w:rPr>
        <w:t>Napriek pozitívnemu globálnemu pohľadu rámcovej bilancie potrieb vody, z ktorej vyplýva, že vybudované kapacity zdrojov budú pokrývať všetky potreby, neodpovedá toto tvrdenie reálnemu stavu vo všetkých vodovodoch.</w:t>
      </w:r>
      <w:r>
        <w:rPr>
          <w:rStyle w:val="Odkaznapoznmkupodiarou"/>
          <w:rFonts w:ascii="Arial" w:hAnsi="Arial" w:cs="Arial"/>
        </w:rPr>
        <w:footnoteReference w:id="25"/>
      </w:r>
      <w:r>
        <w:rPr>
          <w:rFonts w:ascii="Arial" w:hAnsi="Arial" w:cs="Arial"/>
        </w:rPr>
        <w:t xml:space="preserve"> </w:t>
      </w:r>
      <w:r>
        <w:rPr>
          <w:rFonts w:ascii="Arial" w:hAnsi="Arial" w:cs="Arial"/>
          <w:b/>
        </w:rPr>
        <w:t>Vzhľadom k nerovnomernému rozloženiu vodných zdrojov na území SR sú niektoré oblasti z hľadiska zdrojov vody prebytkové, iné oblasti zase vykazujú k roku 2015 deficit zdrojov.</w:t>
      </w:r>
      <w:r>
        <w:rPr>
          <w:rFonts w:ascii="Arial" w:hAnsi="Arial" w:cs="Arial"/>
        </w:rPr>
        <w:t xml:space="preserve"> Vysoko prebytkové sú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(viaceré oblasti sú zásobované z povrchových tokov, ktoré sú náchylnejšie tak na deficit zrážok ako aj na znečistenie). Najčastejšie nedostatky sa prejavujú na vodných zdrojoch určených najmä na zásobovanie miestnych vodovodov. Často ide o problémy nedostatku vody v období dlhotrvajúcich periód sucha, prípadne v kvalite odoberanej vody. Lokálne nedostatky zásob pitnej vody je možné riešiť budovaním napojení na existujúce vodné zdroje alebo budovaním resp. rozširovaním súčasných vodných zdrojov. </w:t>
      </w:r>
    </w:p>
    <w:p>
      <w:pPr>
        <w:shd w:val="clear" w:color="auto" w:fill="D9D9D9"/>
        <w:jc w:val="both"/>
        <w:rPr>
          <w:rStyle w:val="Zvraznenie"/>
          <w:rFonts w:ascii="Arial" w:hAnsi="Arial" w:cs="Arial"/>
          <w:b/>
          <w:i w:val="0"/>
        </w:rPr>
      </w:pPr>
      <w:r>
        <w:rPr>
          <w:rStyle w:val="Zvraznenie"/>
          <w:rFonts w:ascii="Arial" w:hAnsi="Arial" w:cs="Arial"/>
          <w:b/>
        </w:rPr>
        <w:t>Vytváranie predpokladov na zabezpečenie bezproblémového zásobovania obyvateľstva kvalitnou pitnou vodou a efektívne čistenie odpadových vôd bez negatívnych dopadov na životné prostredie</w:t>
      </w:r>
    </w:p>
    <w:p>
      <w:pPr>
        <w:pStyle w:val="Odsekzoznamu"/>
        <w:ind w:left="0"/>
        <w:contextualSpacing w:val="0"/>
        <w:jc w:val="both"/>
        <w:rPr>
          <w:rFonts w:ascii="Arial" w:hAnsi="Arial" w:cs="Arial"/>
        </w:rPr>
      </w:pPr>
      <w:r>
        <w:rPr>
          <w:rFonts w:ascii="Arial" w:hAnsi="Arial" w:cs="Arial"/>
          <w:i/>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týkajúcich sa rozvoja vodovodnej a kanalizačnej siete a zabezpečenia napojenia obyvateľov na sieť verejných vodovodov a kanalizácií. Na úrovni krajov SR sú vypracované plány rozvoja verejných vodovodov a verejných kanalizácií, ktorých cieľom je stanovenie základnej koncepcie optimálneho rozvoja zásobovania pitnou vodou a </w:t>
      </w:r>
      <w:proofErr w:type="spellStart"/>
      <w:r>
        <w:rPr>
          <w:rFonts w:ascii="Arial" w:hAnsi="Arial" w:cs="Arial"/>
        </w:rPr>
        <w:t>odkanalizovania</w:t>
      </w:r>
      <w:proofErr w:type="spellEnd"/>
      <w:r>
        <w:rPr>
          <w:rFonts w:ascii="Arial" w:hAnsi="Arial" w:cs="Arial"/>
        </w:rPr>
        <w:t xml:space="preserve"> a čistenia odpadových vôd sídel príslušného kraja. </w:t>
      </w:r>
    </w:p>
    <w:p>
      <w:pPr>
        <w:pStyle w:val="Odsekzoznamu"/>
        <w:ind w:left="0"/>
        <w:contextualSpacing w:val="0"/>
        <w:jc w:val="both"/>
        <w:rPr>
          <w:rFonts w:ascii="Arial" w:hAnsi="Arial" w:cs="Arial"/>
        </w:rPr>
      </w:pPr>
      <w:r>
        <w:rPr>
          <w:rFonts w:ascii="Arial" w:hAnsi="Arial" w:cs="Arial"/>
          <w:i/>
        </w:rPr>
        <w:t>Plán rozvoja verejných vodovodov pre územie SR</w:t>
      </w:r>
      <w:r>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predstavuje 81,2% z celkového počtu obcí SR.</w:t>
      </w:r>
    </w:p>
    <w:p>
      <w:pPr>
        <w:pStyle w:val="Odsekzoznamu"/>
        <w:ind w:left="0"/>
        <w:contextualSpacing w:val="0"/>
        <w:jc w:val="both"/>
        <w:rPr>
          <w:rFonts w:ascii="Arial" w:hAnsi="Arial" w:cs="Arial"/>
        </w:rPr>
      </w:pPr>
      <w:r>
        <w:rPr>
          <w:rFonts w:ascii="Arial" w:hAnsi="Arial" w:cs="Arial"/>
        </w:rPr>
        <w:lastRenderedPageBreak/>
        <w:t xml:space="preserve">Hlavným cieľom stratégie SR na úseku verejných kanalizácií je </w:t>
      </w:r>
      <w:r>
        <w:rPr>
          <w:rFonts w:ascii="Arial" w:hAnsi="Arial" w:cs="Arial"/>
          <w:b/>
        </w:rPr>
        <w:t>vytvárať podmienky na zvyšovanie podielu obyvateľov napojených na kanalizáciu s ČOV</w:t>
      </w:r>
      <w:r>
        <w:rPr>
          <w:rFonts w:ascii="Arial" w:hAnsi="Arial" w:cs="Arial"/>
        </w:rPr>
        <w:t xml:space="preserve">. V období rokov 2008-2011 vzrástla dĺžka kanalizačnej (okrem Bratislavského a Banskobystrického kraja) a vodovodnej siete. V roku 2011 predstavoval podiel obyvateľov pripojených na verejnú kanalizáciu v SR 61,6 %, pričom s výnimkou Bratislavského kraja (87,1%) všetky kraje nepresiahli 61% </w:t>
      </w:r>
      <w:proofErr w:type="spellStart"/>
      <w:r>
        <w:rPr>
          <w:rFonts w:ascii="Arial" w:hAnsi="Arial" w:cs="Arial"/>
        </w:rPr>
        <w:t>napojenosť</w:t>
      </w:r>
      <w:proofErr w:type="spellEnd"/>
      <w:r>
        <w:rPr>
          <w:rFonts w:ascii="Arial" w:hAnsi="Arial" w:cs="Arial"/>
        </w:rPr>
        <w:t>.</w:t>
      </w:r>
    </w:p>
    <w:p>
      <w:pPr>
        <w:pStyle w:val="Odsekzoznamu"/>
        <w:ind w:left="0"/>
        <w:contextualSpacing w:val="0"/>
        <w:jc w:val="both"/>
        <w:rPr>
          <w:rFonts w:ascii="Arial" w:hAnsi="Arial" w:cs="Arial"/>
        </w:rPr>
      </w:pPr>
      <w:r>
        <w:rPr>
          <w:rFonts w:ascii="Arial" w:hAnsi="Arial" w:cs="Arial"/>
        </w:rPr>
        <w:t xml:space="preserve">Opatrenia smerujúce k zabezpečeniu bezproblémového zásobovania obyvateľstva kvalitnou pitnou vodou a efektívnej likvidácii odpadových vôd bez negatívnych dopadov na životné prostredie 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IROP budú jednotlivé aktivity riešiť rekonštrukcie prívodov vody, vodovodných sietí a zariadení. S cieľom zabezpečenia zásobovania obyvateľov bez prívodu pitnej vody možno uvažovať s budovaním verejných vodovodov, okrem prípadov ich súbežnej výstavby s výstavbou verejnej kanalizácie podľa aktualizovaného Národného programu SR pre vykonávanie smernice Rady 91/271/EHS.</w:t>
      </w:r>
    </w:p>
    <w:p>
      <w:pPr>
        <w:shd w:val="clear" w:color="auto" w:fill="D9D9D9"/>
        <w:jc w:val="both"/>
        <w:rPr>
          <w:rFonts w:ascii="Arial" w:hAnsi="Arial" w:cs="Arial"/>
          <w:b/>
          <w:i/>
          <w:iCs/>
        </w:rPr>
      </w:pPr>
      <w:r>
        <w:rPr>
          <w:rStyle w:val="Zvraznenie"/>
          <w:rFonts w:ascii="Arial" w:hAnsi="Arial" w:cs="Arial"/>
          <w:b/>
        </w:rPr>
        <w:t>Zlepšenie kvality života obyvateľov a environmentálnych aspektov v mestách a mestských oblastiach prostredníctvom budovania prvkov zelenej infraštruktúry a regeneráciou a využitím nevyužívaných objektov a areálov a </w:t>
      </w:r>
      <w:proofErr w:type="spellStart"/>
      <w:r>
        <w:rPr>
          <w:rStyle w:val="Zvraznenie"/>
          <w:rFonts w:ascii="Arial" w:hAnsi="Arial" w:cs="Arial"/>
          <w:b/>
        </w:rPr>
        <w:t>vnútroblokov</w:t>
      </w:r>
      <w:proofErr w:type="spellEnd"/>
      <w:r>
        <w:rPr>
          <w:rStyle w:val="Zvraznenie"/>
          <w:rFonts w:ascii="Arial" w:hAnsi="Arial" w:cs="Arial"/>
          <w:b/>
        </w:rPr>
        <w:t xml:space="preserve"> sídlisk.   </w:t>
      </w:r>
    </w:p>
    <w:p>
      <w:pPr>
        <w:jc w:val="both"/>
        <w:rPr>
          <w:rFonts w:ascii="Arial" w:hAnsi="Arial" w:cs="Arial"/>
          <w:b/>
        </w:rPr>
      </w:pPr>
      <w:r>
        <w:rPr>
          <w:rFonts w:ascii="Arial" w:hAnsi="Arial" w:cs="Arial"/>
          <w:b/>
        </w:rPr>
        <w:t>Zelená infraštruktúra</w:t>
      </w:r>
    </w:p>
    <w:p>
      <w:pPr>
        <w:jc w:val="both"/>
        <w:rPr>
          <w:rFonts w:ascii="Arial" w:hAnsi="Arial" w:cs="Arial"/>
        </w:rPr>
      </w:pPr>
      <w:r>
        <w:rPr>
          <w:rFonts w:ascii="Arial" w:hAnsi="Arial" w:cs="Arial"/>
        </w:rPr>
        <w:t>V iniciatíve stratégie Európa 2020 „</w:t>
      </w:r>
      <w:r>
        <w:rPr>
          <w:rFonts w:ascii="Arial" w:hAnsi="Arial" w:cs="Arial"/>
          <w:i/>
        </w:rPr>
        <w:t>Európa efektívne využívajúca zdroje“</w:t>
      </w:r>
      <w:r>
        <w:rPr>
          <w:rStyle w:val="Odkaznapoznmkupodiarou"/>
          <w:rFonts w:ascii="Arial" w:hAnsi="Arial" w:cs="Arial"/>
        </w:rPr>
        <w:footnoteReference w:id="26"/>
      </w:r>
      <w:r>
        <w:rPr>
          <w:rFonts w:ascii="Arial" w:hAnsi="Arial" w:cs="Arial"/>
        </w:rPr>
        <w:t xml:space="preserve"> sa konštatuje, že nedostatočná ochrana prírodného kapitálu a nedocenenie hodnoty ekosystémových služieb sa bude musieť riešiť v rámci opatrení na podporu inteligentného, udržateľného a </w:t>
      </w:r>
      <w:proofErr w:type="spellStart"/>
      <w:r>
        <w:rPr>
          <w:rFonts w:ascii="Arial" w:hAnsi="Arial" w:cs="Arial"/>
        </w:rPr>
        <w:t>inkluzívneho</w:t>
      </w:r>
      <w:proofErr w:type="spellEnd"/>
      <w:r>
        <w:rPr>
          <w:rFonts w:ascii="Arial" w:hAnsi="Arial" w:cs="Arial"/>
        </w:rPr>
        <w:t xml:space="preserve"> rastu. V tomto pláne sa považujú investície do zelenej infraštruktúry (ďalej iba „ZI“) za dôležitý krok k ochrane prírodného kapitálu. V </w:t>
      </w:r>
      <w:r>
        <w:rPr>
          <w:rFonts w:ascii="Arial" w:hAnsi="Arial" w:cs="Arial"/>
          <w:i/>
        </w:rPr>
        <w:t>Stratégii EÚ v oblasti biodiverzity do roku 2020</w:t>
      </w:r>
      <w:r>
        <w:rPr>
          <w:rStyle w:val="Odkaznapoznmkupodiarou"/>
          <w:rFonts w:ascii="Arial" w:hAnsi="Arial" w:cs="Arial"/>
        </w:rPr>
        <w:footnoteReference w:id="27"/>
      </w:r>
      <w:r>
        <w:rPr>
          <w:rFonts w:ascii="Arial" w:hAnsi="Arial" w:cs="Arial"/>
        </w:rPr>
        <w:t xml:space="preserve"> sa uvádza záväzok Komisie vytvoriť stratégiu pre zelenú infraštruktúru</w:t>
      </w:r>
      <w:r>
        <w:rPr>
          <w:rStyle w:val="Odkaznapoznmkupodiarou"/>
          <w:rFonts w:ascii="Arial" w:hAnsi="Arial" w:cs="Arial"/>
        </w:rPr>
        <w:footnoteReference w:id="28"/>
      </w:r>
      <w:r>
        <w:rPr>
          <w:rFonts w:ascii="Arial" w:hAnsi="Arial" w:cs="Arial"/>
        </w:rPr>
        <w:t xml:space="preserve">. </w:t>
      </w:r>
    </w:p>
    <w:p>
      <w:pPr>
        <w:jc w:val="both"/>
        <w:rPr>
          <w:rFonts w:ascii="Arial" w:hAnsi="Arial" w:cs="Arial"/>
        </w:rPr>
      </w:pPr>
      <w:r>
        <w:rPr>
          <w:rFonts w:ascii="Arial" w:hAnsi="Arial" w:cs="Arial"/>
        </w:rPr>
        <w:t xml:space="preserve">Materiál Európskej komisie </w:t>
      </w:r>
      <w:r>
        <w:rPr>
          <w:rFonts w:ascii="Arial" w:hAnsi="Arial" w:cs="Arial"/>
          <w:i/>
        </w:rPr>
        <w:t>„Zelená infraštruktúra – Zveľaďovanie prírodného kapitálu Európy“</w:t>
      </w:r>
      <w:r>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w:t>
      </w:r>
      <w:proofErr w:type="spellStart"/>
      <w:r>
        <w:rPr>
          <w:rFonts w:ascii="Arial" w:hAnsi="Arial" w:cs="Arial"/>
        </w:rPr>
        <w:t>poloprírodných</w:t>
      </w:r>
      <w:proofErr w:type="spellEnd"/>
      <w:r>
        <w:rPr>
          <w:rFonts w:ascii="Arial" w:hAnsi="Arial" w:cs="Arial"/>
        </w:rPr>
        <w:t xml:space="preserve">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zelená infraštruktúra nachádza vo vidieckych a mestských oblastiach</w:t>
      </w:r>
      <w:r>
        <w:rPr>
          <w:rStyle w:val="Odkaznapoznmkupodiarou"/>
          <w:rFonts w:ascii="Arial" w:hAnsi="Arial" w:cs="Arial"/>
        </w:rPr>
        <w:footnoteReference w:id="29"/>
      </w:r>
      <w:r>
        <w:rPr>
          <w:rFonts w:ascii="Arial" w:hAnsi="Arial" w:cs="Arial"/>
        </w:rPr>
        <w:t>.</w:t>
      </w:r>
    </w:p>
    <w:p>
      <w:pPr>
        <w:jc w:val="both"/>
        <w:rPr>
          <w:rFonts w:ascii="Arial" w:hAnsi="Arial" w:cs="Arial"/>
          <w:b/>
          <w:i/>
          <w:shd w:val="clear" w:color="auto" w:fill="FFFFFF"/>
        </w:rPr>
      </w:pPr>
      <w:r>
        <w:rPr>
          <w:rFonts w:ascii="Arial" w:hAnsi="Arial" w:cs="Arial"/>
          <w:b/>
          <w:i/>
          <w:shd w:val="clear" w:color="auto" w:fill="FFFFFF"/>
        </w:rPr>
        <w:t>Podpora nevyužívaných objektov a areálov</w:t>
      </w:r>
    </w:p>
    <w:p>
      <w:pPr>
        <w:jc w:val="both"/>
        <w:rPr>
          <w:rFonts w:ascii="Arial" w:hAnsi="Arial" w:cs="Arial"/>
          <w:shd w:val="clear" w:color="auto" w:fill="FFFFFF"/>
        </w:rPr>
      </w:pPr>
      <w:r>
        <w:rPr>
          <w:rFonts w:ascii="Arial" w:hAnsi="Arial" w:cs="Arial"/>
          <w:shd w:val="clear" w:color="auto" w:fill="FFFFFF"/>
        </w:rPr>
        <w:t>Termín „</w:t>
      </w:r>
      <w:proofErr w:type="spellStart"/>
      <w:r>
        <w:rPr>
          <w:rFonts w:ascii="Arial" w:hAnsi="Arial" w:cs="Arial"/>
          <w:i/>
          <w:shd w:val="clear" w:color="auto" w:fill="FFFFFF"/>
        </w:rPr>
        <w:t>brownfield</w:t>
      </w:r>
      <w:proofErr w:type="spellEnd"/>
      <w:r>
        <w:rPr>
          <w:rFonts w:ascii="Arial" w:hAnsi="Arial" w:cs="Arial"/>
          <w:shd w:val="clear" w:color="auto" w:fill="FFFFFF"/>
        </w:rPr>
        <w:t xml:space="preserve">“ slúži na označenie nehnuteľnosti (pozemok, alebo objekt), ktorá sa nachádza na v súčasnosti alebo v minulosti zastavanom území, ktoré nie je efektívne využívaná a je </w:t>
      </w:r>
      <w:r>
        <w:rPr>
          <w:rFonts w:ascii="Arial" w:hAnsi="Arial" w:cs="Arial"/>
          <w:shd w:val="clear" w:color="auto" w:fill="FFFFFF"/>
        </w:rPr>
        <w:lastRenderedPageBreak/>
        <w:t>zanedbaná a prípadne i kontaminovaná. Ide o nehnuteľnosť, ktorú nie je možné efektívne využívať bez procesu jej regenerácie.</w:t>
      </w:r>
    </w:p>
    <w:p>
      <w:pPr>
        <w:pStyle w:val="Odsekzoznamu"/>
        <w:ind w:left="0"/>
        <w:contextualSpacing w:val="0"/>
        <w:jc w:val="both"/>
        <w:rPr>
          <w:rFonts w:ascii="Arial" w:hAnsi="Arial" w:cs="Arial"/>
        </w:rPr>
      </w:pPr>
      <w:r>
        <w:rPr>
          <w:rFonts w:ascii="Arial" w:hAnsi="Arial" w:cs="Arial"/>
        </w:rPr>
        <w:t xml:space="preserve">Zásadným problémom </w:t>
      </w:r>
      <w:proofErr w:type="spellStart"/>
      <w:r>
        <w:rPr>
          <w:rFonts w:ascii="Arial" w:hAnsi="Arial" w:cs="Arial"/>
        </w:rPr>
        <w:t>brownfieldov</w:t>
      </w:r>
      <w:proofErr w:type="spellEnd"/>
      <w:r>
        <w:rPr>
          <w:rFonts w:ascii="Arial" w:hAnsi="Arial" w:cs="Arial"/>
        </w:rPr>
        <w:t xml:space="preserve"> je popri ich priamej environmentálnej záťaži územia aj sekundárne sociálno-ekonomické pôsobenie niekdajšej činnosti v území prejavujúce sa negatívnym pôsobením na okolité územia (kriminalita, negatívne vnímanie územia zo strany spoločnosti, nezamestnanosť a iné).    </w:t>
      </w:r>
    </w:p>
    <w:p>
      <w:pPr>
        <w:pStyle w:val="Odsekzoznamu"/>
        <w:ind w:left="0"/>
        <w:contextualSpacing w:val="0"/>
        <w:jc w:val="both"/>
        <w:rPr>
          <w:rFonts w:ascii="Arial" w:hAnsi="Arial" w:cs="Arial"/>
        </w:rPr>
      </w:pPr>
      <w:r>
        <w:rPr>
          <w:rFonts w:ascii="Arial" w:hAnsi="Arial" w:cs="Arial"/>
        </w:rPr>
        <w:t xml:space="preserve">Z dostupnej evidencie disponibilných </w:t>
      </w:r>
      <w:proofErr w:type="spellStart"/>
      <w:r>
        <w:rPr>
          <w:rFonts w:ascii="Arial" w:hAnsi="Arial" w:cs="Arial"/>
        </w:rPr>
        <w:t>brownfieldov</w:t>
      </w:r>
      <w:proofErr w:type="spellEnd"/>
      <w:r>
        <w:rPr>
          <w:rFonts w:ascii="Arial" w:hAnsi="Arial" w:cs="Arial"/>
        </w:rPr>
        <w:t xml:space="preserve">, realizovanej Slovenskou agentúrou pre rozvoj investícií a obchodu (SARIO) v rokoch 2008 – 2009, možno </w:t>
      </w:r>
      <w:proofErr w:type="spellStart"/>
      <w:r>
        <w:rPr>
          <w:rFonts w:ascii="Arial" w:hAnsi="Arial" w:cs="Arial"/>
        </w:rPr>
        <w:t>brownfieldy</w:t>
      </w:r>
      <w:proofErr w:type="spellEnd"/>
      <w:r>
        <w:rPr>
          <w:rFonts w:ascii="Arial" w:hAnsi="Arial" w:cs="Arial"/>
        </w:rPr>
        <w:t xml:space="preserve"> v SR identifikovať ako </w:t>
      </w:r>
      <w:r>
        <w:rPr>
          <w:rFonts w:ascii="Arial" w:hAnsi="Arial" w:cs="Arial"/>
          <w:b/>
        </w:rPr>
        <w:t>územia výrazne poznačené predchádzajúcim užívaním a užívaním okolitých pozemkov, s reálne hroziacimi alebo očakávanými problémami s kontamináciou, územia opustené alebo len málo využívané a nachádzajú sa v rozvinutých resp. čiastočne rozvinutých oblastiach</w:t>
      </w:r>
      <w:r>
        <w:rPr>
          <w:rFonts w:ascii="Arial" w:hAnsi="Arial" w:cs="Arial"/>
        </w:rPr>
        <w:t xml:space="preserve">. Podľa predchádzajúceho využitia možno </w:t>
      </w:r>
      <w:proofErr w:type="spellStart"/>
      <w:r>
        <w:rPr>
          <w:rFonts w:ascii="Arial" w:hAnsi="Arial" w:cs="Arial"/>
        </w:rPr>
        <w:t>brownfieldy</w:t>
      </w:r>
      <w:proofErr w:type="spellEnd"/>
      <w:r>
        <w:rPr>
          <w:rFonts w:ascii="Arial" w:hAnsi="Arial" w:cs="Arial"/>
        </w:rPr>
        <w:t xml:space="preserve"> klasifikovať ako priemyselné, poľnohospodárske, armádne, administratívne, inštitucionálne (školy, nemocnice), rekreačné, kultúrne (kultúrne domy, kiná) a obytné. Na území SR bolo spolu identifikovaných </w:t>
      </w:r>
      <w:r>
        <w:rPr>
          <w:rFonts w:ascii="Arial" w:hAnsi="Arial" w:cs="Arial"/>
          <w:b/>
        </w:rPr>
        <w:t xml:space="preserve">663 </w:t>
      </w:r>
      <w:proofErr w:type="spellStart"/>
      <w:r>
        <w:rPr>
          <w:rFonts w:ascii="Arial" w:hAnsi="Arial" w:cs="Arial"/>
          <w:b/>
        </w:rPr>
        <w:t>brownfieldov</w:t>
      </w:r>
      <w:proofErr w:type="spellEnd"/>
      <w:r>
        <w:rPr>
          <w:rFonts w:ascii="Arial" w:hAnsi="Arial" w:cs="Arial"/>
          <w:b/>
        </w:rPr>
        <w:t xml:space="preserve"> s celkovou výmerou 1 736,3 ha</w:t>
      </w:r>
      <w:r>
        <w:rPr>
          <w:rStyle w:val="Odkaznapoznmkupodiarou"/>
          <w:rFonts w:ascii="Arial" w:hAnsi="Arial" w:cs="Arial"/>
          <w:shd w:val="clear" w:color="auto" w:fill="FFFFFF"/>
        </w:rPr>
        <w:footnoteReference w:id="30"/>
      </w:r>
      <w:r>
        <w:rPr>
          <w:rFonts w:ascii="Arial" w:hAnsi="Arial" w:cs="Arial"/>
        </w:rPr>
        <w:t xml:space="preserve">. Z regionálneho hľadiska bolo najviac </w:t>
      </w:r>
      <w:proofErr w:type="spellStart"/>
      <w:r>
        <w:rPr>
          <w:rFonts w:ascii="Arial" w:hAnsi="Arial" w:cs="Arial"/>
        </w:rPr>
        <w:t>brownfieldov</w:t>
      </w:r>
      <w:proofErr w:type="spellEnd"/>
      <w:r>
        <w:rPr>
          <w:rFonts w:ascii="Arial" w:hAnsi="Arial" w:cs="Arial"/>
        </w:rPr>
        <w:t xml:space="preserve"> identifikovaných v Žilinskom kraji (187 areálov), najväčšiu výmeru zaberajú </w:t>
      </w:r>
      <w:proofErr w:type="spellStart"/>
      <w:r>
        <w:rPr>
          <w:rFonts w:ascii="Arial" w:hAnsi="Arial" w:cs="Arial"/>
        </w:rPr>
        <w:t>brownfieldy</w:t>
      </w:r>
      <w:proofErr w:type="spellEnd"/>
      <w:r>
        <w:rPr>
          <w:rFonts w:ascii="Arial" w:hAnsi="Arial" w:cs="Arial"/>
        </w:rPr>
        <w:t xml:space="preserve"> v Košickom kraji (386,8 ha). V štruktúre vlastníctva hnedých zón dominuje súkromné vlastníctvo (45,8% </w:t>
      </w:r>
      <w:proofErr w:type="spellStart"/>
      <w:r>
        <w:rPr>
          <w:rFonts w:ascii="Arial" w:hAnsi="Arial" w:cs="Arial"/>
        </w:rPr>
        <w:t>brownfieldov</w:t>
      </w:r>
      <w:proofErr w:type="spellEnd"/>
      <w:r>
        <w:rPr>
          <w:rFonts w:ascii="Arial" w:hAnsi="Arial" w:cs="Arial"/>
        </w:rPr>
        <w:t xml:space="preserve">), vo vlastníctve samosprávnych krajov je 8,8% areálov, v obecnom vlastníctve 26,9% areálov, družstvo vlastníkov vlastní 4,2% areálov a zvyšok iný subjekt, resp. neznámy vlastník. Z pohľadu regenerácie </w:t>
      </w:r>
      <w:proofErr w:type="spellStart"/>
      <w:r>
        <w:rPr>
          <w:rFonts w:ascii="Arial" w:hAnsi="Arial" w:cs="Arial"/>
        </w:rPr>
        <w:t>brownfieldov</w:t>
      </w:r>
      <w:proofErr w:type="spellEnd"/>
      <w:r>
        <w:rPr>
          <w:rFonts w:ascii="Arial" w:hAnsi="Arial" w:cs="Arial"/>
        </w:rPr>
        <w:t xml:space="preserve"> a stratégie ich ďalšieho využitia zohráva dôležitý faktor ich pôvodný účel a s ním súvisiaca hrozba kontaminácie prostredia. Najväčšia skupina </w:t>
      </w:r>
      <w:proofErr w:type="spellStart"/>
      <w:r>
        <w:rPr>
          <w:rFonts w:ascii="Arial" w:hAnsi="Arial" w:cs="Arial"/>
        </w:rPr>
        <w:t>brownfieldov</w:t>
      </w:r>
      <w:proofErr w:type="spellEnd"/>
      <w:r>
        <w:rPr>
          <w:rFonts w:ascii="Arial" w:hAnsi="Arial" w:cs="Arial"/>
        </w:rPr>
        <w:t xml:space="preserve"> pôvodne slúžila priemyslu (35,8%), výrazný podiel majú poľnohospodárske </w:t>
      </w:r>
      <w:proofErr w:type="spellStart"/>
      <w:r>
        <w:rPr>
          <w:rFonts w:ascii="Arial" w:hAnsi="Arial" w:cs="Arial"/>
        </w:rPr>
        <w:t>brownfieldy</w:t>
      </w:r>
      <w:proofErr w:type="spellEnd"/>
      <w:r>
        <w:rPr>
          <w:rFonts w:ascii="Arial" w:hAnsi="Arial" w:cs="Arial"/>
        </w:rPr>
        <w:t xml:space="preserve"> (24,2%), územia pôvodne slúžiace ako občianska vybavenosť (23,2%), malý podiel predstavujú </w:t>
      </w:r>
      <w:proofErr w:type="spellStart"/>
      <w:r>
        <w:rPr>
          <w:rFonts w:ascii="Arial" w:hAnsi="Arial" w:cs="Arial"/>
        </w:rPr>
        <w:t>brownfieldy</w:t>
      </w:r>
      <w:proofErr w:type="spellEnd"/>
      <w:r>
        <w:rPr>
          <w:rFonts w:ascii="Arial" w:hAnsi="Arial" w:cs="Arial"/>
        </w:rPr>
        <w:t xml:space="preserve"> armádne (2,6%), </w:t>
      </w:r>
      <w:proofErr w:type="spellStart"/>
      <w:r>
        <w:rPr>
          <w:rFonts w:ascii="Arial" w:hAnsi="Arial" w:cs="Arial"/>
        </w:rPr>
        <w:t>brownfieldy</w:t>
      </w:r>
      <w:proofErr w:type="spellEnd"/>
      <w:r>
        <w:rPr>
          <w:rFonts w:ascii="Arial" w:hAnsi="Arial" w:cs="Arial"/>
        </w:rPr>
        <w:t xml:space="preserve"> slúžiace pre cestovný ruch (7,5%) a na bývanie (3,3%). </w:t>
      </w:r>
      <w:proofErr w:type="spellStart"/>
      <w:r>
        <w:rPr>
          <w:rFonts w:ascii="Arial" w:hAnsi="Arial" w:cs="Arial"/>
        </w:rPr>
        <w:t>Brownfieldy</w:t>
      </w:r>
      <w:proofErr w:type="spellEnd"/>
      <w:r>
        <w:rPr>
          <w:rFonts w:ascii="Arial" w:hAnsi="Arial" w:cs="Arial"/>
        </w:rPr>
        <w:t xml:space="preserve"> v mestách a v mestských oblastiach, ktoré tvoria približne polovicu zo všetkých zmapovaných areálov, sa vyznačujú dobrým napojením na technickú infraštruktúru (voda, kanalizácia, plyn, elektrina) a relatívne dobrým technickým stavom.</w:t>
      </w:r>
    </w:p>
    <w:p>
      <w:pPr>
        <w:spacing w:before="120" w:after="0"/>
        <w:rPr>
          <w:rFonts w:ascii="Arial" w:hAnsi="Arial" w:cs="Arial"/>
          <w:i/>
          <w:shd w:val="clear" w:color="auto" w:fill="FFFFFF"/>
        </w:rPr>
      </w:pPr>
    </w:p>
    <w:p>
      <w:pPr>
        <w:shd w:val="clear" w:color="auto" w:fill="BFBFBF" w:themeFill="background1" w:themeFillShade="BF"/>
        <w:rPr>
          <w:rFonts w:ascii="Arial" w:hAnsi="Arial" w:cs="Arial"/>
          <w:b/>
          <w:i/>
        </w:rPr>
      </w:pPr>
      <w:r>
        <w:rPr>
          <w:rFonts w:ascii="Arial" w:hAnsi="Arial" w:cs="Arial"/>
          <w:b/>
          <w:i/>
        </w:rPr>
        <w:t xml:space="preserve">Potreby a výzvy na úrovni miestnych spoločenstiev </w:t>
      </w:r>
    </w:p>
    <w:p>
      <w:pPr>
        <w:jc w:val="both"/>
        <w:rPr>
          <w:rFonts w:ascii="Arial" w:hAnsi="Arial" w:cs="Arial"/>
        </w:rPr>
      </w:pPr>
      <w:r>
        <w:rPr>
          <w:rFonts w:ascii="Arial" w:hAnsi="Arial" w:cs="Arial"/>
        </w:rPr>
        <w:t xml:space="preserve">V zmysle PD SR je </w:t>
      </w:r>
      <w:r>
        <w:rPr>
          <w:rFonts w:ascii="Arial" w:hAnsi="Arial" w:cs="Arial"/>
          <w:b/>
        </w:rPr>
        <w:t>cieľom miestneho rozvoja vedeného komunitou (ďalej aj „CLLD“) v podmienkach SR posilnenie hospodárskej, sociálnej a územnej súdržnosti prevažne vidieckeho územia a zaistenie dlhodobého udržateľného rozvoja územia s riešením vzťahov medzi vidieckymi rozvojovými centrami a ich funkčným zázemím</w:t>
      </w:r>
      <w:r>
        <w:rPr>
          <w:rFonts w:ascii="Arial" w:hAnsi="Arial" w:cs="Arial"/>
        </w:rPr>
        <w:t>.</w:t>
      </w:r>
    </w:p>
    <w:p>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w:t>
      </w:r>
      <w:proofErr w:type="spellStart"/>
      <w:r>
        <w:rPr>
          <w:rFonts w:ascii="Arial" w:hAnsi="Arial" w:cs="Arial"/>
        </w:rPr>
        <w:t>mikroregionálnej</w:t>
      </w:r>
      <w:proofErr w:type="spellEnd"/>
      <w:r>
        <w:rPr>
          <w:rFonts w:ascii="Arial" w:hAnsi="Arial" w:cs="Arial"/>
        </w:rPr>
        <w:t xml:space="preserve"> úrovni vrátane vzťahov </w:t>
      </w:r>
      <w:proofErr w:type="spellStart"/>
      <w:r>
        <w:rPr>
          <w:rFonts w:ascii="Arial" w:hAnsi="Arial" w:cs="Arial"/>
        </w:rPr>
        <w:t>mesto-vidiek</w:t>
      </w:r>
      <w:proofErr w:type="spellEnd"/>
      <w:r>
        <w:rPr>
          <w:rFonts w:ascii="Arial" w:hAnsi="Arial" w:cs="Arial"/>
        </w:rPr>
        <w:t>.</w:t>
      </w:r>
    </w:p>
    <w:p>
      <w:pPr>
        <w:tabs>
          <w:tab w:val="left" w:pos="1425"/>
        </w:tabs>
        <w:jc w:val="both"/>
        <w:rPr>
          <w:rFonts w:ascii="Arial" w:hAnsi="Arial" w:cs="Arial"/>
        </w:rPr>
      </w:pPr>
      <w:r>
        <w:rPr>
          <w:rFonts w:ascii="Arial" w:hAnsi="Arial" w:cs="Arial"/>
        </w:rPr>
        <w:lastRenderedPageBreak/>
        <w:t>Pre miestnu úroveň vidieckych osídlení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pPr>
        <w:tabs>
          <w:tab w:val="left" w:pos="1425"/>
        </w:tabs>
        <w:jc w:val="both"/>
        <w:rPr>
          <w:rFonts w:ascii="Arial" w:hAnsi="Arial" w:cs="Arial"/>
        </w:rPr>
      </w:pPr>
      <w:r>
        <w:rPr>
          <w:rFonts w:ascii="Arial" w:hAnsi="Arial" w:cs="Arial"/>
        </w:rPr>
        <w:t>Hlavné výzvy na miestnej úrovni nadväzujú na tri oblasti štrukturálnych problémov:</w:t>
      </w:r>
    </w:p>
    <w:p>
      <w:pPr>
        <w:pStyle w:val="Odsekzoznamu"/>
        <w:numPr>
          <w:ilvl w:val="0"/>
          <w:numId w:val="46"/>
        </w:numPr>
        <w:tabs>
          <w:tab w:val="left" w:pos="1425"/>
        </w:tabs>
        <w:jc w:val="both"/>
        <w:rPr>
          <w:rFonts w:ascii="Arial" w:hAnsi="Arial" w:cs="Arial"/>
          <w:b/>
        </w:rPr>
      </w:pPr>
      <w:r>
        <w:rPr>
          <w:rFonts w:ascii="Arial" w:hAnsi="Arial" w:cs="Arial"/>
          <w:b/>
        </w:rPr>
        <w:t>Zníženie sociálno-ekonomickej zaostalosti</w:t>
      </w:r>
    </w:p>
    <w:p>
      <w:pPr>
        <w:pStyle w:val="Odsekzoznamu"/>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pPr>
        <w:pStyle w:val="Odsekzoznamu"/>
        <w:numPr>
          <w:ilvl w:val="0"/>
          <w:numId w:val="47"/>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pPr>
        <w:pStyle w:val="Odsekzoznamu"/>
        <w:numPr>
          <w:ilvl w:val="0"/>
          <w:numId w:val="47"/>
        </w:numPr>
        <w:tabs>
          <w:tab w:val="left" w:pos="1425"/>
        </w:tabs>
        <w:jc w:val="both"/>
        <w:rPr>
          <w:rFonts w:ascii="Arial" w:hAnsi="Arial" w:cs="Arial"/>
        </w:rPr>
      </w:pPr>
      <w:r>
        <w:rPr>
          <w:rFonts w:ascii="Arial" w:hAnsi="Arial" w:cs="Arial"/>
        </w:rPr>
        <w:t xml:space="preserve">zlepšiť podporu živnostníkov a samostatne hospodáriacich roľníkov (SHR), </w:t>
      </w:r>
      <w:proofErr w:type="spellStart"/>
      <w:r>
        <w:rPr>
          <w:rFonts w:ascii="Arial" w:hAnsi="Arial" w:cs="Arial"/>
        </w:rPr>
        <w:t>mikro</w:t>
      </w:r>
      <w:proofErr w:type="spellEnd"/>
      <w:r>
        <w:rPr>
          <w:rFonts w:ascii="Arial" w:hAnsi="Arial" w:cs="Arial"/>
        </w:rPr>
        <w:t xml:space="preserve"> a malých podnikov najmä v poľnohospodárskom sektore ,</w:t>
      </w:r>
    </w:p>
    <w:p>
      <w:pPr>
        <w:pStyle w:val="Odsekzoznamu"/>
        <w:numPr>
          <w:ilvl w:val="0"/>
          <w:numId w:val="47"/>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pPr>
        <w:pStyle w:val="Odsekzoznamu"/>
        <w:numPr>
          <w:ilvl w:val="0"/>
          <w:numId w:val="47"/>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pPr>
        <w:pStyle w:val="Odsekzoznamu"/>
        <w:numPr>
          <w:ilvl w:val="0"/>
          <w:numId w:val="47"/>
        </w:numPr>
        <w:tabs>
          <w:tab w:val="left" w:pos="1425"/>
        </w:tabs>
        <w:jc w:val="both"/>
        <w:rPr>
          <w:rFonts w:ascii="Arial" w:hAnsi="Arial" w:cs="Arial"/>
        </w:rPr>
      </w:pPr>
      <w:r>
        <w:rPr>
          <w:rFonts w:ascii="Arial" w:hAnsi="Arial" w:cs="Arial"/>
        </w:rPr>
        <w:t xml:space="preserve">eliminovať dôsledky vnútornej migrácie (odliv najmä mladých ľudí zo zaostalejších regiónov alebo prílev obyvateľov do obcí v zázemí väčších miest v rámci </w:t>
      </w:r>
      <w:proofErr w:type="spellStart"/>
      <w:r>
        <w:rPr>
          <w:rFonts w:ascii="Arial" w:hAnsi="Arial" w:cs="Arial"/>
        </w:rPr>
        <w:t>suburbanizácie</w:t>
      </w:r>
      <w:proofErr w:type="spellEnd"/>
      <w:r>
        <w:rPr>
          <w:rFonts w:ascii="Arial" w:hAnsi="Arial" w:cs="Arial"/>
        </w:rPr>
        <w:t>),</w:t>
      </w:r>
    </w:p>
    <w:p>
      <w:pPr>
        <w:pStyle w:val="Odsekzoznamu"/>
        <w:numPr>
          <w:ilvl w:val="0"/>
          <w:numId w:val="47"/>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pPr>
        <w:pStyle w:val="Odsekzoznamu"/>
        <w:numPr>
          <w:ilvl w:val="0"/>
          <w:numId w:val="47"/>
        </w:numPr>
        <w:tabs>
          <w:tab w:val="left" w:pos="1425"/>
        </w:tabs>
        <w:jc w:val="both"/>
        <w:rPr>
          <w:rFonts w:ascii="Arial" w:hAnsi="Arial" w:cs="Arial"/>
        </w:rPr>
      </w:pPr>
      <w:r>
        <w:rPr>
          <w:rFonts w:ascii="Arial" w:hAnsi="Arial" w:cs="Arial"/>
        </w:rPr>
        <w:t>rozvíjať potenciál miestnych ekonomík a zlepšiť zavádzanie inovácií na miestnej úrovni,</w:t>
      </w:r>
    </w:p>
    <w:p>
      <w:pPr>
        <w:pStyle w:val="Odsekzoznamu"/>
        <w:numPr>
          <w:ilvl w:val="0"/>
          <w:numId w:val="47"/>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pPr>
        <w:pStyle w:val="Odsekzoznamu"/>
        <w:tabs>
          <w:tab w:val="left" w:pos="1425"/>
        </w:tabs>
        <w:jc w:val="both"/>
        <w:rPr>
          <w:rFonts w:ascii="Arial" w:hAnsi="Arial" w:cs="Arial"/>
        </w:rPr>
      </w:pPr>
    </w:p>
    <w:p>
      <w:pPr>
        <w:pStyle w:val="Odsekzoznamu"/>
        <w:numPr>
          <w:ilvl w:val="0"/>
          <w:numId w:val="46"/>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pPr>
        <w:pStyle w:val="Odsekzoznamu"/>
        <w:tabs>
          <w:tab w:val="left" w:pos="1425"/>
        </w:tabs>
        <w:jc w:val="both"/>
        <w:rPr>
          <w:rFonts w:ascii="Arial" w:hAnsi="Arial" w:cs="Arial"/>
        </w:rPr>
      </w:pPr>
      <w:r>
        <w:rPr>
          <w:rFonts w:ascii="Arial" w:hAnsi="Arial" w:cs="Arial"/>
        </w:rPr>
        <w:t xml:space="preserve">zlepšiť sociálnu a technickú infraštruktúra, </w:t>
      </w:r>
    </w:p>
    <w:p>
      <w:pPr>
        <w:pStyle w:val="Odsekzoznamu"/>
        <w:numPr>
          <w:ilvl w:val="0"/>
          <w:numId w:val="47"/>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pPr>
        <w:pStyle w:val="Odsekzoznamu"/>
        <w:numPr>
          <w:ilvl w:val="0"/>
          <w:numId w:val="47"/>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pPr>
        <w:pStyle w:val="Odsekzoznamu"/>
        <w:numPr>
          <w:ilvl w:val="0"/>
          <w:numId w:val="47"/>
        </w:numPr>
        <w:tabs>
          <w:tab w:val="left" w:pos="1425"/>
        </w:tabs>
        <w:jc w:val="both"/>
        <w:rPr>
          <w:rFonts w:ascii="Arial" w:hAnsi="Arial" w:cs="Arial"/>
        </w:rPr>
      </w:pPr>
      <w:r>
        <w:rPr>
          <w:rFonts w:ascii="Arial" w:hAnsi="Arial" w:cs="Arial"/>
        </w:rPr>
        <w:t>zvýšiť odolnosť a ochranu voči živelným katastrofám,</w:t>
      </w:r>
    </w:p>
    <w:p>
      <w:pPr>
        <w:pStyle w:val="Odsekzoznamu"/>
        <w:numPr>
          <w:ilvl w:val="0"/>
          <w:numId w:val="47"/>
        </w:numPr>
        <w:tabs>
          <w:tab w:val="left" w:pos="1425"/>
        </w:tabs>
        <w:jc w:val="both"/>
        <w:rPr>
          <w:rFonts w:ascii="Arial" w:hAnsi="Arial" w:cs="Arial"/>
        </w:rPr>
      </w:pPr>
      <w:r>
        <w:rPr>
          <w:rFonts w:ascii="Arial" w:hAnsi="Arial" w:cs="Arial"/>
        </w:rPr>
        <w:t>zlepšiť zavádzanie nových progresívnych (zelených) technológií a inovácií,</w:t>
      </w:r>
    </w:p>
    <w:p>
      <w:pPr>
        <w:pStyle w:val="Odsekzoznamu"/>
        <w:numPr>
          <w:ilvl w:val="0"/>
          <w:numId w:val="47"/>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pPr>
        <w:pStyle w:val="Odsekzoznamu"/>
        <w:tabs>
          <w:tab w:val="left" w:pos="1425"/>
        </w:tabs>
        <w:jc w:val="both"/>
        <w:rPr>
          <w:rFonts w:ascii="Arial" w:hAnsi="Arial" w:cs="Arial"/>
        </w:rPr>
      </w:pPr>
    </w:p>
    <w:p>
      <w:pPr>
        <w:pStyle w:val="Odsekzoznamu"/>
        <w:numPr>
          <w:ilvl w:val="0"/>
          <w:numId w:val="46"/>
        </w:numPr>
        <w:tabs>
          <w:tab w:val="left" w:pos="1425"/>
        </w:tabs>
        <w:jc w:val="both"/>
        <w:rPr>
          <w:rFonts w:ascii="Arial" w:hAnsi="Arial" w:cs="Arial"/>
          <w:b/>
        </w:rPr>
      </w:pPr>
      <w:r>
        <w:rPr>
          <w:rFonts w:ascii="Arial" w:hAnsi="Arial" w:cs="Arial"/>
          <w:b/>
        </w:rPr>
        <w:t xml:space="preserve">Zlepšenie infraštruktúry miestnych služieb </w:t>
      </w:r>
    </w:p>
    <w:p>
      <w:pPr>
        <w:pStyle w:val="Odsekzoznamu"/>
        <w:numPr>
          <w:ilvl w:val="0"/>
          <w:numId w:val="47"/>
        </w:numPr>
        <w:tabs>
          <w:tab w:val="left" w:pos="1425"/>
        </w:tabs>
        <w:jc w:val="both"/>
        <w:rPr>
          <w:rFonts w:ascii="Arial" w:hAnsi="Arial" w:cs="Arial"/>
        </w:rPr>
      </w:pPr>
      <w:r>
        <w:rPr>
          <w:rFonts w:ascii="Arial" w:hAnsi="Arial" w:cs="Arial"/>
        </w:rPr>
        <w:t>zvýšiť efektívnosť, kvalitu a rôznorodosť miestnych služieb,</w:t>
      </w:r>
    </w:p>
    <w:p>
      <w:pPr>
        <w:pStyle w:val="Odsekzoznamu"/>
        <w:numPr>
          <w:ilvl w:val="0"/>
          <w:numId w:val="47"/>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pPr>
        <w:jc w:val="both"/>
        <w:rPr>
          <w:rFonts w:ascii="Arial" w:hAnsi="Arial" w:cs="Arial"/>
        </w:rPr>
      </w:pPr>
      <w:r>
        <w:rPr>
          <w:rFonts w:ascii="Arial" w:hAnsi="Arial" w:cs="Arial"/>
        </w:rPr>
        <w:t xml:space="preserve">Osobitným problémom a výzvam čelia vidiecke obce v zázemí väčších miest. V dôsledku vnútornej migrácie obyvateľstva dochádza k procesu </w:t>
      </w:r>
      <w:proofErr w:type="spellStart"/>
      <w:r>
        <w:rPr>
          <w:rFonts w:ascii="Arial" w:hAnsi="Arial" w:cs="Arial"/>
        </w:rPr>
        <w:t>suburbanizácie</w:t>
      </w:r>
      <w:proofErr w:type="spellEnd"/>
      <w:r>
        <w:rPr>
          <w:rFonts w:ascii="Arial" w:hAnsi="Arial" w:cs="Arial"/>
        </w:rPr>
        <w:t xml:space="preserve"> prejavujúcej sa migráciou obyvateľstva na vidiek, čo prináša okamžitý tlak na vyššiu občiansku vybavenosť a služby vidieckeho priestoru. Dynamizuje sa tak rozvoj prímestských vidieckych sídiel. Najvýraznejšie sa tieto zmeny prejavujú vo vzťahoch dvoch najväčších miest (Bratislava a Košice) a ich zázemia, kde sú migračné úbytky miest smerované hlavne do ich zázemia.</w:t>
      </w:r>
    </w:p>
    <w:p>
      <w:pPr>
        <w:jc w:val="both"/>
        <w:rPr>
          <w:rFonts w:ascii="Arial" w:hAnsi="Arial" w:cs="Arial"/>
        </w:rPr>
      </w:pPr>
      <w:r>
        <w:rPr>
          <w:rFonts w:ascii="Arial" w:hAnsi="Arial" w:cs="Arial"/>
        </w:rPr>
        <w:lastRenderedPageBreak/>
        <w:t xml:space="preserve">Na jednej strane sú </w:t>
      </w:r>
      <w:proofErr w:type="spellStart"/>
      <w:r>
        <w:rPr>
          <w:rFonts w:ascii="Arial" w:hAnsi="Arial" w:cs="Arial"/>
        </w:rPr>
        <w:t>suburbanizované</w:t>
      </w:r>
      <w:proofErr w:type="spellEnd"/>
      <w:r>
        <w:rPr>
          <w:rFonts w:ascii="Arial" w:hAnsi="Arial" w:cs="Arial"/>
        </w:rPr>
        <w:t xml:space="preserve">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w:t>
      </w:r>
      <w:proofErr w:type="spellStart"/>
      <w:r>
        <w:rPr>
          <w:rFonts w:ascii="Arial" w:hAnsi="Arial" w:cs="Arial"/>
        </w:rPr>
        <w:t>exklúzie</w:t>
      </w:r>
      <w:proofErr w:type="spellEnd"/>
      <w:r>
        <w:rPr>
          <w:rFonts w:ascii="Arial" w:hAnsi="Arial" w:cs="Arial"/>
        </w:rPr>
        <w:t>, tzv. mäkkých foriem vylúčenia – nedostatočná občianska vybavenosť a jej dostupnosť, nerozvinutá technická infraštruktúra, atď.</w:t>
      </w:r>
    </w:p>
    <w:p>
      <w:pPr>
        <w:jc w:val="both"/>
        <w:rPr>
          <w:rFonts w:ascii="Arial" w:hAnsi="Arial" w:cs="Arial"/>
          <w:b/>
        </w:rPr>
      </w:pPr>
      <w:r>
        <w:rPr>
          <w:rFonts w:ascii="Arial" w:hAnsi="Arial" w:cs="Arial"/>
          <w:b/>
        </w:rPr>
        <w:t>Medzi hlavné prioritné oblasti riešené prostredníctvom prístupu CLLD patria:</w:t>
      </w:r>
    </w:p>
    <w:p>
      <w:pPr>
        <w:pStyle w:val="Odsekzoznamu"/>
        <w:numPr>
          <w:ilvl w:val="0"/>
          <w:numId w:val="48"/>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pPr>
        <w:pStyle w:val="Odsekzoznamu"/>
        <w:numPr>
          <w:ilvl w:val="0"/>
          <w:numId w:val="48"/>
        </w:numPr>
        <w:jc w:val="both"/>
        <w:rPr>
          <w:rFonts w:ascii="Arial" w:hAnsi="Arial" w:cs="Arial"/>
        </w:rPr>
      </w:pPr>
      <w:r>
        <w:rPr>
          <w:rFonts w:ascii="Arial" w:hAnsi="Arial" w:cs="Arial"/>
        </w:rPr>
        <w:t>ochrana životného prostredia, adaptácia na dôsledky klimatickej zmeny, efektívne a udržateľné hospodárenie so zdrojmi,</w:t>
      </w:r>
    </w:p>
    <w:p>
      <w:pPr>
        <w:pStyle w:val="Odsekzoznamu"/>
        <w:numPr>
          <w:ilvl w:val="0"/>
          <w:numId w:val="48"/>
        </w:numPr>
        <w:jc w:val="both"/>
        <w:rPr>
          <w:rFonts w:ascii="Arial" w:hAnsi="Arial" w:cs="Arial"/>
        </w:rPr>
      </w:pPr>
      <w:r>
        <w:rPr>
          <w:rFonts w:ascii="Arial" w:hAnsi="Arial" w:cs="Arial"/>
        </w:rPr>
        <w:t>budovanie kapacít a rozvoj občianskej spoločnosti v regiónoch,</w:t>
      </w:r>
    </w:p>
    <w:p>
      <w:pPr>
        <w:pStyle w:val="Odsekzoznamu"/>
        <w:numPr>
          <w:ilvl w:val="0"/>
          <w:numId w:val="48"/>
        </w:numPr>
        <w:jc w:val="both"/>
        <w:rPr>
          <w:rFonts w:ascii="Arial" w:hAnsi="Arial" w:cs="Arial"/>
        </w:rPr>
      </w:pPr>
      <w:r>
        <w:rPr>
          <w:rFonts w:ascii="Arial" w:hAnsi="Arial" w:cs="Arial"/>
        </w:rPr>
        <w:t>zlepšenie kvality a bezpečnosti vybavenosti a fyzickej regenerácie vidieckych oblastí v závislosti od špecifických potrieb podľa úrovne ich rozvinutosti.</w:t>
      </w:r>
    </w:p>
    <w:p>
      <w:pPr>
        <w:jc w:val="both"/>
        <w:rPr>
          <w:rFonts w:ascii="Arial" w:hAnsi="Arial" w:cs="Arial"/>
        </w:rPr>
      </w:pPr>
      <w:r>
        <w:rPr>
          <w:rFonts w:ascii="Arial" w:hAnsi="Arial" w:cs="Arial"/>
        </w:rPr>
        <w:t xml:space="preserve">Nástroj CLLD bude podporovaný </w:t>
      </w:r>
      <w:proofErr w:type="spellStart"/>
      <w:r>
        <w:rPr>
          <w:rFonts w:ascii="Arial" w:hAnsi="Arial" w:cs="Arial"/>
        </w:rPr>
        <w:t>viacfondovým</w:t>
      </w:r>
      <w:proofErr w:type="spellEnd"/>
      <w:r>
        <w:rPr>
          <w:rFonts w:ascii="Arial" w:hAnsi="Arial" w:cs="Arial"/>
        </w:rPr>
        <w:t xml:space="preserve"> prístupom z prostriedkov EFRR (IROP) a EPFRV (PRV), pričom </w:t>
      </w:r>
      <w:r>
        <w:rPr>
          <w:rFonts w:ascii="Arial" w:hAnsi="Arial" w:cs="Arial"/>
          <w:b/>
        </w:rPr>
        <w:t>oblasti podpory z IROP</w:t>
      </w:r>
      <w:r>
        <w:rPr>
          <w:rFonts w:ascii="Arial" w:hAnsi="Arial" w:cs="Arial"/>
        </w:rPr>
        <w:t xml:space="preserve"> sú nasledovné:</w:t>
      </w:r>
    </w:p>
    <w:p>
      <w:pPr>
        <w:pStyle w:val="Odsekzoznamu"/>
        <w:numPr>
          <w:ilvl w:val="0"/>
          <w:numId w:val="48"/>
        </w:numPr>
        <w:jc w:val="both"/>
        <w:rPr>
          <w:rFonts w:ascii="Arial" w:hAnsi="Arial" w:cs="Arial"/>
        </w:rPr>
      </w:pPr>
      <w:r>
        <w:rPr>
          <w:rFonts w:ascii="Arial" w:hAnsi="Arial" w:cs="Arial"/>
        </w:rPr>
        <w:t>podpora budovania kapacít pre miestny rozvoj vedený komunitou,</w:t>
      </w:r>
    </w:p>
    <w:p>
      <w:pPr>
        <w:pStyle w:val="Odsekzoznamu"/>
        <w:numPr>
          <w:ilvl w:val="0"/>
          <w:numId w:val="48"/>
        </w:numPr>
        <w:jc w:val="both"/>
        <w:rPr>
          <w:rFonts w:ascii="Arial" w:hAnsi="Arial" w:cs="Arial"/>
        </w:rPr>
      </w:pPr>
      <w:r>
        <w:rPr>
          <w:rFonts w:ascii="Arial" w:hAnsi="Arial" w:cs="Arial"/>
        </w:rPr>
        <w:t>podpora rastu a tvorby pracovných miest rozvojom podnikania a inovácií na miestnej úrovni,</w:t>
      </w:r>
    </w:p>
    <w:p>
      <w:pPr>
        <w:pStyle w:val="Odsekzoznamu"/>
        <w:numPr>
          <w:ilvl w:val="0"/>
          <w:numId w:val="48"/>
        </w:numPr>
        <w:jc w:val="both"/>
        <w:rPr>
          <w:rFonts w:ascii="Arial" w:hAnsi="Arial" w:cs="Arial"/>
        </w:rPr>
      </w:pPr>
      <w:r>
        <w:rPr>
          <w:rFonts w:ascii="Arial" w:hAnsi="Arial" w:cs="Arial"/>
        </w:rPr>
        <w:t>podpora verejných služieb a verejnej infraštruktúry s dôrazom na podporu udržateľných vidiecko-mestských prepojení.</w:t>
      </w:r>
    </w:p>
    <w:p>
      <w:pPr>
        <w:pStyle w:val="Odsekzoznamu"/>
        <w:jc w:val="both"/>
        <w:rPr>
          <w:rFonts w:ascii="Arial" w:hAnsi="Arial" w:cs="Arial"/>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pStyle w:val="Nadpis3"/>
        <w:jc w:val="both"/>
        <w:rPr>
          <w:rFonts w:ascii="Arial" w:hAnsi="Arial" w:cs="Arial"/>
        </w:rPr>
      </w:pPr>
      <w:bookmarkStart w:id="3" w:name="_Toc387651784"/>
      <w:r>
        <w:rPr>
          <w:rFonts w:ascii="Arial" w:hAnsi="Arial" w:cs="Arial"/>
        </w:rPr>
        <w:t xml:space="preserve">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w:t>
      </w:r>
      <w:proofErr w:type="spellStart"/>
      <w:r>
        <w:rPr>
          <w:rFonts w:ascii="Arial" w:hAnsi="Arial" w:cs="Arial"/>
        </w:rPr>
        <w:t>ex-ante</w:t>
      </w:r>
      <w:bookmarkEnd w:id="3"/>
      <w:proofErr w:type="spellEnd"/>
    </w:p>
    <w:p>
      <w:pPr>
        <w:pStyle w:val="Odsekzoznamu"/>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sectPr>
          <w:pgSz w:w="11906" w:h="16838"/>
          <w:pgMar w:top="1417" w:right="1417" w:bottom="1417" w:left="993" w:header="708" w:footer="708" w:gutter="0"/>
          <w:cols w:space="708"/>
          <w:titlePg/>
          <w:docGrid w:linePitch="360"/>
        </w:sectPr>
      </w:pPr>
    </w:p>
    <w:p>
      <w:pPr>
        <w:rPr>
          <w:rFonts w:ascii="Arial" w:hAnsi="Arial" w:cs="Arial"/>
          <w:i/>
        </w:rPr>
      </w:pPr>
      <w:r>
        <w:rPr>
          <w:rStyle w:val="Siln"/>
          <w:rFonts w:ascii="Arial" w:hAnsi="Arial" w:cs="Arial"/>
        </w:rPr>
        <w:lastRenderedPageBreak/>
        <w:t>Tabuľka č. 1</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tc>
          <w:tcPr>
            <w:tcW w:w="266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4: Podpora prechodu na </w:t>
            </w:r>
            <w:proofErr w:type="spellStart"/>
            <w:r>
              <w:rPr>
                <w:rFonts w:ascii="Arial" w:eastAsia="Times New Roman" w:hAnsi="Arial" w:cs="Arial"/>
                <w:b/>
                <w:bCs/>
                <w:sz w:val="16"/>
                <w:szCs w:val="16"/>
              </w:rPr>
              <w:t>nízkouhlíkové</w:t>
            </w:r>
            <w:proofErr w:type="spellEnd"/>
            <w:r>
              <w:rPr>
                <w:rFonts w:ascii="Arial" w:eastAsia="Times New Roman" w:hAnsi="Arial" w:cs="Arial"/>
                <w:b/>
                <w:bCs/>
                <w:sz w:val="16"/>
                <w:szCs w:val="16"/>
              </w:rPr>
              <w:t xml:space="preserve">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Národný program reforiem SR 2013:</w:t>
            </w:r>
          </w:p>
          <w:p>
            <w:pPr>
              <w:spacing w:after="0" w:line="240" w:lineRule="auto"/>
              <w:jc w:val="both"/>
              <w:rPr>
                <w:rFonts w:ascii="Arial" w:hAnsi="Arial" w:cs="Arial"/>
                <w:sz w:val="16"/>
                <w:szCs w:val="16"/>
              </w:rPr>
            </w:pPr>
            <w:r>
              <w:rPr>
                <w:rFonts w:ascii="Arial" w:hAnsi="Arial" w:cs="Arial"/>
                <w:sz w:val="16"/>
                <w:szCs w:val="16"/>
              </w:rPr>
              <w:t>- Zvýšenie energetickej efektívnosti a využitia OZE vo verejnom sektore a verejných budovách vrátane ich obnovy.</w:t>
            </w:r>
          </w:p>
          <w:p>
            <w:pPr>
              <w:spacing w:after="0" w:line="240" w:lineRule="auto"/>
              <w:jc w:val="both"/>
              <w:rPr>
                <w:rFonts w:ascii="Arial" w:hAnsi="Arial" w:cs="Arial"/>
                <w:sz w:val="16"/>
                <w:szCs w:val="16"/>
              </w:rPr>
            </w:pPr>
            <w:r>
              <w:rPr>
                <w:rFonts w:ascii="Arial" w:hAnsi="Arial" w:cs="Arial"/>
                <w:sz w:val="16"/>
                <w:szCs w:val="16"/>
              </w:rPr>
              <w:t>- Zvyšovanie energetickej hospodárnosti a podielu OZE v sektore bytových budov.</w:t>
            </w:r>
          </w:p>
          <w:p>
            <w:pPr>
              <w:spacing w:after="0" w:line="240" w:lineRule="auto"/>
              <w:jc w:val="both"/>
              <w:rPr>
                <w:rFonts w:ascii="Arial" w:hAnsi="Arial" w:cs="Arial"/>
                <w:sz w:val="16"/>
                <w:szCs w:val="16"/>
              </w:rPr>
            </w:pPr>
            <w:r>
              <w:rPr>
                <w:rFonts w:ascii="Arial" w:hAnsi="Arial" w:cs="Arial"/>
                <w:sz w:val="16"/>
                <w:szCs w:val="16"/>
              </w:rPr>
              <w:t>- Cieľ pre rok 2020: Dosiahnuť kumulovanú úsporu 130 PJ.</w:t>
            </w:r>
            <w:r>
              <w:rPr>
                <w:rStyle w:val="Odkaznapoznmkupodiarou"/>
                <w:rFonts w:ascii="Arial" w:hAnsi="Arial" w:cs="Arial"/>
                <w:sz w:val="16"/>
                <w:szCs w:val="16"/>
              </w:rPr>
              <w:footnoteReference w:id="31"/>
            </w:r>
          </w:p>
          <w:p>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najmä v budovách a v priemysle.</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 xml:space="preserve">b) Investovanie do sektora vodného hospodárstva s cieľom splniť požiadavky environmentálneho </w:t>
            </w:r>
            <w:proofErr w:type="spellStart"/>
            <w:r>
              <w:rPr>
                <w:rFonts w:ascii="Arial" w:hAnsi="Arial" w:cs="Arial"/>
                <w:sz w:val="16"/>
                <w:szCs w:val="16"/>
              </w:rPr>
              <w:t>acquis</w:t>
            </w:r>
            <w:proofErr w:type="spellEnd"/>
            <w:r>
              <w:rPr>
                <w:rFonts w:ascii="Arial" w:hAnsi="Arial" w:cs="Arial"/>
                <w:sz w:val="16"/>
                <w:szCs w:val="16"/>
              </w:rPr>
              <w:t xml:space="preserve">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V súlade s Koncepciou vodohospodárskej politiky SR do roku 2015 potreba „pripravovať výstavbu zdrojov vody na zásobovanie deficitných oblastí a oblastí s ohrozenou kvalitou vody v závislosti na rozširovaní zásobovania a kapacite využívaných zdrojov“.</w:t>
            </w:r>
          </w:p>
          <w:p>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pPr>
              <w:spacing w:after="0" w:line="240" w:lineRule="auto"/>
              <w:jc w:val="both"/>
              <w:rPr>
                <w:rFonts w:ascii="Arial" w:hAnsi="Arial" w:cs="Arial"/>
                <w:sz w:val="16"/>
                <w:szCs w:val="16"/>
              </w:rPr>
            </w:pPr>
            <w:r>
              <w:rPr>
                <w:rFonts w:ascii="Arial" w:hAnsi="Arial" w:cs="Arial"/>
                <w:sz w:val="16"/>
                <w:szCs w:val="16"/>
              </w:rPr>
              <w:t>3) Potreba naďalej plniť požiadavky vplývajúce zo Smernice Rady 91/271/EHS na odvádzanie a čistenie komunálnych odpadových vôd v aglomeráciách nad 2000 EO.</w:t>
            </w:r>
          </w:p>
          <w:p>
            <w:pPr>
              <w:spacing w:after="0" w:line="240" w:lineRule="auto"/>
              <w:jc w:val="both"/>
              <w:rPr>
                <w:rFonts w:ascii="Arial" w:hAnsi="Arial" w:cs="Arial"/>
                <w:sz w:val="16"/>
                <w:szCs w:val="16"/>
              </w:rPr>
            </w:pPr>
            <w:r>
              <w:rPr>
                <w:rFonts w:ascii="Arial" w:hAnsi="Arial" w:cs="Arial"/>
                <w:sz w:val="16"/>
                <w:szCs w:val="16"/>
              </w:rPr>
              <w:t>4) Dominantne plošne negatívny dopad klimatických zmien na zdroje podzemných vôd po roku 1980 -   podzemné vody tvoria 85 % zdrojov pitných vôd SR.</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pPr>
              <w:spacing w:after="0" w:line="240" w:lineRule="auto"/>
              <w:jc w:val="both"/>
              <w:rPr>
                <w:rFonts w:ascii="Arial" w:hAnsi="Arial" w:cs="Arial"/>
                <w:sz w:val="16"/>
                <w:szCs w:val="16"/>
              </w:rPr>
            </w:pPr>
            <w:r>
              <w:rPr>
                <w:rFonts w:ascii="Arial" w:hAnsi="Arial" w:cs="Arial"/>
                <w:sz w:val="16"/>
                <w:szCs w:val="16"/>
              </w:rPr>
              <w:t xml:space="preserve">4) Potreba redukcie prachových častíc PM10 v súlade s cieľmi Národnej stratégie pre redukciu PM10 a zabezpečenie dosiahnutia cieľov programov na zlepšenie kvality ovzdušia. </w:t>
            </w:r>
          </w:p>
          <w:p>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 xml:space="preserve">b) Posilnenie regionálnej mobility prepojením sekundárnych a terciárnych uzlov s infraštruktúrou TEN-T vrátane </w:t>
            </w:r>
            <w:proofErr w:type="spellStart"/>
            <w:r>
              <w:rPr>
                <w:rFonts w:ascii="Arial" w:hAnsi="Arial" w:cs="Arial"/>
                <w:sz w:val="16"/>
                <w:szCs w:val="16"/>
              </w:rPr>
              <w:t>multimodálnych</w:t>
            </w:r>
            <w:proofErr w:type="spellEnd"/>
            <w:r>
              <w:rPr>
                <w:rFonts w:ascii="Arial" w:hAnsi="Arial" w:cs="Arial"/>
                <w:sz w:val="16"/>
                <w:szCs w:val="16"/>
              </w:rPr>
              <w:t xml:space="preserve">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pPr>
              <w:spacing w:after="0" w:line="240" w:lineRule="auto"/>
              <w:jc w:val="both"/>
              <w:rPr>
                <w:rFonts w:ascii="Arial" w:hAnsi="Arial" w:cs="Arial"/>
                <w:sz w:val="16"/>
                <w:szCs w:val="16"/>
              </w:rPr>
            </w:pPr>
            <w:r>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7: Podpora udržateľnej dopravy a odstraňovanie prekážok v </w:t>
            </w:r>
            <w:r>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lastRenderedPageBreak/>
              <w:t xml:space="preserve">c) Vývoj a zlepšovanie ekologicky priaznivých, vrátane </w:t>
            </w:r>
            <w:proofErr w:type="spellStart"/>
            <w:r>
              <w:rPr>
                <w:rFonts w:ascii="Arial" w:hAnsi="Arial" w:cs="Arial"/>
                <w:sz w:val="16"/>
                <w:szCs w:val="16"/>
              </w:rPr>
              <w:t>nízkohlukových</w:t>
            </w:r>
            <w:proofErr w:type="spellEnd"/>
            <w:r>
              <w:rPr>
                <w:rFonts w:ascii="Arial" w:hAnsi="Arial" w:cs="Arial"/>
                <w:sz w:val="16"/>
                <w:szCs w:val="16"/>
              </w:rPr>
              <w:t xml:space="preserve">, a </w:t>
            </w:r>
            <w:proofErr w:type="spellStart"/>
            <w:r>
              <w:rPr>
                <w:rFonts w:ascii="Arial" w:hAnsi="Arial" w:cs="Arial"/>
                <w:sz w:val="16"/>
                <w:szCs w:val="16"/>
              </w:rPr>
              <w:t>nízkouhlíkových</w:t>
            </w:r>
            <w:proofErr w:type="spellEnd"/>
            <w:r>
              <w:rPr>
                <w:rFonts w:ascii="Arial" w:hAnsi="Arial" w:cs="Arial"/>
                <w:sz w:val="16"/>
                <w:szCs w:val="16"/>
              </w:rPr>
              <w:t xml:space="preserve"> dopravných systémov </w:t>
            </w:r>
            <w:r>
              <w:rPr>
                <w:rFonts w:ascii="Arial" w:hAnsi="Arial" w:cs="Arial"/>
                <w:sz w:val="16"/>
                <w:szCs w:val="16"/>
              </w:rPr>
              <w:lastRenderedPageBreak/>
              <w:t xml:space="preserve">vrátane vnútrozemských vodných ciest a námornej dopravy, prístavov, </w:t>
            </w:r>
            <w:proofErr w:type="spellStart"/>
            <w:r>
              <w:rPr>
                <w:rFonts w:ascii="Arial" w:hAnsi="Arial" w:cs="Arial"/>
                <w:sz w:val="16"/>
                <w:szCs w:val="16"/>
              </w:rPr>
              <w:t>multimodálnych</w:t>
            </w:r>
            <w:proofErr w:type="spellEnd"/>
            <w:r>
              <w:rPr>
                <w:rFonts w:ascii="Arial" w:hAnsi="Arial" w:cs="Arial"/>
                <w:sz w:val="16"/>
                <w:szCs w:val="16"/>
              </w:rPr>
              <w:t xml:space="preserve">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lastRenderedPageBreak/>
              <w:t>1) Prostredníctvom posilnenia regionálnej a lokálnej mobility zlepšiť kvalitu života v regiónoch.</w:t>
            </w:r>
          </w:p>
          <w:p>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pPr>
              <w:spacing w:after="0" w:line="240" w:lineRule="auto"/>
              <w:jc w:val="both"/>
              <w:rPr>
                <w:rFonts w:ascii="Arial" w:hAnsi="Arial" w:cs="Arial"/>
                <w:sz w:val="16"/>
                <w:szCs w:val="16"/>
              </w:rPr>
            </w:pPr>
            <w:r>
              <w:rPr>
                <w:rFonts w:ascii="Arial" w:hAnsi="Arial" w:cs="Arial"/>
                <w:sz w:val="16"/>
                <w:szCs w:val="16"/>
              </w:rPr>
              <w:lastRenderedPageBreak/>
              <w:t>4) Narastajúci význam znečistenia ovzdušia spôsobený mobilnými zdrojmi (doprava).</w:t>
            </w:r>
          </w:p>
          <w:p>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pPr>
              <w:spacing w:after="0" w:line="240" w:lineRule="auto"/>
              <w:jc w:val="both"/>
              <w:rPr>
                <w:rFonts w:ascii="Arial" w:hAnsi="Arial" w:cs="Arial"/>
                <w:sz w:val="16"/>
                <w:szCs w:val="16"/>
              </w:rPr>
            </w:pPr>
            <w:r>
              <w:rPr>
                <w:rFonts w:ascii="Arial" w:hAnsi="Arial" w:cs="Arial"/>
                <w:sz w:val="16"/>
                <w:szCs w:val="16"/>
              </w:rPr>
              <w:t>5) Potreba zatraktívniť a zefektívniť fungovanie verejnej osobnej dopravy.</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pPr>
              <w:spacing w:after="0" w:line="240" w:lineRule="auto"/>
              <w:jc w:val="both"/>
              <w:rPr>
                <w:rFonts w:ascii="Arial" w:hAnsi="Arial" w:cs="Arial"/>
                <w:sz w:val="16"/>
                <w:szCs w:val="16"/>
              </w:rPr>
            </w:pPr>
            <w:r>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pPr>
              <w:spacing w:after="0" w:line="240" w:lineRule="auto"/>
              <w:jc w:val="both"/>
              <w:rPr>
                <w:rFonts w:ascii="Arial" w:hAnsi="Arial" w:cs="Arial"/>
                <w:sz w:val="16"/>
                <w:szCs w:val="16"/>
              </w:rPr>
            </w:pPr>
            <w:r>
              <w:rPr>
                <w:rFonts w:ascii="Arial" w:hAnsi="Arial" w:cs="Arial"/>
                <w:sz w:val="16"/>
                <w:szCs w:val="16"/>
              </w:rPr>
              <w:t xml:space="preserve">3) Pre rast zamestnanosti v kultúrnych a kreatívnych odvetviach je potrebné budovať úplne nový typ fyzickej infraštruktúry (kreatívne centrá, inkubátory, huby, </w:t>
            </w:r>
            <w:proofErr w:type="spellStart"/>
            <w:r>
              <w:rPr>
                <w:rFonts w:ascii="Arial" w:hAnsi="Arial" w:cs="Arial"/>
                <w:sz w:val="16"/>
                <w:szCs w:val="16"/>
              </w:rPr>
              <w:t>co-workingy</w:t>
            </w:r>
            <w:proofErr w:type="spellEnd"/>
            <w:r>
              <w:rPr>
                <w:rFonts w:ascii="Arial" w:hAnsi="Arial" w:cs="Arial"/>
                <w:sz w:val="16"/>
                <w:szCs w:val="16"/>
              </w:rPr>
              <w:t xml:space="preserve">)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proofErr w:type="spellStart"/>
            <w:r>
              <w:rPr>
                <w:rFonts w:ascii="Arial" w:hAnsi="Arial" w:cs="Arial"/>
                <w:sz w:val="16"/>
                <w:szCs w:val="16"/>
              </w:rPr>
              <w:t>samozamestnávania</w:t>
            </w:r>
            <w:proofErr w:type="spellEnd"/>
            <w:r>
              <w:rPr>
                <w:rFonts w:ascii="Arial" w:hAnsi="Arial" w:cs="Arial"/>
                <w:sz w:val="16"/>
                <w:szCs w:val="16"/>
              </w:rPr>
              <w:t xml:space="preserve"> (slobodní umelci), </w:t>
            </w:r>
            <w:proofErr w:type="spellStart"/>
            <w:r>
              <w:rPr>
                <w:rFonts w:ascii="Arial" w:hAnsi="Arial" w:cs="Arial"/>
                <w:sz w:val="16"/>
                <w:szCs w:val="16"/>
              </w:rPr>
              <w:t>mikro</w:t>
            </w:r>
            <w:proofErr w:type="spellEnd"/>
            <w:r>
              <w:rPr>
                <w:rFonts w:ascii="Arial" w:hAnsi="Arial" w:cs="Arial"/>
                <w:sz w:val="16"/>
                <w:szCs w:val="16"/>
              </w:rPr>
              <w:t xml:space="preserve"> a MSP.</w:t>
            </w:r>
          </w:p>
          <w:p>
            <w:pPr>
              <w:spacing w:after="0" w:line="240" w:lineRule="auto"/>
              <w:jc w:val="both"/>
              <w:rPr>
                <w:rFonts w:ascii="Arial" w:hAnsi="Arial" w:cs="Arial"/>
                <w:sz w:val="16"/>
                <w:szCs w:val="16"/>
              </w:rPr>
            </w:pP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 xml:space="preserve">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w:t>
            </w:r>
            <w:proofErr w:type="spellStart"/>
            <w:r>
              <w:rPr>
                <w:rFonts w:ascii="Arial" w:hAnsi="Arial" w:cs="Arial"/>
                <w:sz w:val="16"/>
                <w:szCs w:val="16"/>
              </w:rPr>
              <w:t>komunitné</w:t>
            </w:r>
            <w:proofErr w:type="spellEnd"/>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 xml:space="preserve">1) Potreba podporiť prechod od inštitucionálnej starostlivosti ku </w:t>
            </w:r>
            <w:proofErr w:type="spellStart"/>
            <w:r>
              <w:rPr>
                <w:rFonts w:ascii="Arial" w:hAnsi="Arial" w:cs="Arial"/>
                <w:sz w:val="16"/>
                <w:szCs w:val="16"/>
              </w:rPr>
              <w:t>komunitnej</w:t>
            </w:r>
            <w:proofErr w:type="spellEnd"/>
            <w:r>
              <w:rPr>
                <w:rFonts w:ascii="Arial" w:hAnsi="Arial" w:cs="Arial"/>
                <w:sz w:val="16"/>
                <w:szCs w:val="16"/>
              </w:rPr>
              <w:t xml:space="preserve"> (NPR SR 2013, Stratégia deinštitucionalizácie systému sociálnych služieb a náhradnej starostlivosti v Slovenskej republike (2011), Pozičný dokument SR).</w:t>
            </w:r>
          </w:p>
          <w:p>
            <w:pPr>
              <w:spacing w:after="0" w:line="240" w:lineRule="auto"/>
              <w:jc w:val="both"/>
              <w:rPr>
                <w:rFonts w:ascii="Arial" w:hAnsi="Arial" w:cs="Arial"/>
                <w:sz w:val="16"/>
                <w:szCs w:val="16"/>
              </w:rPr>
            </w:pPr>
            <w:r>
              <w:rPr>
                <w:rFonts w:ascii="Arial" w:hAnsi="Arial" w:cs="Arial"/>
                <w:sz w:val="16"/>
                <w:szCs w:val="16"/>
              </w:rPr>
              <w:t>2) Špecifické odporúčanie Rady č. 3, 2013: „</w:t>
            </w:r>
            <w:r>
              <w:rPr>
                <w:rFonts w:ascii="Arial" w:hAnsi="Arial" w:cs="Arial"/>
                <w:i/>
                <w:sz w:val="16"/>
                <w:szCs w:val="16"/>
              </w:rPr>
              <w:t>Zvýšiť stimulovanie zamestnanosti žien prostredníctvom zlepšenia poskytovania zariadení starostlivosti o deti, najmä pre deti do veku troch rokov.</w:t>
            </w:r>
            <w:r>
              <w:rPr>
                <w:rFonts w:ascii="Arial" w:hAnsi="Arial" w:cs="Arial"/>
                <w:sz w:val="16"/>
                <w:szCs w:val="16"/>
              </w:rPr>
              <w:t>“.</w:t>
            </w:r>
          </w:p>
          <w:p>
            <w:pPr>
              <w:spacing w:after="0" w:line="240" w:lineRule="auto"/>
              <w:jc w:val="both"/>
              <w:rPr>
                <w:rFonts w:ascii="Arial" w:hAnsi="Arial" w:cs="Arial"/>
                <w:sz w:val="16"/>
                <w:szCs w:val="16"/>
                <w:lang w:eastAsia="sk-SK"/>
              </w:rPr>
            </w:pPr>
            <w:r>
              <w:rPr>
                <w:rFonts w:ascii="Arial" w:hAnsi="Arial" w:cs="Arial"/>
                <w:sz w:val="16"/>
                <w:szCs w:val="16"/>
              </w:rPr>
              <w:t xml:space="preserve">3) </w:t>
            </w:r>
            <w:r>
              <w:rPr>
                <w:rFonts w:ascii="Arial" w:hAnsi="Arial" w:cs="Arial"/>
                <w:sz w:val="16"/>
                <w:szCs w:val="16"/>
                <w:lang w:eastAsia="sk-SK"/>
              </w:rPr>
              <w:t>Odporúčanie Rady, ktoré sa týka národného programu reforiem Slovenska na rok 2013 a ktorým sa predkladá stanovisko Rady k programu stability Slovenska na roky 2012 – 2016, s. 71.</w:t>
            </w:r>
          </w:p>
          <w:p>
            <w:pPr>
              <w:spacing w:after="0" w:line="240" w:lineRule="auto"/>
              <w:jc w:val="both"/>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lang w:eastAsia="sk-SK"/>
              </w:rPr>
              <w:t>Investing</w:t>
            </w:r>
            <w:proofErr w:type="spellEnd"/>
            <w:r>
              <w:rPr>
                <w:rFonts w:ascii="Arial" w:hAnsi="Arial" w:cs="Arial"/>
                <w:sz w:val="16"/>
                <w:szCs w:val="16"/>
                <w:lang w:eastAsia="sk-SK"/>
              </w:rPr>
              <w:t xml:space="preserve"> in </w:t>
            </w:r>
            <w:proofErr w:type="spellStart"/>
            <w:r>
              <w:rPr>
                <w:rFonts w:ascii="Arial" w:hAnsi="Arial" w:cs="Arial"/>
                <w:sz w:val="16"/>
                <w:szCs w:val="16"/>
                <w:lang w:eastAsia="sk-SK"/>
              </w:rPr>
              <w:t>Health</w:t>
            </w:r>
            <w:proofErr w:type="spellEnd"/>
            <w:r>
              <w:rPr>
                <w:rFonts w:ascii="Arial" w:hAnsi="Arial" w:cs="Arial"/>
                <w:sz w:val="16"/>
                <w:szCs w:val="16"/>
                <w:lang w:eastAsia="sk-SK"/>
              </w:rPr>
              <w:t xml:space="preserve"> – </w:t>
            </w:r>
            <w:proofErr w:type="spellStart"/>
            <w:r>
              <w:rPr>
                <w:rFonts w:ascii="Arial" w:hAnsi="Arial" w:cs="Arial"/>
                <w:sz w:val="16"/>
                <w:szCs w:val="16"/>
                <w:lang w:eastAsia="sk-SK"/>
              </w:rPr>
              <w:t>Commission</w:t>
            </w:r>
            <w:proofErr w:type="spellEnd"/>
            <w:r>
              <w:rPr>
                <w:rFonts w:ascii="Arial" w:hAnsi="Arial" w:cs="Arial"/>
                <w:sz w:val="16"/>
                <w:szCs w:val="16"/>
                <w:lang w:eastAsia="sk-SK"/>
              </w:rPr>
              <w:t xml:space="preserve"> </w:t>
            </w:r>
            <w:proofErr w:type="spellStart"/>
            <w:r>
              <w:rPr>
                <w:rFonts w:ascii="Arial" w:hAnsi="Arial" w:cs="Arial"/>
                <w:sz w:val="16"/>
                <w:szCs w:val="16"/>
                <w:lang w:eastAsia="sk-SK"/>
              </w:rPr>
              <w:t>staff</w:t>
            </w:r>
            <w:proofErr w:type="spellEnd"/>
            <w:r>
              <w:rPr>
                <w:rFonts w:ascii="Arial" w:hAnsi="Arial" w:cs="Arial"/>
                <w:sz w:val="16"/>
                <w:szCs w:val="16"/>
                <w:lang w:eastAsia="sk-SK"/>
              </w:rPr>
              <w:t xml:space="preserve"> </w:t>
            </w:r>
            <w:proofErr w:type="spellStart"/>
            <w:r>
              <w:rPr>
                <w:rFonts w:ascii="Arial" w:hAnsi="Arial" w:cs="Arial"/>
                <w:sz w:val="16"/>
                <w:szCs w:val="16"/>
                <w:lang w:eastAsia="sk-SK"/>
              </w:rPr>
              <w:t>working</w:t>
            </w:r>
            <w:proofErr w:type="spellEnd"/>
            <w:r>
              <w:rPr>
                <w:rFonts w:ascii="Arial" w:hAnsi="Arial" w:cs="Arial"/>
                <w:sz w:val="16"/>
                <w:szCs w:val="16"/>
                <w:lang w:eastAsia="sk-SK"/>
              </w:rPr>
              <w:t xml:space="preserve"> </w:t>
            </w:r>
            <w:proofErr w:type="spellStart"/>
            <w:r>
              <w:rPr>
                <w:rFonts w:ascii="Arial" w:hAnsi="Arial" w:cs="Arial"/>
                <w:sz w:val="16"/>
                <w:szCs w:val="16"/>
                <w:lang w:eastAsia="sk-SK"/>
              </w:rPr>
              <w:t>document</w:t>
            </w:r>
            <w:proofErr w:type="spellEnd"/>
            <w:r>
              <w:rPr>
                <w:rFonts w:ascii="Arial" w:hAnsi="Arial" w:cs="Arial"/>
                <w:sz w:val="16"/>
                <w:szCs w:val="16"/>
                <w:lang w:eastAsia="sk-SK"/>
              </w:rPr>
              <w:t xml:space="preserve">, SWD(2013) 43 </w:t>
            </w:r>
            <w:proofErr w:type="spellStart"/>
            <w:r>
              <w:rPr>
                <w:rFonts w:ascii="Arial" w:hAnsi="Arial" w:cs="Arial"/>
                <w:sz w:val="16"/>
                <w:szCs w:val="16"/>
                <w:lang w:eastAsia="sk-SK"/>
              </w:rPr>
              <w:t>final</w:t>
            </w:r>
            <w:proofErr w:type="spellEnd"/>
            <w:r>
              <w:rPr>
                <w:rFonts w:ascii="Arial" w:hAnsi="Arial" w:cs="Arial"/>
                <w:sz w:val="16"/>
                <w:szCs w:val="16"/>
                <w:lang w:eastAsia="sk-SK"/>
              </w:rPr>
              <w:t>..</w:t>
            </w:r>
          </w:p>
          <w:p>
            <w:pPr>
              <w:spacing w:after="0" w:line="240" w:lineRule="auto"/>
              <w:jc w:val="both"/>
              <w:rPr>
                <w:rFonts w:ascii="Arial" w:hAnsi="Arial" w:cs="Arial"/>
                <w:sz w:val="16"/>
                <w:szCs w:val="16"/>
              </w:rPr>
            </w:pPr>
            <w:r>
              <w:rPr>
                <w:rFonts w:ascii="Arial" w:hAnsi="Arial" w:cs="Arial"/>
                <w:sz w:val="16"/>
                <w:szCs w:val="16"/>
              </w:rPr>
              <w:t xml:space="preserve">5) </w:t>
            </w:r>
            <w:r>
              <w:rPr>
                <w:rFonts w:ascii="Arial" w:hAnsi="Arial" w:cs="Arial"/>
                <w:sz w:val="16"/>
                <w:szCs w:val="16"/>
                <w:lang w:eastAsia="sk-SK"/>
              </w:rPr>
              <w:t>Nízka efektívnosť slovenského zdravotníctva a potreba reformných  štrukturálnych zmien v zdravotníctve.</w:t>
            </w:r>
          </w:p>
          <w:p>
            <w:pPr>
              <w:spacing w:after="0" w:line="240" w:lineRule="auto"/>
              <w:jc w:val="both"/>
              <w:rPr>
                <w:rFonts w:ascii="Arial" w:hAnsi="Arial" w:cs="Arial"/>
                <w:sz w:val="16"/>
                <w:szCs w:val="16"/>
              </w:rPr>
            </w:pPr>
            <w:r>
              <w:rPr>
                <w:rFonts w:ascii="Arial" w:hAnsi="Arial" w:cs="Arial"/>
                <w:sz w:val="16"/>
                <w:szCs w:val="16"/>
                <w:lang w:eastAsia="sk-SK"/>
              </w:rPr>
              <w:t>6) NPR SR 2013: „</w:t>
            </w:r>
            <w:r>
              <w:rPr>
                <w:rFonts w:ascii="Arial" w:hAnsi="Arial" w:cs="Arial"/>
                <w:i/>
                <w:sz w:val="16"/>
                <w:szCs w:val="16"/>
              </w:rPr>
              <w:t>Vláda SR prijme opatrenia pre dosiahnutie čo najvyššej efektívnosti bez ohrozenia dostupnosti a kvality liečby. Zavedie sa integrovaný model poskytovania zdravotnej starostlivosti, ...</w:t>
            </w:r>
            <w:r>
              <w:rPr>
                <w:rFonts w:ascii="Arial" w:hAnsi="Arial" w:cs="Arial"/>
                <w:sz w:val="16"/>
                <w:szCs w:val="16"/>
              </w:rPr>
              <w:t>“.</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pPr>
              <w:spacing w:after="0" w:line="240" w:lineRule="auto"/>
              <w:jc w:val="both"/>
              <w:rPr>
                <w:rFonts w:ascii="Arial" w:hAnsi="Arial" w:cs="Arial"/>
                <w:sz w:val="16"/>
                <w:szCs w:val="16"/>
              </w:rPr>
            </w:pPr>
            <w:r>
              <w:rPr>
                <w:rFonts w:ascii="Arial" w:hAnsi="Arial" w:cs="Arial"/>
                <w:sz w:val="16"/>
                <w:szCs w:val="16"/>
              </w:rPr>
              <w:t>2) Potreba rozvíjať aktívne komunity.</w:t>
            </w:r>
          </w:p>
          <w:p>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pPr>
              <w:spacing w:after="0" w:line="240" w:lineRule="auto"/>
              <w:jc w:val="both"/>
              <w:rPr>
                <w:rFonts w:ascii="Arial" w:hAnsi="Arial" w:cs="Arial"/>
                <w:sz w:val="16"/>
                <w:szCs w:val="16"/>
              </w:rPr>
            </w:pPr>
            <w:r>
              <w:rPr>
                <w:rFonts w:ascii="Arial" w:hAnsi="Arial" w:cs="Arial"/>
                <w:sz w:val="16"/>
                <w:szCs w:val="16"/>
              </w:rPr>
              <w:t>5) Stratégia SR pre integráciu Rómov do roku 2020.</w:t>
            </w:r>
          </w:p>
        </w:tc>
      </w:tr>
      <w:tr>
        <w:tc>
          <w:tcPr>
            <w:tcW w:w="26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both"/>
              <w:rPr>
                <w:rFonts w:ascii="Arial" w:hAnsi="Arial" w:cs="Arial"/>
                <w:sz w:val="16"/>
                <w:szCs w:val="16"/>
              </w:rPr>
            </w:pPr>
            <w:r>
              <w:rPr>
                <w:rFonts w:ascii="Arial" w:hAnsi="Arial" w:cs="Arial"/>
                <w:sz w:val="16"/>
                <w:szCs w:val="16"/>
              </w:rPr>
              <w:t>1) Špecifické odporúčanie Rady č. 4, 2013: „</w:t>
            </w:r>
            <w:r>
              <w:rPr>
                <w:rFonts w:ascii="Arial" w:hAnsi="Arial" w:cs="Arial"/>
                <w:i/>
                <w:sz w:val="16"/>
                <w:szCs w:val="16"/>
              </w:rPr>
              <w:t>posilniť poskytovanie praktickej výučby priamo v podnikoch</w:t>
            </w:r>
            <w:r>
              <w:rPr>
                <w:rFonts w:ascii="Arial" w:hAnsi="Arial" w:cs="Arial"/>
                <w:sz w:val="16"/>
                <w:szCs w:val="16"/>
              </w:rPr>
              <w:t>“, „</w:t>
            </w:r>
            <w:r>
              <w:rPr>
                <w:rFonts w:ascii="Arial" w:hAnsi="Arial" w:cs="Arial"/>
                <w:i/>
                <w:sz w:val="16"/>
                <w:szCs w:val="16"/>
              </w:rPr>
              <w:t xml:space="preserve">zvýšiť úsilie o lepší prístup k vysoko kvalitnému a </w:t>
            </w:r>
            <w:proofErr w:type="spellStart"/>
            <w:r>
              <w:rPr>
                <w:rFonts w:ascii="Arial" w:hAnsi="Arial" w:cs="Arial"/>
                <w:i/>
                <w:sz w:val="16"/>
                <w:szCs w:val="16"/>
              </w:rPr>
              <w:t>inkluzívnemu</w:t>
            </w:r>
            <w:proofErr w:type="spellEnd"/>
            <w:r>
              <w:rPr>
                <w:rFonts w:ascii="Arial" w:hAnsi="Arial" w:cs="Arial"/>
                <w:i/>
                <w:sz w:val="16"/>
                <w:szCs w:val="16"/>
              </w:rPr>
              <w:t xml:space="preserve"> predškolskému, školskému vzdelávaniu </w:t>
            </w:r>
            <w:proofErr w:type="spellStart"/>
            <w:r>
              <w:rPr>
                <w:rFonts w:ascii="Arial" w:hAnsi="Arial" w:cs="Arial"/>
                <w:i/>
                <w:sz w:val="16"/>
                <w:szCs w:val="16"/>
              </w:rPr>
              <w:t>marginalizovaných</w:t>
            </w:r>
            <w:proofErr w:type="spellEnd"/>
            <w:r>
              <w:rPr>
                <w:rFonts w:ascii="Arial" w:hAnsi="Arial" w:cs="Arial"/>
                <w:i/>
                <w:sz w:val="16"/>
                <w:szCs w:val="16"/>
              </w:rPr>
              <w:t xml:space="preserve"> skupín obyvateľstva</w:t>
            </w:r>
            <w:r>
              <w:rPr>
                <w:rFonts w:ascii="Arial" w:hAnsi="Arial" w:cs="Arial"/>
                <w:sz w:val="16"/>
                <w:szCs w:val="16"/>
              </w:rPr>
              <w:t>“</w:t>
            </w:r>
          </w:p>
          <w:p>
            <w:pPr>
              <w:spacing w:after="0" w:line="240" w:lineRule="auto"/>
              <w:jc w:val="both"/>
              <w:rPr>
                <w:rFonts w:ascii="Arial" w:hAnsi="Arial" w:cs="Arial"/>
                <w:sz w:val="16"/>
                <w:szCs w:val="16"/>
              </w:rPr>
            </w:pPr>
            <w:r>
              <w:rPr>
                <w:rFonts w:ascii="Arial" w:hAnsi="Arial" w:cs="Arial"/>
                <w:sz w:val="16"/>
                <w:szCs w:val="16"/>
              </w:rPr>
              <w:t>2) NPR SR 2012: „</w:t>
            </w:r>
            <w:r>
              <w:rPr>
                <w:rFonts w:ascii="Arial" w:hAnsi="Arial" w:cs="Arial"/>
                <w:i/>
                <w:sz w:val="16"/>
                <w:szCs w:val="16"/>
              </w:rPr>
              <w:t>podporovať predškolské vzdelávanie v MŠ rozšírením kapacít</w:t>
            </w:r>
            <w:r>
              <w:rPr>
                <w:rFonts w:ascii="Arial" w:hAnsi="Arial" w:cs="Arial"/>
                <w:sz w:val="16"/>
                <w:szCs w:val="16"/>
              </w:rPr>
              <w:t>“, „</w:t>
            </w:r>
            <w:r>
              <w:rPr>
                <w:rFonts w:ascii="Arial" w:hAnsi="Arial" w:cs="Arial"/>
                <w:i/>
                <w:sz w:val="16"/>
                <w:szCs w:val="16"/>
              </w:rPr>
              <w:t>vytvoriť podmienky pre lepšie prepojenie odborných škôl s praxou</w:t>
            </w:r>
            <w:r>
              <w:rPr>
                <w:rFonts w:ascii="Arial" w:hAnsi="Arial" w:cs="Arial"/>
                <w:sz w:val="16"/>
                <w:szCs w:val="16"/>
              </w:rPr>
              <w:t xml:space="preserve">“ </w:t>
            </w:r>
          </w:p>
          <w:p>
            <w:pPr>
              <w:spacing w:after="0" w:line="240" w:lineRule="auto"/>
              <w:jc w:val="both"/>
              <w:rPr>
                <w:rFonts w:ascii="Arial" w:hAnsi="Arial" w:cs="Arial"/>
                <w:sz w:val="16"/>
                <w:szCs w:val="16"/>
              </w:rPr>
            </w:pPr>
            <w:r>
              <w:rPr>
                <w:rFonts w:ascii="Arial" w:hAnsi="Arial" w:cs="Arial"/>
                <w:sz w:val="16"/>
                <w:szCs w:val="16"/>
              </w:rPr>
              <w:t>3) Pozičný dokument SR: „</w:t>
            </w:r>
            <w:r>
              <w:rPr>
                <w:rFonts w:ascii="Arial" w:hAnsi="Arial" w:cs="Arial"/>
                <w:i/>
                <w:sz w:val="16"/>
                <w:szCs w:val="16"/>
              </w:rPr>
              <w:t>zvýšenie účasti žien na pracovnom trhu</w:t>
            </w:r>
            <w:r>
              <w:rPr>
                <w:rFonts w:ascii="Arial" w:hAnsi="Arial" w:cs="Arial"/>
                <w:sz w:val="16"/>
                <w:szCs w:val="16"/>
              </w:rPr>
              <w:t>“, „</w:t>
            </w:r>
            <w:r>
              <w:rPr>
                <w:rFonts w:ascii="Arial" w:hAnsi="Arial" w:cs="Arial"/>
                <w:i/>
                <w:sz w:val="16"/>
                <w:szCs w:val="16"/>
              </w:rPr>
              <w:t>podpora opatrení pre rovnosť mužov a žien, zosúladenie pracovného a súkromného života</w:t>
            </w:r>
            <w:r>
              <w:rPr>
                <w:rFonts w:ascii="Arial" w:hAnsi="Arial" w:cs="Arial"/>
                <w:sz w:val="16"/>
                <w:szCs w:val="16"/>
              </w:rPr>
              <w:t>“, „</w:t>
            </w:r>
            <w:r>
              <w:rPr>
                <w:rFonts w:ascii="Arial" w:hAnsi="Arial" w:cs="Arial"/>
                <w:i/>
                <w:sz w:val="16"/>
                <w:szCs w:val="16"/>
              </w:rPr>
              <w:t>zlepšiť prístup k celoživotnému vzdelávaniu, zvýšiť význam systémov vzdelávania pre potreby pracovného trhu</w:t>
            </w:r>
            <w:r>
              <w:rPr>
                <w:rFonts w:ascii="Arial" w:hAnsi="Arial" w:cs="Arial"/>
                <w:sz w:val="16"/>
                <w:szCs w:val="16"/>
              </w:rPr>
              <w:t>“, „</w:t>
            </w:r>
            <w:r>
              <w:rPr>
                <w:rFonts w:ascii="Arial" w:hAnsi="Arial" w:cs="Arial"/>
                <w:i/>
                <w:iCs/>
                <w:sz w:val="16"/>
                <w:szCs w:val="16"/>
              </w:rPr>
              <w:t xml:space="preserve">odborná príprava </w:t>
            </w:r>
            <w:r>
              <w:rPr>
                <w:rFonts w:ascii="Arial" w:hAnsi="Arial" w:cs="Arial"/>
                <w:i/>
                <w:sz w:val="16"/>
                <w:szCs w:val="16"/>
              </w:rPr>
              <w:t xml:space="preserve">a účasť na </w:t>
            </w:r>
            <w:r>
              <w:rPr>
                <w:rFonts w:ascii="Arial" w:hAnsi="Arial" w:cs="Arial"/>
                <w:i/>
                <w:iCs/>
                <w:sz w:val="16"/>
                <w:szCs w:val="16"/>
              </w:rPr>
              <w:t>celoživotnom vzdelávaní</w:t>
            </w:r>
            <w:r>
              <w:rPr>
                <w:rFonts w:ascii="Arial" w:hAnsi="Arial" w:cs="Arial"/>
                <w:iCs/>
                <w:sz w:val="16"/>
                <w:szCs w:val="16"/>
              </w:rPr>
              <w:t>“</w:t>
            </w:r>
          </w:p>
          <w:p>
            <w:pPr>
              <w:spacing w:after="0" w:line="240" w:lineRule="auto"/>
              <w:jc w:val="both"/>
              <w:rPr>
                <w:rFonts w:ascii="Arial" w:hAnsi="Arial" w:cs="Arial"/>
                <w:sz w:val="16"/>
                <w:szCs w:val="16"/>
              </w:rPr>
            </w:pPr>
            <w:r>
              <w:rPr>
                <w:rFonts w:ascii="Arial" w:hAnsi="Arial" w:cs="Arial"/>
                <w:sz w:val="16"/>
                <w:szCs w:val="16"/>
              </w:rPr>
              <w:t>4) Správa o stave školstva na Slovensku 2013: „</w:t>
            </w:r>
            <w:r>
              <w:rPr>
                <w:rFonts w:ascii="Arial" w:hAnsi="Arial" w:cs="Arial"/>
                <w:i/>
                <w:sz w:val="16"/>
                <w:szCs w:val="16"/>
              </w:rPr>
              <w:t>skvalitniť systém predškolskej výchovy a vzdelávania</w:t>
            </w:r>
            <w:r>
              <w:rPr>
                <w:rFonts w:ascii="Arial" w:hAnsi="Arial" w:cs="Arial"/>
                <w:sz w:val="16"/>
                <w:szCs w:val="16"/>
              </w:rPr>
              <w:t>“, „</w:t>
            </w:r>
            <w:r>
              <w:rPr>
                <w:rFonts w:ascii="Arial" w:hAnsi="Arial" w:cs="Arial"/>
                <w:i/>
                <w:sz w:val="16"/>
                <w:szCs w:val="16"/>
              </w:rPr>
              <w:t>zvýšiť kvalitu odborného vzdelávania a prípravy</w:t>
            </w:r>
            <w:r>
              <w:rPr>
                <w:rFonts w:ascii="Arial" w:hAnsi="Arial" w:cs="Arial"/>
                <w:sz w:val="16"/>
                <w:szCs w:val="16"/>
              </w:rPr>
              <w:t>“, „</w:t>
            </w:r>
            <w:r>
              <w:rPr>
                <w:rFonts w:ascii="Arial" w:hAnsi="Arial" w:cs="Arial"/>
                <w:i/>
                <w:sz w:val="16"/>
                <w:szCs w:val="16"/>
              </w:rPr>
              <w:t>zabezpečiť prístup ku kvalitnej výchove a vzdelávaniu znevýhodnených skupín obyvateľstva</w:t>
            </w:r>
            <w:r>
              <w:rPr>
                <w:rFonts w:ascii="Arial" w:hAnsi="Arial" w:cs="Arial"/>
                <w:sz w:val="16"/>
                <w:szCs w:val="16"/>
              </w:rPr>
              <w:t>“, „</w:t>
            </w:r>
            <w:r>
              <w:rPr>
                <w:rFonts w:ascii="Arial" w:hAnsi="Arial" w:cs="Arial"/>
                <w:i/>
                <w:sz w:val="16"/>
                <w:szCs w:val="16"/>
              </w:rPr>
              <w:t>podporiť zvyšovanie kapacít materských škôl</w:t>
            </w:r>
            <w:r>
              <w:rPr>
                <w:rFonts w:ascii="Arial" w:hAnsi="Arial" w:cs="Arial"/>
                <w:sz w:val="16"/>
                <w:szCs w:val="16"/>
              </w:rPr>
              <w:t>“</w:t>
            </w:r>
          </w:p>
        </w:tc>
      </w:tr>
    </w:tbl>
    <w:p>
      <w:pPr>
        <w:rPr>
          <w:rFonts w:ascii="Arial" w:hAnsi="Arial" w:cs="Arial"/>
        </w:rPr>
      </w:pPr>
    </w:p>
    <w:p>
      <w:pPr>
        <w:pStyle w:val="Nadpis2"/>
        <w:rPr>
          <w:rFonts w:ascii="Arial" w:hAnsi="Arial" w:cs="Arial"/>
        </w:rPr>
        <w:sectPr>
          <w:pgSz w:w="16838" w:h="11906" w:orient="landscape"/>
          <w:pgMar w:top="1417" w:right="1417" w:bottom="1417" w:left="1417" w:header="708" w:footer="708" w:gutter="0"/>
          <w:cols w:space="708"/>
          <w:docGrid w:linePitch="360"/>
        </w:sectPr>
      </w:pPr>
    </w:p>
    <w:p>
      <w:pPr>
        <w:pStyle w:val="Nadpis2"/>
        <w:rPr>
          <w:rFonts w:ascii="Arial" w:hAnsi="Arial" w:cs="Arial"/>
        </w:rPr>
      </w:pPr>
      <w:bookmarkStart w:id="4" w:name="_Toc387651785"/>
      <w:r>
        <w:rPr>
          <w:rFonts w:ascii="Arial" w:hAnsi="Arial" w:cs="Arial"/>
        </w:rPr>
        <w:lastRenderedPageBreak/>
        <w:t>1.2 Odôvodnenie pridelených finančných prostriedkov</w:t>
      </w:r>
      <w:bookmarkEnd w:id="4"/>
    </w:p>
    <w:p>
      <w:pPr>
        <w:rPr>
          <w:rFonts w:ascii="Arial" w:hAnsi="Arial" w:cs="Arial"/>
          <w:i/>
          <w:color w:val="4EACF3"/>
        </w:rPr>
      </w:pPr>
    </w:p>
    <w:p>
      <w:pPr>
        <w:jc w:val="both"/>
        <w:rPr>
          <w:rFonts w:ascii="Arial" w:hAnsi="Arial" w:cs="Arial"/>
        </w:rPr>
      </w:pPr>
      <w:r>
        <w:rPr>
          <w:rFonts w:ascii="Arial" w:hAnsi="Arial" w:cs="Arial"/>
        </w:rPr>
        <w:t>Celková alokácia IROP za zdroje EÚ predstavuje 1 814 490 415 EUR, z toho 6,14 % na TC 4 (</w:t>
      </w:r>
      <w:proofErr w:type="spellStart"/>
      <w:r>
        <w:rPr>
          <w:rFonts w:ascii="Arial" w:hAnsi="Arial" w:cs="Arial"/>
        </w:rPr>
        <w:t>nízkouhlíkové</w:t>
      </w:r>
      <w:proofErr w:type="spellEnd"/>
      <w:r>
        <w:rPr>
          <w:rFonts w:ascii="Arial" w:hAnsi="Arial" w:cs="Arial"/>
        </w:rPr>
        <w:t xml:space="preserve"> hospodárstvo), 4,87 % na TC 6 (životné prostredie), 23,20 % na TC 7 (doprava), 15,20 % na TC 8 (podpora zamestnanosti), 32,79 % na TC 9 (sociálna inklúzia)  a 14,49 % na TC 10 (vzdelávanie). Rozdelenie finančných alokácií na príslušné relevantné tematické ciele, tak ako sú zadefinované v „</w:t>
      </w:r>
      <w:r>
        <w:rPr>
          <w:rFonts w:ascii="Arial" w:hAnsi="Arial" w:cs="Arial"/>
          <w:i/>
        </w:rPr>
        <w:t>Pozičnom dokumente Komisie k vypracovaniu Partnerskej dohody a programov na Slovensku na roky 2014 – 2020</w:t>
      </w:r>
      <w:r>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p>
    <w:p>
      <w:pPr>
        <w:jc w:val="both"/>
        <w:rPr>
          <w:rFonts w:ascii="Arial" w:hAnsi="Arial" w:cs="Arial"/>
        </w:rPr>
      </w:pPr>
      <w:r>
        <w:rPr>
          <w:rFonts w:ascii="Arial" w:hAnsi="Arial" w:cs="Arial"/>
          <w:b/>
        </w:rPr>
        <w:t>Najvyššia finančná alokácia  - 32,79 %</w:t>
      </w:r>
      <w:r>
        <w:rPr>
          <w:rFonts w:ascii="Arial" w:hAnsi="Arial" w:cs="Arial"/>
        </w:rPr>
        <w:t xml:space="preserve"> z celkovej finančnej alokácie, bola vyčlenená na </w:t>
      </w:r>
      <w:r>
        <w:rPr>
          <w:rFonts w:ascii="Arial" w:hAnsi="Arial" w:cs="Arial"/>
          <w:b/>
        </w:rPr>
        <w:t xml:space="preserve">TC9 </w:t>
      </w:r>
      <w:r>
        <w:rPr>
          <w:rFonts w:ascii="Arial" w:hAnsi="Arial" w:cs="Arial"/>
        </w:rPr>
        <w:t xml:space="preserve">- Podpora sociálneho začlenenia, boj proti chudobe a akejkoľvek diskriminácii. Intervencie v rámci uvedeného tematického cieľa zahŕňajú riešenie potrieb do </w:t>
      </w:r>
      <w:r>
        <w:rPr>
          <w:rFonts w:ascii="Arial" w:hAnsi="Arial" w:cs="Arial"/>
          <w:b/>
        </w:rPr>
        <w:t>zdravotníckej a sociálnej infraštruktúry</w:t>
      </w:r>
      <w:r>
        <w:rPr>
          <w:rFonts w:ascii="Arial" w:hAnsi="Arial" w:cs="Arial"/>
        </w:rPr>
        <w:t xml:space="preserve"> a investície v rámci stratégií </w:t>
      </w:r>
      <w:r>
        <w:rPr>
          <w:rFonts w:ascii="Arial" w:hAnsi="Arial" w:cs="Arial"/>
          <w:b/>
        </w:rPr>
        <w:t>miestneho rozvoja vedeného komunitou</w:t>
      </w:r>
      <w:r>
        <w:rPr>
          <w:rFonts w:ascii="Arial" w:hAnsi="Arial" w:cs="Arial"/>
        </w:rPr>
        <w:t xml:space="preserve">. Investície do podpory prechodu poskytovania sociálnych služieb a výkonu opatrení sociálnoprávnej ochrany detí a sociálnej kurately z inštitucionálnej formy na </w:t>
      </w:r>
      <w:proofErr w:type="spellStart"/>
      <w:r>
        <w:rPr>
          <w:rFonts w:ascii="Arial" w:hAnsi="Arial" w:cs="Arial"/>
        </w:rPr>
        <w:t>komunitnú</w:t>
      </w:r>
      <w:proofErr w:type="spellEnd"/>
      <w:r>
        <w:rPr>
          <w:rFonts w:ascii="Arial" w:hAnsi="Arial" w:cs="Arial"/>
        </w:rPr>
        <w:t xml:space="preserve"> a modernizácie zdravotnej infraštruktúry si vyžadujú realizáciu finančne nákladných opatrení, čo odráža aj výšku disponibilnej alokácie.</w:t>
      </w:r>
    </w:p>
    <w:p>
      <w:pPr>
        <w:jc w:val="both"/>
        <w:rPr>
          <w:rFonts w:ascii="Arial" w:hAnsi="Arial" w:cs="Arial"/>
        </w:rPr>
      </w:pPr>
      <w:r>
        <w:rPr>
          <w:rFonts w:ascii="Arial" w:hAnsi="Arial" w:cs="Arial"/>
        </w:rPr>
        <w:t xml:space="preserve">Významný podiel finančných prostriedkov - </w:t>
      </w:r>
      <w:r>
        <w:rPr>
          <w:rFonts w:ascii="Arial" w:hAnsi="Arial" w:cs="Arial"/>
          <w:b/>
        </w:rPr>
        <w:t>23,20 %</w:t>
      </w:r>
      <w:r>
        <w:rPr>
          <w:rFonts w:ascii="Arial" w:hAnsi="Arial" w:cs="Arial"/>
        </w:rPr>
        <w:t xml:space="preserve"> z celkovej finančnej alokácie, bol alokovaný na </w:t>
      </w:r>
      <w:r>
        <w:rPr>
          <w:rFonts w:ascii="Arial" w:hAnsi="Arial" w:cs="Arial"/>
          <w:b/>
        </w:rPr>
        <w:t xml:space="preserve">TC7 </w:t>
      </w:r>
      <w:r>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w:t>
      </w:r>
      <w:proofErr w:type="spellStart"/>
      <w:r>
        <w:rPr>
          <w:rFonts w:ascii="Arial" w:hAnsi="Arial" w:cs="Arial"/>
        </w:rPr>
        <w:t>nízkouhlíkových</w:t>
      </w:r>
      <w:proofErr w:type="spellEnd"/>
      <w:r>
        <w:rPr>
          <w:rFonts w:ascii="Arial" w:hAnsi="Arial" w:cs="Arial"/>
        </w:rPr>
        <w:t xml:space="preserve"> dopravných systémov. Investície do </w:t>
      </w:r>
      <w:r>
        <w:rPr>
          <w:rFonts w:ascii="Arial" w:hAnsi="Arial" w:cs="Arial"/>
          <w:b/>
        </w:rPr>
        <w:t>regionálnych ciest</w:t>
      </w:r>
      <w:r>
        <w:rPr>
          <w:rFonts w:ascii="Arial" w:hAnsi="Arial" w:cs="Arial"/>
        </w:rPr>
        <w:t xml:space="preserve"> umožnia zlepšenie prístupu k jednotnému európskemu trhu prostredníctvom napojenia na sieť TEN-T a službám ako aj celkové zlepšenie kvality života v regiónoch. Podpora a rozvoj </w:t>
      </w:r>
      <w:r>
        <w:rPr>
          <w:rFonts w:ascii="Arial" w:hAnsi="Arial" w:cs="Arial"/>
          <w:b/>
        </w:rPr>
        <w:t>verejnej osobnej dopravy</w:t>
      </w:r>
      <w:r>
        <w:rPr>
          <w:rFonts w:ascii="Arial" w:hAnsi="Arial" w:cs="Arial"/>
        </w:rPr>
        <w:t xml:space="preserve">, s cieľom zlepšenia environmentálnych aspektov miest a mestských oblastí, si predovšetkým vzhľadom k aktivitám zameraným na náhradu vozového parku </w:t>
      </w:r>
      <w:proofErr w:type="spellStart"/>
      <w:r>
        <w:rPr>
          <w:rFonts w:ascii="Arial" w:hAnsi="Arial" w:cs="Arial"/>
        </w:rPr>
        <w:t>vysokoekologickými</w:t>
      </w:r>
      <w:proofErr w:type="spellEnd"/>
      <w:r>
        <w:rPr>
          <w:rFonts w:ascii="Arial" w:hAnsi="Arial" w:cs="Arial"/>
        </w:rPr>
        <w:t xml:space="preserve"> autobusmi vyžaduje dostatočnú výšku alokácie. S cieľom podpory ekologických módov dopravy bude potrebné rozvíjať a podporovať opatrenia na rozvoj cyklistickej dopravy.</w:t>
      </w:r>
    </w:p>
    <w:p>
      <w:pPr>
        <w:jc w:val="both"/>
        <w:rPr>
          <w:rFonts w:ascii="Arial" w:hAnsi="Arial" w:cs="Arial"/>
        </w:rPr>
      </w:pPr>
      <w:r>
        <w:rPr>
          <w:rFonts w:ascii="Arial" w:hAnsi="Arial" w:cs="Arial"/>
        </w:rPr>
        <w:t xml:space="preserve">Pre potreby rastu priaznivého pre zamestnanosť,  bola v rámci </w:t>
      </w:r>
      <w:r>
        <w:rPr>
          <w:rFonts w:ascii="Arial" w:hAnsi="Arial" w:cs="Arial"/>
          <w:b/>
        </w:rPr>
        <w:t>TC8</w:t>
      </w:r>
      <w:r>
        <w:rPr>
          <w:rFonts w:ascii="Arial" w:hAnsi="Arial" w:cs="Arial"/>
        </w:rPr>
        <w:t xml:space="preserve"> - Podpora udržateľnosti a kvality zamestnanosti a mobility pracovnej sily, vyčlenených </w:t>
      </w:r>
      <w:r>
        <w:rPr>
          <w:rFonts w:ascii="Arial" w:hAnsi="Arial" w:cs="Arial"/>
          <w:b/>
        </w:rPr>
        <w:t>15,20 %</w:t>
      </w:r>
      <w:r>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Pr>
          <w:rFonts w:ascii="Arial" w:hAnsi="Arial" w:cs="Arial"/>
          <w:b/>
        </w:rPr>
        <w:t xml:space="preserve">kreativity ľudských zdrojov </w:t>
      </w:r>
      <w:r>
        <w:rPr>
          <w:rFonts w:ascii="Arial" w:hAnsi="Arial" w:cs="Arial"/>
        </w:rPr>
        <w:t>v regiónoch.</w:t>
      </w:r>
    </w:p>
    <w:p>
      <w:pPr>
        <w:jc w:val="both"/>
        <w:rPr>
          <w:rFonts w:ascii="Arial" w:hAnsi="Arial" w:cs="Arial"/>
        </w:rPr>
      </w:pPr>
      <w:r>
        <w:rPr>
          <w:rFonts w:ascii="Arial" w:hAnsi="Arial" w:cs="Arial"/>
        </w:rPr>
        <w:t xml:space="preserve">Opatrenia v rámci </w:t>
      </w:r>
      <w:r>
        <w:rPr>
          <w:rFonts w:ascii="Arial" w:hAnsi="Arial" w:cs="Arial"/>
          <w:b/>
        </w:rPr>
        <w:t>TC10</w:t>
      </w:r>
      <w:r>
        <w:rPr>
          <w:rFonts w:ascii="Arial" w:hAnsi="Arial" w:cs="Arial"/>
        </w:rPr>
        <w:t xml:space="preserve"> - Investovanie do vzdelania, školení a odbornej prípravy, ako aj zručností a celoživotného vzdelávania, na ktorý bolo vyčlenených </w:t>
      </w:r>
      <w:r>
        <w:rPr>
          <w:rFonts w:ascii="Arial" w:hAnsi="Arial" w:cs="Arial"/>
          <w:b/>
        </w:rPr>
        <w:t>14,49 %</w:t>
      </w:r>
      <w:r>
        <w:rPr>
          <w:rFonts w:ascii="Arial" w:hAnsi="Arial" w:cs="Arial"/>
        </w:rPr>
        <w:t xml:space="preserve"> prostriedkov z celkovej finančnej alokácie, by mali zlepšiť dlhodobý negatívny trend v SR v oblasti </w:t>
      </w:r>
      <w:r>
        <w:rPr>
          <w:rFonts w:ascii="Arial" w:hAnsi="Arial" w:cs="Arial"/>
          <w:b/>
        </w:rPr>
        <w:t>predškolského vzdelávania</w:t>
      </w:r>
      <w:r>
        <w:rPr>
          <w:rFonts w:ascii="Arial" w:hAnsi="Arial" w:cs="Arial"/>
        </w:rPr>
        <w:t xml:space="preserve">, a to predovšetkým zvýšiť hrubú </w:t>
      </w:r>
      <w:proofErr w:type="spellStart"/>
      <w:r>
        <w:rPr>
          <w:rFonts w:ascii="Arial" w:hAnsi="Arial" w:cs="Arial"/>
        </w:rPr>
        <w:t>zaškolenosť</w:t>
      </w:r>
      <w:proofErr w:type="spellEnd"/>
      <w:r>
        <w:rPr>
          <w:rFonts w:ascii="Arial" w:hAnsi="Arial" w:cs="Arial"/>
        </w:rPr>
        <w:t xml:space="preserve"> detí s dopadom na zvýšenie podielu žien na pracovnom trhu (Pozičný dokument SR), v oblasti primárneho vzdelávania zlepšiť </w:t>
      </w:r>
      <w:r>
        <w:rPr>
          <w:rFonts w:ascii="Arial" w:hAnsi="Arial" w:cs="Arial"/>
          <w:b/>
        </w:rPr>
        <w:t>kľúčové</w:t>
      </w:r>
      <w:r>
        <w:rPr>
          <w:rFonts w:ascii="Arial" w:hAnsi="Arial" w:cs="Arial"/>
        </w:rPr>
        <w:t xml:space="preserve"> </w:t>
      </w:r>
      <w:r>
        <w:rPr>
          <w:rFonts w:ascii="Arial" w:hAnsi="Arial" w:cs="Arial"/>
          <w:b/>
        </w:rPr>
        <w:t>kompetencie žiakov</w:t>
      </w:r>
      <w:r>
        <w:rPr>
          <w:rFonts w:ascii="Arial" w:hAnsi="Arial" w:cs="Arial"/>
        </w:rPr>
        <w:t xml:space="preserve"> </w:t>
      </w:r>
      <w:r>
        <w:rPr>
          <w:rFonts w:ascii="Arial" w:hAnsi="Arial" w:cs="Arial"/>
          <w:b/>
        </w:rPr>
        <w:t>základných škôl</w:t>
      </w:r>
      <w:r>
        <w:rPr>
          <w:rFonts w:ascii="Arial" w:hAnsi="Arial" w:cs="Arial"/>
        </w:rPr>
        <w:t xml:space="preserve"> a v oblasti </w:t>
      </w:r>
      <w:r>
        <w:rPr>
          <w:rFonts w:ascii="Arial" w:hAnsi="Arial" w:cs="Arial"/>
          <w:b/>
        </w:rPr>
        <w:t>stredného odborného vzdelávania a prípravy</w:t>
      </w:r>
      <w:r>
        <w:rPr>
          <w:rFonts w:ascii="Arial" w:hAnsi="Arial" w:cs="Arial"/>
        </w:rPr>
        <w:t xml:space="preserve"> zvýšiť jeho kvalitu a relevanciu pre trh prácu. Zároveň sa očakáva zlepšenie prístupu k celoživotnému vzdelávaniu. </w:t>
      </w:r>
    </w:p>
    <w:p>
      <w:pPr>
        <w:jc w:val="both"/>
        <w:rPr>
          <w:rFonts w:ascii="Arial" w:hAnsi="Arial" w:cs="Arial"/>
        </w:rPr>
      </w:pPr>
      <w:r>
        <w:rPr>
          <w:rFonts w:ascii="Arial" w:hAnsi="Arial" w:cs="Arial"/>
        </w:rPr>
        <w:lastRenderedPageBreak/>
        <w:t xml:space="preserve">Na </w:t>
      </w:r>
      <w:r>
        <w:rPr>
          <w:rFonts w:ascii="Arial" w:hAnsi="Arial" w:cs="Arial"/>
          <w:b/>
        </w:rPr>
        <w:t>TC4</w:t>
      </w:r>
      <w:r>
        <w:rPr>
          <w:rFonts w:ascii="Arial" w:hAnsi="Arial" w:cs="Arial"/>
        </w:rPr>
        <w:t xml:space="preserve"> - Podpora prechodu na </w:t>
      </w:r>
      <w:proofErr w:type="spellStart"/>
      <w:r>
        <w:rPr>
          <w:rFonts w:ascii="Arial" w:hAnsi="Arial" w:cs="Arial"/>
        </w:rPr>
        <w:t>nízkouhlíkové</w:t>
      </w:r>
      <w:proofErr w:type="spellEnd"/>
      <w:r>
        <w:rPr>
          <w:rFonts w:ascii="Arial" w:hAnsi="Arial" w:cs="Arial"/>
        </w:rPr>
        <w:t xml:space="preserve"> hospodárstvo vo všetkých sektoroch, bolo vyčlenených </w:t>
      </w:r>
      <w:r>
        <w:rPr>
          <w:rFonts w:ascii="Arial" w:hAnsi="Arial" w:cs="Arial"/>
          <w:b/>
        </w:rPr>
        <w:t>6,14 %</w:t>
      </w:r>
      <w:r>
        <w:rPr>
          <w:rFonts w:ascii="Arial" w:hAnsi="Arial" w:cs="Arial"/>
        </w:rPr>
        <w:t xml:space="preserve"> prostriedkov z celkovej finančnej alokácie. Uvedená výška finančných prostriedkov bola určená na zvýšenie </w:t>
      </w:r>
      <w:r>
        <w:rPr>
          <w:rFonts w:ascii="Arial" w:hAnsi="Arial" w:cs="Arial"/>
          <w:b/>
        </w:rPr>
        <w:t>energetickej efektívnosti</w:t>
      </w:r>
      <w:r>
        <w:rPr>
          <w:rFonts w:ascii="Arial" w:hAnsi="Arial" w:cs="Arial"/>
        </w:rPr>
        <w:t xml:space="preserve"> budov na bývanie, pričom konkrétne opatrenia sú v súlade so smernicou o energetickej efektívnosti a o energetickej hospodárnosti budov.</w:t>
      </w:r>
    </w:p>
    <w:p>
      <w:pPr>
        <w:jc w:val="both"/>
        <w:rPr>
          <w:rFonts w:ascii="Arial" w:hAnsi="Arial" w:cs="Arial"/>
        </w:rPr>
      </w:pPr>
      <w:r>
        <w:rPr>
          <w:rFonts w:ascii="Arial" w:hAnsi="Arial" w:cs="Arial"/>
        </w:rPr>
        <w:t xml:space="preserve">Na </w:t>
      </w:r>
      <w:r>
        <w:rPr>
          <w:rFonts w:ascii="Arial" w:hAnsi="Arial" w:cs="Arial"/>
          <w:b/>
        </w:rPr>
        <w:t>TC6</w:t>
      </w:r>
      <w:r>
        <w:rPr>
          <w:rFonts w:ascii="Arial" w:hAnsi="Arial" w:cs="Arial"/>
        </w:rPr>
        <w:t xml:space="preserve"> – Zachovanie a ochrana životného prostredia a podpora efektívneho využívania zdrojov bola vyčlenená alokácia predstavujúca </w:t>
      </w:r>
      <w:r>
        <w:rPr>
          <w:rFonts w:ascii="Arial" w:hAnsi="Arial" w:cs="Arial"/>
          <w:b/>
        </w:rPr>
        <w:t>4,87 %</w:t>
      </w:r>
      <w:r>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pPr>
        <w:rPr>
          <w:rFonts w:ascii="Arial" w:hAnsi="Arial" w:cs="Arial"/>
        </w:rPr>
      </w:pPr>
    </w:p>
    <w:p>
      <w:pPr>
        <w:rPr>
          <w:rStyle w:val="Siln"/>
          <w:rFonts w:ascii="Arial" w:hAnsi="Arial" w:cs="Arial"/>
        </w:rPr>
        <w:sectPr>
          <w:pgSz w:w="11906" w:h="16838"/>
          <w:pgMar w:top="1418" w:right="1418" w:bottom="1418" w:left="1418" w:header="709" w:footer="709" w:gutter="0"/>
          <w:cols w:space="708"/>
          <w:docGrid w:linePitch="360"/>
        </w:sectPr>
      </w:pPr>
    </w:p>
    <w:p>
      <w:pPr>
        <w:rPr>
          <w:rStyle w:val="Zvraznenie"/>
          <w:rFonts w:ascii="Arial" w:hAnsi="Arial" w:cs="Arial"/>
        </w:rPr>
      </w:pPr>
      <w:r>
        <w:rPr>
          <w:rStyle w:val="Siln"/>
          <w:rFonts w:ascii="Arial" w:hAnsi="Arial" w:cs="Arial"/>
        </w:rPr>
        <w:lastRenderedPageBreak/>
        <w:t>Tabuľka č. 2</w:t>
      </w:r>
      <w:r>
        <w:rPr>
          <w:rFonts w:ascii="Arial" w:hAnsi="Arial" w:cs="Arial"/>
        </w:rPr>
        <w:t xml:space="preserve"> </w:t>
      </w:r>
      <w:r>
        <w:rPr>
          <w:rStyle w:val="Zvraznenie"/>
          <w:rFonts w:ascii="Arial" w:hAnsi="Arial" w:cs="Arial"/>
        </w:rPr>
        <w:t>Prehľad investičnej stratégie IROP</w:t>
      </w:r>
    </w:p>
    <w:p>
      <w:pPr>
        <w:rPr>
          <w:rStyle w:val="Zvraznenie"/>
          <w:rFonts w:ascii="Arial" w:hAnsi="Arial" w:cs="Arial"/>
        </w:rPr>
      </w:pP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rPr>
            </w:pPr>
            <w:r>
              <w:rPr>
                <w:rFonts w:ascii="Arial" w:hAnsi="Arial" w:cs="Arial"/>
                <w:bCs w:val="0"/>
                <w:sz w:val="16"/>
                <w:szCs w:val="16"/>
              </w:rPr>
              <w:t>Prioritná os</w:t>
            </w:r>
          </w:p>
        </w:tc>
        <w:tc>
          <w:tcPr>
            <w:tcW w:w="709"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421 000 000,00</w:t>
            </w: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23,20</w:t>
            </w:r>
          </w:p>
        </w:tc>
        <w:tc>
          <w:tcPr>
            <w:tcW w:w="1843"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b) Posilnenie regionálnej mobility prepojením sekundárnych a terciárnych uzlov s infraštruktúrou TEN-T vrátane </w:t>
            </w:r>
            <w:proofErr w:type="spellStart"/>
            <w:r>
              <w:rPr>
                <w:rFonts w:ascii="Arial" w:hAnsi="Arial" w:cs="Arial"/>
                <w:sz w:val="16"/>
                <w:szCs w:val="16"/>
              </w:rPr>
              <w:t>multimodálnych</w:t>
            </w:r>
            <w:proofErr w:type="spellEnd"/>
            <w:r>
              <w:rPr>
                <w:rFonts w:ascii="Arial" w:hAnsi="Arial" w:cs="Arial"/>
                <w:sz w:val="16"/>
                <w:szCs w:val="16"/>
              </w:rPr>
              <w:t xml:space="preserve"> uzlov</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c) Vývoj a zlepšovanie ekologicky priaznivých, vrátane </w:t>
            </w:r>
            <w:proofErr w:type="spellStart"/>
            <w:r>
              <w:rPr>
                <w:rFonts w:ascii="Arial" w:hAnsi="Arial" w:cs="Arial"/>
                <w:sz w:val="16"/>
                <w:szCs w:val="16"/>
              </w:rPr>
              <w:t>nízkohlukových</w:t>
            </w:r>
            <w:proofErr w:type="spellEnd"/>
            <w:r>
              <w:rPr>
                <w:rFonts w:ascii="Arial" w:hAnsi="Arial" w:cs="Arial"/>
                <w:sz w:val="16"/>
                <w:szCs w:val="16"/>
              </w:rPr>
              <w:t xml:space="preserve">, a </w:t>
            </w:r>
            <w:proofErr w:type="spellStart"/>
            <w:r>
              <w:rPr>
                <w:rFonts w:ascii="Arial" w:hAnsi="Arial" w:cs="Arial"/>
                <w:sz w:val="16"/>
                <w:szCs w:val="16"/>
              </w:rPr>
              <w:t>nízkouhlíkových</w:t>
            </w:r>
            <w:proofErr w:type="spellEnd"/>
            <w:r>
              <w:rPr>
                <w:rFonts w:ascii="Arial" w:hAnsi="Arial" w:cs="Arial"/>
                <w:sz w:val="16"/>
                <w:szCs w:val="16"/>
              </w:rPr>
              <w:t xml:space="preserve"> dopravných systémov vrátane vnútrozemských vodných ciest a námornej dopravy, prístavov, </w:t>
            </w:r>
            <w:proofErr w:type="spellStart"/>
            <w:r>
              <w:rPr>
                <w:rFonts w:ascii="Arial" w:hAnsi="Arial" w:cs="Arial"/>
                <w:sz w:val="16"/>
                <w:szCs w:val="16"/>
              </w:rPr>
              <w:t>multimodálnych</w:t>
            </w:r>
            <w:proofErr w:type="spellEnd"/>
            <w:r>
              <w:rPr>
                <w:rFonts w:ascii="Arial" w:hAnsi="Arial" w:cs="Arial"/>
                <w:sz w:val="16"/>
                <w:szCs w:val="16"/>
              </w:rPr>
              <w:t xml:space="preserve"> prepojení a letiskovej infraštruktúry v záujme podpory udržateľnej regionálnej a miestnej mobility</w:t>
            </w:r>
          </w:p>
        </w:tc>
        <w:tc>
          <w:tcPr>
            <w:tcW w:w="2268" w:type="dxa"/>
            <w:vMerge w:val="restart"/>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Zabezpečenie udržateľnej formy mobility prostredníctvom zvyšovania atraktivity a konkurencieschopnosti verejnej osobnej dopravy</w:t>
            </w:r>
          </w:p>
        </w:tc>
        <w:tc>
          <w:tcPr>
            <w:tcW w:w="2268" w:type="dxa"/>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predaných predplatných cestovných lístkov integrovaného dopravného systému</w:t>
            </w:r>
          </w:p>
        </w:tc>
      </w:tr>
      <w:tr>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8" w:type="dxa"/>
            <w:vMerge/>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Podiel </w:t>
            </w:r>
            <w:proofErr w:type="spellStart"/>
            <w:r>
              <w:rPr>
                <w:rFonts w:ascii="Arial" w:hAnsi="Arial" w:cs="Arial"/>
                <w:sz w:val="16"/>
                <w:szCs w:val="16"/>
              </w:rPr>
              <w:t>nízkopodlažných</w:t>
            </w:r>
            <w:proofErr w:type="spellEnd"/>
            <w:r>
              <w:rPr>
                <w:rFonts w:ascii="Arial" w:hAnsi="Arial" w:cs="Arial"/>
                <w:sz w:val="16"/>
                <w:szCs w:val="16"/>
              </w:rPr>
              <w:t xml:space="preserve"> autobusov na celkovom počte autobusov, vhodných aj pre cestujúcich s obmedzenou mobilitou</w:t>
            </w:r>
          </w:p>
        </w:tc>
      </w:tr>
      <w:tr>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Celková dĺžka cyklistickej infraštruktúry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757 913 197,00</w:t>
            </w:r>
          </w:p>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41,77</w:t>
            </w:r>
          </w:p>
        </w:tc>
        <w:tc>
          <w:tcPr>
            <w:tcW w:w="1843"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 xml:space="preserve">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w:t>
            </w:r>
            <w:r>
              <w:rPr>
                <w:rFonts w:ascii="Arial" w:hAnsi="Arial" w:cs="Arial"/>
                <w:sz w:val="16"/>
                <w:szCs w:val="16"/>
              </w:rPr>
              <w:lastRenderedPageBreak/>
              <w:t xml:space="preserve">inštitucionálnych služieb na </w:t>
            </w:r>
            <w:proofErr w:type="spellStart"/>
            <w:r>
              <w:rPr>
                <w:rFonts w:ascii="Arial" w:hAnsi="Arial" w:cs="Arial"/>
                <w:sz w:val="16"/>
                <w:szCs w:val="16"/>
              </w:rPr>
              <w:t>komunitné</w:t>
            </w:r>
            <w:proofErr w:type="spellEnd"/>
          </w:p>
        </w:tc>
        <w:tc>
          <w:tcPr>
            <w:tcW w:w="2268"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lastRenderedPageBreak/>
              <w:t xml:space="preserve">2.1.1 Podporiť prechod poskytovania sociálnych služieb a zabezpečenia výkonu opatrení sociálnoprávnej ochrany detí a sociálnej kurately v zariadení z inštitucionálnej formy na </w:t>
            </w:r>
            <w:proofErr w:type="spellStart"/>
            <w:r>
              <w:rPr>
                <w:rFonts w:ascii="Arial" w:hAnsi="Arial" w:cs="Arial"/>
                <w:iCs/>
                <w:sz w:val="16"/>
                <w:szCs w:val="16"/>
              </w:rPr>
              <w:t>komunitnú</w:t>
            </w:r>
            <w:proofErr w:type="spellEnd"/>
            <w:r>
              <w:rPr>
                <w:rFonts w:ascii="Arial" w:hAnsi="Arial" w:cs="Arial"/>
                <w:iCs/>
                <w:sz w:val="16"/>
                <w:szCs w:val="16"/>
              </w:rPr>
              <w:t xml:space="preserve"> (poskytovanú na </w:t>
            </w:r>
            <w:proofErr w:type="spellStart"/>
            <w:r>
              <w:rPr>
                <w:rFonts w:ascii="Arial" w:hAnsi="Arial" w:cs="Arial"/>
                <w:iCs/>
                <w:sz w:val="16"/>
                <w:szCs w:val="16"/>
              </w:rPr>
              <w:t>komunitnej</w:t>
            </w:r>
            <w:proofErr w:type="spellEnd"/>
            <w:r>
              <w:rPr>
                <w:rFonts w:ascii="Arial" w:hAnsi="Arial" w:cs="Arial"/>
                <w:iCs/>
                <w:sz w:val="16"/>
                <w:szCs w:val="16"/>
              </w:rPr>
              <w:t xml:space="preserve"> úrovni)</w:t>
            </w: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w:t>
            </w:r>
            <w:proofErr w:type="spellStart"/>
            <w:r>
              <w:rPr>
                <w:rFonts w:ascii="Arial" w:hAnsi="Arial" w:cs="Arial"/>
                <w:sz w:val="16"/>
                <w:szCs w:val="16"/>
              </w:rPr>
              <w:t>komunitnej</w:t>
            </w:r>
            <w:proofErr w:type="spellEnd"/>
            <w:r>
              <w:rPr>
                <w:rFonts w:ascii="Arial" w:hAnsi="Arial" w:cs="Arial"/>
                <w:sz w:val="16"/>
                <w:szCs w:val="16"/>
              </w:rPr>
              <w:t xml:space="preserve"> úrovni na celkovom počte osôb, ktorým sa poskytujú sociálne služby</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Podiel detí v detských </w:t>
            </w:r>
            <w:r>
              <w:rPr>
                <w:rFonts w:ascii="Arial" w:hAnsi="Arial" w:cs="Arial"/>
                <w:sz w:val="16"/>
                <w:szCs w:val="16"/>
              </w:rPr>
              <w:lastRenderedPageBreak/>
              <w:t>domovoch, ktorým je poskytovaná starostlivosť v rámci komunity na celkovom počte detí v detských domovoch</w:t>
            </w:r>
          </w:p>
        </w:tc>
      </w:tr>
      <w:tr>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spacing w:after="0"/>
              <w:rPr>
                <w:rFonts w:ascii="Arial" w:hAnsi="Arial" w:cs="Arial"/>
                <w:iCs/>
                <w:sz w:val="16"/>
                <w:szCs w:val="16"/>
              </w:rPr>
            </w:pPr>
          </w:p>
        </w:tc>
        <w:tc>
          <w:tcPr>
            <w:tcW w:w="709"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2.1.2 Modernizovať zdravotnícku infraštruktúru za účelom zlepšenia dostupnosti ku kvalitným službám v integrovanej zdravotnej starostlivosti.</w:t>
            </w: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produktivity a zlepšenia dostupnosti ku kvalitným zdravotníckym službám</w:t>
            </w:r>
          </w:p>
        </w:tc>
        <w:tc>
          <w:tcPr>
            <w:tcW w:w="2268"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Obložnosť</w:t>
            </w:r>
            <w:proofErr w:type="spellEnd"/>
            <w:r>
              <w:rPr>
                <w:rFonts w:ascii="Arial" w:hAnsi="Arial" w:cs="Arial"/>
                <w:sz w:val="16"/>
                <w:szCs w:val="16"/>
              </w:rPr>
              <w:t xml:space="preserve"> akútnych lôžok</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w:t>
            </w:r>
            <w:proofErr w:type="spellStart"/>
            <w:r>
              <w:rPr>
                <w:rFonts w:ascii="Arial" w:hAnsi="Arial" w:cs="Arial"/>
                <w:iCs/>
                <w:sz w:val="16"/>
                <w:szCs w:val="16"/>
              </w:rPr>
              <w:t>zaškolenosti</w:t>
            </w:r>
            <w:proofErr w:type="spellEnd"/>
            <w:r>
              <w:rPr>
                <w:rFonts w:ascii="Arial" w:hAnsi="Arial" w:cs="Arial"/>
                <w:iCs/>
                <w:sz w:val="16"/>
                <w:szCs w:val="16"/>
              </w:rPr>
              <w:t xml:space="preserve"> detí </w:t>
            </w:r>
          </w:p>
        </w:tc>
        <w:tc>
          <w:tcPr>
            <w:tcW w:w="2268" w:type="dxa"/>
            <w:shd w:val="clear" w:color="auto" w:fill="auto"/>
            <w:hideMark/>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Hrubá </w:t>
            </w:r>
            <w:proofErr w:type="spellStart"/>
            <w:r>
              <w:rPr>
                <w:rFonts w:ascii="Arial" w:hAnsi="Arial" w:cs="Arial"/>
                <w:iCs/>
                <w:sz w:val="16"/>
                <w:szCs w:val="16"/>
              </w:rPr>
              <w:t>zaškolenosť</w:t>
            </w:r>
            <w:proofErr w:type="spellEnd"/>
            <w:r>
              <w:rPr>
                <w:rFonts w:ascii="Arial" w:hAnsi="Arial" w:cs="Arial"/>
                <w:iCs/>
                <w:sz w:val="16"/>
                <w:szCs w:val="16"/>
              </w:rPr>
              <w:t xml:space="preserve"> detí v materských školách</w:t>
            </w:r>
          </w:p>
        </w:tc>
      </w:tr>
      <w:tr>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spacing w:after="0"/>
              <w:rPr>
                <w:rFonts w:ascii="Arial" w:hAnsi="Arial" w:cs="Arial"/>
                <w:b w:val="0"/>
                <w:bCs w:val="0"/>
                <w:iCs/>
                <w:sz w:val="16"/>
                <w:szCs w:val="16"/>
              </w:rPr>
            </w:pPr>
          </w:p>
        </w:tc>
        <w:tc>
          <w:tcPr>
            <w:tcW w:w="709"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na odbornom výcviku </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pri ktorých sú zriadené centrá odborného vzdelávania a prípravy na celkovom počte žiakov stredných odborných škôl</w:t>
            </w:r>
          </w:p>
        </w:tc>
      </w:tr>
      <w:tr>
        <w:trPr>
          <w:cnfStyle w:val="000000010000" w:firstRow="0" w:lastRow="0" w:firstColumn="0" w:lastColumn="0" w:oddVBand="0" w:evenVBand="0" w:oddHBand="0" w:evenHBand="1"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iCs/>
                <w:sz w:val="16"/>
                <w:szCs w:val="16"/>
              </w:rPr>
            </w:pPr>
          </w:p>
        </w:tc>
        <w:tc>
          <w:tcPr>
            <w:tcW w:w="70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alebo v školských hospodárstvach na celkovom počte žiakov stredných odborných škôl</w:t>
            </w:r>
          </w:p>
        </w:tc>
      </w:tr>
      <w:tr>
        <w:trPr>
          <w:cnfStyle w:val="000000100000" w:firstRow="0" w:lastRow="0" w:firstColumn="0" w:lastColumn="0" w:oddVBand="0" w:evenVBand="0" w:oddHBand="1" w:evenHBand="0" w:firstRowFirstColumn="0" w:firstRowLastColumn="0" w:lastRowFirstColumn="0" w:lastRowLastColumn="0"/>
          <w:trHeight w:val="2539"/>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sz w:val="16"/>
                <w:szCs w:val="16"/>
              </w:rPr>
            </w:pPr>
            <w:r>
              <w:rPr>
                <w:rFonts w:ascii="Arial" w:hAnsi="Arial" w:cs="Arial"/>
                <w:sz w:val="16"/>
                <w:szCs w:val="16"/>
              </w:rPr>
              <w:t>3.Mobilizácia kreatívneho potenciálu v regiónoch</w:t>
            </w:r>
          </w:p>
        </w:tc>
        <w:tc>
          <w:tcPr>
            <w:tcW w:w="70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275 860 548,00</w:t>
            </w:r>
          </w:p>
        </w:tc>
        <w:tc>
          <w:tcPr>
            <w:tcW w:w="127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highlight w:val="yellow"/>
              </w:rPr>
            </w:pPr>
            <w:r>
              <w:rPr>
                <w:rFonts w:ascii="Arial" w:hAnsi="Arial" w:cs="Arial"/>
                <w:iCs/>
                <w:sz w:val="16"/>
                <w:szCs w:val="16"/>
              </w:rPr>
              <w:t>15,20</w:t>
            </w:r>
          </w:p>
        </w:tc>
        <w:tc>
          <w:tcPr>
            <w:tcW w:w="1843"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3.1 Stimulovanie podpory udržateľnej zamestnanosti v kultúrnom a kreatívnom sektore prostredníctvom vytvorenia priaznivého prostredia  vo forme tvrdej a mäkkej infraštruktúry pre rozvoj kreativity a netechnologických inovácií</w:t>
            </w: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Počet pracovných miest</w:t>
            </w:r>
          </w:p>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r>
      <w:tr>
        <w:trPr>
          <w:cnfStyle w:val="000000010000" w:firstRow="0" w:lastRow="0" w:firstColumn="0" w:lastColumn="0" w:oddVBand="0" w:evenVBand="0" w:oddHBand="0" w:evenHBand="1"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4. Zlepšenie kvality života v regiónoch s dôrazom na životné prostredie</w:t>
            </w:r>
          </w:p>
        </w:tc>
        <w:tc>
          <w:tcPr>
            <w:tcW w:w="70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199 716 670,00</w:t>
            </w:r>
          </w:p>
        </w:tc>
        <w:tc>
          <w:tcPr>
            <w:tcW w:w="1276"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11,01</w:t>
            </w:r>
          </w:p>
        </w:tc>
        <w:tc>
          <w:tcPr>
            <w:tcW w:w="1843" w:type="dxa"/>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4. Podpora prechodu na </w:t>
            </w:r>
            <w:proofErr w:type="spellStart"/>
            <w:r>
              <w:rPr>
                <w:rFonts w:ascii="Arial" w:hAnsi="Arial" w:cs="Arial"/>
                <w:sz w:val="16"/>
                <w:szCs w:val="16"/>
              </w:rPr>
              <w:t>nízkouhlíkové</w:t>
            </w:r>
            <w:proofErr w:type="spellEnd"/>
            <w:r>
              <w:rPr>
                <w:rFonts w:ascii="Arial" w:hAnsi="Arial" w:cs="Arial"/>
                <w:sz w:val="16"/>
                <w:szCs w:val="16"/>
              </w:rPr>
              <w:t xml:space="preserve"> hospodárstvo vo všetkých sektoroch</w:t>
            </w:r>
          </w:p>
        </w:tc>
        <w:tc>
          <w:tcPr>
            <w:tcW w:w="2410"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budov na bývanie</w:t>
            </w:r>
          </w:p>
        </w:tc>
        <w:tc>
          <w:tcPr>
            <w:tcW w:w="2268" w:type="dxa"/>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budov na bývanie</w:t>
            </w:r>
          </w:p>
        </w:tc>
      </w:tr>
      <w:tr>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6. Zachovanie a ochrana životného prostredia a podpora efektívneho  využívania zdrojov</w:t>
            </w: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b) Investovanie do sektora vodného hospodárstva s cieľom splniť požiadavky environmentálneho </w:t>
            </w:r>
            <w:proofErr w:type="spellStart"/>
            <w:r>
              <w:rPr>
                <w:rFonts w:ascii="Arial" w:hAnsi="Arial" w:cs="Arial"/>
                <w:sz w:val="16"/>
                <w:szCs w:val="16"/>
              </w:rPr>
              <w:t>acquis</w:t>
            </w:r>
            <w:proofErr w:type="spellEnd"/>
            <w:r>
              <w:rPr>
                <w:rFonts w:ascii="Arial" w:hAnsi="Arial" w:cs="Arial"/>
                <w:sz w:val="16"/>
                <w:szCs w:val="16"/>
              </w:rPr>
              <w:t xml:space="preserve"> Únie a pokryť potreby, ktoré členské štáty špecifikovali v súvislosti s investíciami nad rámec týchto požiadaviek</w:t>
            </w:r>
          </w:p>
        </w:tc>
        <w:tc>
          <w:tcPr>
            <w:tcW w:w="2268" w:type="dxa"/>
            <w:vMerge w:val="restart"/>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4.2.1 Zvýšenie dostupnosti zdrojov podzemných vôd pre zásobovanie obyvateľstva pitnou vodou</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8"/>
              </w:rPr>
              <w:t>Počet novovybudovaných zdrojov podzemných vôd</w:t>
            </w:r>
          </w:p>
        </w:tc>
      </w:tr>
      <w:tr>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8"/>
              </w:rPr>
            </w:pPr>
            <w:r>
              <w:rPr>
                <w:rFonts w:ascii="Arial" w:hAnsi="Arial" w:cs="Arial"/>
                <w:sz w:val="16"/>
                <w:szCs w:val="18"/>
              </w:rPr>
              <w:t>Počet zrekonštruovaných zdrojov podzemných vôd</w:t>
            </w:r>
          </w:p>
        </w:tc>
      </w:tr>
      <w:tr>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4.2.2 Zabezpečenie bezproblémového zásobovania obyvateľstva kvalitnou pitnou vodou a efektívnej likvidácie </w:t>
            </w:r>
            <w:r>
              <w:rPr>
                <w:rFonts w:ascii="Arial" w:hAnsi="Arial" w:cs="Arial"/>
                <w:iCs/>
                <w:sz w:val="16"/>
                <w:szCs w:val="16"/>
              </w:rPr>
              <w:lastRenderedPageBreak/>
              <w:t>odpadových vôd bez negatívnych dopadov na životné prostredie</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lastRenderedPageBreak/>
              <w:t>Počet obyvateľov napojených na verejnú kanalizáciu s čistením komunálnych odpadových vôd</w:t>
            </w:r>
          </w:p>
        </w:tc>
      </w:tr>
      <w:tr>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268" w:type="dxa"/>
            <w:vMerge w:val="restart"/>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4.3.1 Zlepšenie environmentálnych aspektov v mestách a mestských oblastiach prostredníctvom budovania prvkov zelenej infraštruktúry a adaptáciou urbanizovaného prostredia na zmeny klímy ako aj zavádzaním systémových prvkov znižovania znečistenia ovzdušia a hluku.</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zelenej infraštruktúry na celkovej rozlohe miest</w:t>
            </w:r>
          </w:p>
        </w:tc>
      </w:tr>
      <w:tr>
        <w:trPr>
          <w:cnfStyle w:val="000000010000" w:firstRow="0" w:lastRow="0" w:firstColumn="0" w:lastColumn="0" w:oddVBand="0" w:evenVBand="0" w:oddHBand="0" w:evenHBand="1"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dní s prekročenými limitnými hodnotami znečisťujúcej látky PM10 a PM2,5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iCs/>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4.3.2 Regenerácia a využitie nevyužívaných objektov a areálov (</w:t>
            </w:r>
            <w:proofErr w:type="spellStart"/>
            <w:r>
              <w:rPr>
                <w:rFonts w:ascii="Arial" w:hAnsi="Arial" w:cs="Arial"/>
                <w:iCs/>
                <w:sz w:val="16"/>
                <w:szCs w:val="16"/>
              </w:rPr>
              <w:t>brownfields</w:t>
            </w:r>
            <w:proofErr w:type="spellEnd"/>
            <w:r>
              <w:rPr>
                <w:rFonts w:ascii="Arial" w:hAnsi="Arial" w:cs="Arial"/>
                <w:iCs/>
                <w:sz w:val="16"/>
                <w:szCs w:val="16"/>
              </w:rPr>
              <w:t>) a </w:t>
            </w:r>
            <w:proofErr w:type="spellStart"/>
            <w:r>
              <w:rPr>
                <w:rFonts w:ascii="Arial" w:hAnsi="Arial" w:cs="Arial"/>
                <w:iCs/>
                <w:sz w:val="16"/>
                <w:szCs w:val="16"/>
              </w:rPr>
              <w:t>vnútroblokov</w:t>
            </w:r>
            <w:proofErr w:type="spellEnd"/>
            <w:r>
              <w:rPr>
                <w:rFonts w:ascii="Arial" w:hAnsi="Arial" w:cs="Arial"/>
                <w:iCs/>
                <w:sz w:val="16"/>
                <w:szCs w:val="16"/>
              </w:rPr>
              <w:t xml:space="preserve"> sídlisk s cieľom zlepšenia kvality života obyvateľov v obciach, mestách a mestských oblastiach.   </w:t>
            </w:r>
          </w:p>
        </w:tc>
        <w:tc>
          <w:tcPr>
            <w:tcW w:w="2268" w:type="dxa"/>
            <w:shd w:val="clear" w:color="auto" w:fill="auto"/>
            <w:hideMark/>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poskytovaných služieb pre verejnosť</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100 000 000,00</w:t>
            </w:r>
          </w:p>
        </w:tc>
        <w:tc>
          <w:tcPr>
            <w:tcW w:w="1276"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5,51</w:t>
            </w:r>
          </w:p>
        </w:tc>
        <w:tc>
          <w:tcPr>
            <w:tcW w:w="1843" w:type="dxa"/>
            <w:vMerge w:val="restart"/>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5.1.1 Zvýšenie budovania kapacít pre miestny rozvoj vedený komunitou</w:t>
            </w: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Populácia pokrytá MAS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5.1.2 Zvýšenie tvorby pracovných miest rozvojom podnikania a inovácií na miestnej úrovni</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vytvorených pracovných miest</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5.1.3 Zlepšenie udržateľných vzťahov medzi vidieckymi rozvojovými centrami a ich zázemím vo verejných službách a vo verejných infraštruktúrach</w:t>
            </w: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Vidiecka a mestská populácia so zlepšenou infraštruktúrou a prístupom k verejným službám</w:t>
            </w:r>
          </w:p>
        </w:tc>
      </w:tr>
      <w:tr>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pPr>
              <w:rPr>
                <w:rFonts w:ascii="Arial" w:hAnsi="Arial" w:cs="Arial"/>
                <w:sz w:val="16"/>
                <w:szCs w:val="16"/>
              </w:rPr>
            </w:pPr>
            <w:r>
              <w:rPr>
                <w:rFonts w:ascii="Arial" w:hAnsi="Arial" w:cs="Arial"/>
                <w:sz w:val="16"/>
                <w:szCs w:val="16"/>
              </w:rPr>
              <w:t>6. Technická pomoc</w:t>
            </w:r>
          </w:p>
        </w:tc>
        <w:tc>
          <w:tcPr>
            <w:tcW w:w="70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60 000 000,00</w:t>
            </w:r>
          </w:p>
        </w:tc>
        <w:tc>
          <w:tcPr>
            <w:tcW w:w="1276"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3,31</w:t>
            </w:r>
          </w:p>
        </w:tc>
        <w:tc>
          <w:tcPr>
            <w:tcW w:w="1843"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6.1 Zabezpečenie efektívneho riadenia a </w:t>
            </w:r>
            <w:r>
              <w:rPr>
                <w:rFonts w:ascii="Arial" w:hAnsi="Arial" w:cs="Arial"/>
                <w:iCs/>
                <w:sz w:val="16"/>
                <w:szCs w:val="16"/>
              </w:rPr>
              <w:lastRenderedPageBreak/>
              <w:t>implementácie IROP</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lastRenderedPageBreak/>
              <w:t>Miera fluktuácie administratívnych kapacít</w:t>
            </w:r>
            <w:r>
              <w:rPr>
                <w:rFonts w:ascii="Arial" w:hAnsi="Arial" w:cs="Arial"/>
                <w:iCs/>
                <w:sz w:val="16"/>
                <w:szCs w:val="16"/>
              </w:rPr>
              <w:t xml:space="preserve"> </w:t>
            </w:r>
          </w:p>
        </w:tc>
      </w:tr>
      <w:tr>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Vybavenosť administratívnych kapacít modernými materiálno–technickými, priestorovými a prevádzkovými podmienkami</w:t>
            </w:r>
          </w:p>
        </w:tc>
      </w:tr>
      <w:tr>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Výška absorbovaných oprávnených výdavkov z celkovej alokácie IROP</w:t>
            </w:r>
          </w:p>
        </w:tc>
      </w:tr>
      <w:tr>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pPr>
              <w:rPr>
                <w:rFonts w:ascii="Arial" w:hAnsi="Arial" w:cs="Arial"/>
                <w:sz w:val="16"/>
                <w:szCs w:val="16"/>
              </w:rPr>
            </w:pPr>
          </w:p>
        </w:tc>
        <w:tc>
          <w:tcPr>
            <w:tcW w:w="70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pPr>
              <w:rPr>
                <w:rFonts w:ascii="Arial" w:hAnsi="Arial" w:cs="Arial"/>
                <w:sz w:val="16"/>
                <w:szCs w:val="16"/>
              </w:rPr>
            </w:pPr>
            <w:r>
              <w:rPr>
                <w:rFonts w:ascii="Arial" w:hAnsi="Arial" w:cs="Arial"/>
                <w:sz w:val="16"/>
                <w:szCs w:val="16"/>
              </w:rPr>
              <w:t>Spolu</w:t>
            </w:r>
          </w:p>
        </w:tc>
        <w:tc>
          <w:tcPr>
            <w:tcW w:w="70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1 814 490 415,00</w:t>
            </w:r>
          </w:p>
        </w:tc>
        <w:tc>
          <w:tcPr>
            <w:tcW w:w="127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100,00</w:t>
            </w:r>
          </w:p>
        </w:tc>
        <w:tc>
          <w:tcPr>
            <w:tcW w:w="1843"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p>
      <w:pPr>
        <w:rPr>
          <w:rFonts w:ascii="Arial" w:hAnsi="Arial" w:cs="Arial"/>
        </w:rPr>
        <w:sectPr>
          <w:pgSz w:w="16838" w:h="11906" w:orient="landscape"/>
          <w:pgMar w:top="1417" w:right="1417" w:bottom="1417" w:left="1417" w:header="708" w:footer="708" w:gutter="0"/>
          <w:cols w:space="708"/>
          <w:docGrid w:linePitch="360"/>
        </w:sectPr>
      </w:pPr>
    </w:p>
    <w:p>
      <w:pPr>
        <w:pStyle w:val="Nadpis1"/>
        <w:rPr>
          <w:rFonts w:ascii="Arial" w:hAnsi="Arial" w:cs="Arial"/>
        </w:rPr>
      </w:pPr>
      <w:bookmarkStart w:id="5" w:name="_Toc387651786"/>
      <w:r>
        <w:rPr>
          <w:rFonts w:ascii="Arial" w:hAnsi="Arial" w:cs="Arial"/>
        </w:rPr>
        <w:lastRenderedPageBreak/>
        <w:t>Prioritné osi Integrovaného regionálneho operačného programu</w:t>
      </w:r>
      <w:bookmarkEnd w:id="5"/>
    </w:p>
    <w:p>
      <w:pPr>
        <w:pStyle w:val="Nadpis2"/>
        <w:rPr>
          <w:rFonts w:ascii="Arial" w:hAnsi="Arial" w:cs="Arial"/>
        </w:rPr>
      </w:pPr>
      <w:bookmarkStart w:id="6" w:name="_Toc387651787"/>
      <w:r>
        <w:rPr>
          <w:rFonts w:ascii="Arial" w:hAnsi="Arial" w:cs="Arial"/>
        </w:rPr>
        <w:t>2.A Opis prioritných osí Integrovaného regionálneho operačného programu</w:t>
      </w:r>
      <w:bookmarkEnd w:id="6"/>
    </w:p>
    <w:p>
      <w:pPr>
        <w:pStyle w:val="Nadpis3"/>
        <w:shd w:val="clear" w:color="auto" w:fill="21306A"/>
        <w:rPr>
          <w:rFonts w:ascii="Arial" w:hAnsi="Arial" w:cs="Arial"/>
          <w:color w:val="FFFFFF"/>
          <w:sz w:val="28"/>
          <w:szCs w:val="28"/>
        </w:rPr>
      </w:pPr>
      <w:bookmarkStart w:id="7" w:name="_Toc387651788"/>
      <w:r>
        <w:rPr>
          <w:rFonts w:ascii="Arial" w:hAnsi="Arial" w:cs="Arial"/>
          <w:color w:val="FFFFFF"/>
          <w:sz w:val="28"/>
          <w:szCs w:val="28"/>
        </w:rPr>
        <w:t>2.1 Prioritná os č. 1: Bezpečná a ekologická doprava v regiónoch</w:t>
      </w:r>
      <w:bookmarkEnd w:id="7"/>
    </w:p>
    <w:p>
      <w:pPr>
        <w:rPr>
          <w:rFonts w:ascii="Arial" w:hAnsi="Arial" w:cs="Arial"/>
          <w:i/>
          <w:color w:val="4EACF3"/>
        </w:rPr>
      </w:pPr>
    </w:p>
    <w:p>
      <w:pPr>
        <w:jc w:val="both"/>
        <w:rPr>
          <w:rFonts w:ascii="Arial" w:hAnsi="Arial" w:cs="Arial"/>
          <w:b/>
          <w:sz w:val="20"/>
          <w:szCs w:val="20"/>
        </w:rPr>
      </w:pPr>
      <w:r>
        <w:rPr>
          <w:rFonts w:ascii="Arial" w:hAnsi="Arial" w:cs="Arial"/>
        </w:rPr>
        <w:t>Hlavným zámerom podpory v rámci prioritnej osi 1 je zabezpečiť napojenie regiónov SR na nadradenú cestnú sieť a vytvoriť im tak podmienky pre rozvoj ich konkurencieschopnosti a udržateľného rastu a zvýšiť atraktivitu verejnej osobnej dopravy. Cieľovou skupinou v rámci tematického cieľa 7 sú užívatelia cestnej dopravnej siete, prevádzkovatelia a investori v priemyselných zónach a v rámci podpory do verejnej osobnej dopravy široká verejnosť. Z hľadiska špecifických potrieb regiónov z hľadiska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ID prioritnej osi</w:t>
            </w:r>
          </w:p>
        </w:tc>
        <w:tc>
          <w:tcPr>
            <w:tcW w:w="4606" w:type="dxa"/>
            <w:shd w:val="clear" w:color="auto" w:fill="auto"/>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rPr>
          <w:rFonts w:ascii="Arial" w:hAnsi="Arial" w:cs="Arial"/>
          <w:b/>
        </w:rPr>
      </w:pPr>
    </w:p>
    <w:p>
      <w:pPr>
        <w:rPr>
          <w:rFonts w:ascii="Arial" w:hAnsi="Arial" w:cs="Arial"/>
          <w:b/>
          <w:i/>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470 588 239</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Viac rozvinutý región SR 42 000 </w:t>
            </w:r>
            <w:proofErr w:type="spellStart"/>
            <w:r>
              <w:rPr>
                <w:rFonts w:ascii="Arial" w:hAnsi="Arial" w:cs="Arial"/>
                <w:sz w:val="20"/>
                <w:szCs w:val="20"/>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rPr>
          <w:rFonts w:ascii="Arial" w:hAnsi="Arial" w:cs="Arial"/>
          <w:color w:val="4EACF3"/>
        </w:rPr>
      </w:pPr>
    </w:p>
    <w:p>
      <w:pPr>
        <w:jc w:val="both"/>
        <w:rPr>
          <w:rFonts w:ascii="Arial" w:hAnsi="Arial" w:cs="Arial"/>
        </w:rPr>
      </w:pPr>
    </w:p>
    <w:p>
      <w:pPr>
        <w:rPr>
          <w:rFonts w:ascii="Arial" w:hAnsi="Arial" w:cs="Arial"/>
          <w:color w:val="4EACF3"/>
        </w:rPr>
      </w:pPr>
    </w:p>
    <w:p>
      <w:pPr>
        <w:rPr>
          <w:rFonts w:ascii="Arial" w:hAnsi="Arial" w:cs="Arial"/>
          <w:color w:val="4EACF3"/>
        </w:rPr>
      </w:pPr>
    </w:p>
    <w:p>
      <w:pPr>
        <w:pStyle w:val="Nadpis4"/>
        <w:shd w:val="clear" w:color="auto" w:fill="21306A"/>
        <w:jc w:val="both"/>
        <w:rPr>
          <w:rFonts w:ascii="Arial" w:hAnsi="Arial" w:cs="Arial"/>
          <w:color w:val="FFFFFF"/>
        </w:rPr>
      </w:pPr>
      <w:bookmarkStart w:id="8" w:name="_Toc387651789"/>
      <w:r>
        <w:rPr>
          <w:rFonts w:ascii="Arial" w:hAnsi="Arial" w:cs="Arial"/>
          <w:color w:val="FFFFFF"/>
        </w:rPr>
        <w:lastRenderedPageBreak/>
        <w:t xml:space="preserve">2.1.1 Investičná priorita č. 1.1: Posilnenie regionálnej mobility prepojením sekundárnych a terciárnych uzlov s infraštruktúrou TEN-T vrátane </w:t>
      </w:r>
      <w:proofErr w:type="spellStart"/>
      <w:r>
        <w:rPr>
          <w:rFonts w:ascii="Arial" w:hAnsi="Arial" w:cs="Arial"/>
          <w:color w:val="FFFFFF"/>
        </w:rPr>
        <w:t>multimodálnych</w:t>
      </w:r>
      <w:proofErr w:type="spellEnd"/>
      <w:r>
        <w:rPr>
          <w:rFonts w:ascii="Arial" w:hAnsi="Arial" w:cs="Arial"/>
          <w:color w:val="FFFFFF"/>
        </w:rPr>
        <w:t xml:space="preserve"> uzlov</w:t>
      </w:r>
      <w:bookmarkEnd w:id="8"/>
    </w:p>
    <w:p>
      <w:pPr>
        <w:rPr>
          <w:rFonts w:ascii="Arial" w:hAnsi="Arial" w:cs="Arial"/>
          <w:b/>
        </w:rPr>
      </w:pPr>
    </w:p>
    <w:p>
      <w:pPr>
        <w:rPr>
          <w:rFonts w:ascii="Arial" w:hAnsi="Arial" w:cs="Arial"/>
          <w:color w:val="4EACF3"/>
        </w:rPr>
      </w:pPr>
      <w:r>
        <w:rPr>
          <w:rFonts w:ascii="Arial" w:hAnsi="Arial" w:cs="Arial"/>
          <w:b/>
        </w:rPr>
        <w:t>Špecifický cieľ 1.1:</w:t>
      </w:r>
      <w:r>
        <w:rPr>
          <w:rFonts w:ascii="Arial" w:hAnsi="Arial" w:cs="Arial"/>
        </w:rPr>
        <w:t xml:space="preserve"> </w:t>
      </w:r>
    </w:p>
    <w:p>
      <w:pPr>
        <w:shd w:val="clear" w:color="auto" w:fill="D9D9D9"/>
        <w:jc w:val="both"/>
        <w:rPr>
          <w:rStyle w:val="Zvraznenie"/>
          <w:rFonts w:ascii="Arial" w:hAnsi="Arial" w:cs="Arial"/>
        </w:rPr>
      </w:pPr>
      <w:r>
        <w:rPr>
          <w:rStyle w:val="Zvraznenie"/>
          <w:rFonts w:ascii="Arial" w:hAnsi="Arial" w:cs="Arial"/>
        </w:rPr>
        <w:t>Zlepšenie dostupnosti k cestnej infraštruktúre TEN-T a cestám I. triedy.</w:t>
      </w:r>
    </w:p>
    <w:p>
      <w:pPr>
        <w:jc w:val="both"/>
        <w:rPr>
          <w:rFonts w:ascii="Arial" w:hAnsi="Arial" w:cs="Arial"/>
        </w:rPr>
      </w:pPr>
      <w:r>
        <w:rPr>
          <w:rFonts w:ascii="Arial" w:hAnsi="Arial" w:cs="Arial"/>
        </w:rPr>
        <w:t xml:space="preserve">Zámerom opatrení v rámci tohto špecifického cieľa je napojiť znevýhodnené mestské a vidiecke územia prostredníctvom rekonštrukcie, modernizácie a výstavby nových regionálnych ciest a odstraňovaním bodových </w:t>
      </w:r>
      <w:proofErr w:type="spellStart"/>
      <w:r>
        <w:rPr>
          <w:rFonts w:ascii="Arial" w:hAnsi="Arial" w:cs="Arial"/>
        </w:rPr>
        <w:t>závad</w:t>
      </w:r>
      <w:proofErr w:type="spellEnd"/>
      <w:r>
        <w:rPr>
          <w:rFonts w:ascii="Arial" w:hAnsi="Arial" w:cs="Arial"/>
        </w:rPr>
        <w:t xml:space="preserve"> </w:t>
      </w:r>
      <w:r>
        <w:rPr>
          <w:rFonts w:ascii="Arial" w:hAnsi="Arial" w:cs="Arial"/>
          <w:b/>
        </w:rPr>
        <w:t xml:space="preserve">v súlade s vypracovaným Strategickým plánom rozvoja a údržby ciest na úrovni regiónov (Regionálny </w:t>
      </w:r>
      <w:proofErr w:type="spellStart"/>
      <w:r>
        <w:rPr>
          <w:rFonts w:ascii="Arial" w:hAnsi="Arial" w:cs="Arial"/>
          <w:b/>
        </w:rPr>
        <w:t>Master</w:t>
      </w:r>
      <w:proofErr w:type="spellEnd"/>
      <w:r>
        <w:rPr>
          <w:rFonts w:ascii="Arial" w:hAnsi="Arial" w:cs="Arial"/>
          <w:b/>
        </w:rPr>
        <w:t xml:space="preserve"> plán)</w:t>
      </w:r>
      <w:r>
        <w:rPr>
          <w:rFonts w:ascii="Arial" w:hAnsi="Arial" w:cs="Arial"/>
        </w:rPr>
        <w:t xml:space="preserve"> s dôrazom na posilnenie ich konkurencieschopnosti a adaptability, prispieť k udržateľnému rozvoju a eliminovať vplyv dopravy na životné prostredie a kvalitu života obyvateľov.</w:t>
      </w:r>
    </w:p>
    <w:p>
      <w:pPr>
        <w:jc w:val="both"/>
        <w:rPr>
          <w:rFonts w:ascii="Arial" w:hAnsi="Arial" w:cs="Arial"/>
        </w:rPr>
      </w:pPr>
      <w:r>
        <w:rPr>
          <w:rFonts w:ascii="Arial" w:hAnsi="Arial" w:cs="Arial"/>
        </w:rPr>
        <w:t>Predovšetkým pre väčšinu vidieckych oblastí a niektoré mestské oblasti sú cesty II. a III. triedy sú hlavnými komunikačnými spojnicami, ktoré vytvárajú predpoklady, aby obyvatelia týchto oblastí mohli byť začlenení do širších rozvojových procesov. Investovanie do regionálnych ciest umožňuje menej rozvíjajúcim a zaostávajúcim oblastiam znižovať vnútroregionálne rozdiely v prístupe k základným službám (vzdelanie, zdravotná a sociálna starostlivosť, kultúra, a pod.), v prístupe na trh práce, ako aj v prístupe k základným tovarom. Kvalitnejšie cesty II. a III. triedy predstavujú základnú podmienku pre zlepšenie každodennej (</w:t>
      </w:r>
      <w:proofErr w:type="spellStart"/>
      <w:r>
        <w:rPr>
          <w:rFonts w:ascii="Arial" w:hAnsi="Arial" w:cs="Arial"/>
          <w:i/>
        </w:rPr>
        <w:t>circular</w:t>
      </w:r>
      <w:proofErr w:type="spellEnd"/>
      <w:r>
        <w:rPr>
          <w:rFonts w:ascii="Arial" w:hAnsi="Arial" w:cs="Arial"/>
        </w:rPr>
        <w:t xml:space="preserve">) mobility osôb vidieckych území spojenej aj s rastúcou diverzifikáciou hospodárstiev smerom k nepoľnohospodárskym činnostiam znamenajúcim zároveň rast zamestnanosti. Dostatočne vybudovaná a kvalitná cestná infraštruktúra priamo vplýva na rozvoj cestovného ruchu v regiónoch. </w:t>
      </w:r>
    </w:p>
    <w:p>
      <w:pPr>
        <w:jc w:val="both"/>
        <w:rPr>
          <w:rFonts w:ascii="Arial" w:hAnsi="Arial" w:cs="Arial"/>
        </w:rPr>
      </w:pPr>
      <w:r>
        <w:rPr>
          <w:rFonts w:ascii="Arial" w:hAnsi="Arial" w:cs="Arial"/>
          <w:b/>
        </w:rPr>
        <w:t>Výsledky podpory IROP:</w:t>
      </w:r>
    </w:p>
    <w:p>
      <w:pPr>
        <w:pStyle w:val="Odsekzoznamu"/>
        <w:numPr>
          <w:ilvl w:val="0"/>
          <w:numId w:val="48"/>
        </w:numPr>
        <w:jc w:val="both"/>
        <w:rPr>
          <w:rFonts w:ascii="Arial" w:hAnsi="Arial" w:cs="Arial"/>
        </w:rPr>
      </w:pPr>
      <w:r>
        <w:rPr>
          <w:rFonts w:ascii="Arial" w:hAnsi="Arial" w:cs="Arial"/>
        </w:rPr>
        <w:t>zlepšenie napojenia regiónov na nadradenú cestnú infraštruktúru a infraštruktúru TEN-T, čím sa napomôže vyváženejšiemu územnému rozvoju;</w:t>
      </w:r>
    </w:p>
    <w:p>
      <w:pPr>
        <w:pStyle w:val="Odsekzoznamu"/>
        <w:numPr>
          <w:ilvl w:val="0"/>
          <w:numId w:val="48"/>
        </w:numPr>
        <w:jc w:val="both"/>
        <w:rPr>
          <w:rFonts w:ascii="Arial" w:hAnsi="Arial" w:cs="Arial"/>
        </w:rPr>
      </w:pPr>
      <w:r>
        <w:rPr>
          <w:rFonts w:ascii="Arial" w:hAnsi="Arial" w:cs="Arial"/>
        </w:rPr>
        <w:t>zlepšenie kvality cestnej infraštruktúry vytvorí podmienky pre hospodársky rast a zároveň nebude svojimi vlastnosťami limitovať vnútorný potenciál kraja;</w:t>
      </w:r>
    </w:p>
    <w:p>
      <w:pPr>
        <w:pStyle w:val="Odsekzoznamu"/>
        <w:numPr>
          <w:ilvl w:val="0"/>
          <w:numId w:val="48"/>
        </w:numPr>
        <w:jc w:val="both"/>
        <w:rPr>
          <w:rFonts w:ascii="Arial" w:hAnsi="Arial" w:cs="Arial"/>
        </w:rPr>
      </w:pPr>
      <w:r>
        <w:rPr>
          <w:rFonts w:ascii="Arial" w:hAnsi="Arial" w:cs="Arial"/>
        </w:rPr>
        <w:t>zlepšenie stavebno-technického stavu cestnej siete s dopadom na zlepšenie bezpečnosti, plynulosti cestnej premávky, zníženie nehodovosti, zníženie energetickej náročnosti dopravy a zníženia negatívnych dopadov na životné prostredie;</w:t>
      </w:r>
    </w:p>
    <w:p>
      <w:pPr>
        <w:pStyle w:val="Odsekzoznamu"/>
        <w:numPr>
          <w:ilvl w:val="0"/>
          <w:numId w:val="48"/>
        </w:numPr>
        <w:jc w:val="both"/>
        <w:rPr>
          <w:rFonts w:ascii="Arial" w:hAnsi="Arial" w:cs="Arial"/>
        </w:rPr>
      </w:pPr>
      <w:r>
        <w:rPr>
          <w:rFonts w:ascii="Arial" w:hAnsi="Arial" w:cs="Arial"/>
        </w:rPr>
        <w:t>zmiernenie negatívnych dopadov cestnej premávky (predovšetkým tranzitnej a nákladnej dopravy) na obyvateľstvo miest a obcí a zvýšenie kvality ich života prostredníctvom budovania nových úsekov ciest.</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Style w:val="Zvraznenie"/>
          <w:rFonts w:ascii="Arial" w:hAnsi="Arial" w:cs="Arial"/>
        </w:rPr>
      </w:pPr>
      <w:r>
        <w:rPr>
          <w:rStyle w:val="Siln"/>
          <w:rFonts w:ascii="Arial" w:hAnsi="Arial" w:cs="Arial"/>
        </w:rPr>
        <w:lastRenderedPageBreak/>
        <w:t>Tabuľka č. 3</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tc>
          <w:tcPr>
            <w:tcW w:w="39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eastAsia="Times New Roman" w:hAnsi="Arial" w:cs="Arial"/>
                <w:bCs/>
                <w:sz w:val="16"/>
                <w:szCs w:val="16"/>
              </w:rPr>
            </w:pP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Ročne </w:t>
            </w:r>
          </w:p>
        </w:tc>
      </w:tr>
      <w:tr>
        <w:tc>
          <w:tcPr>
            <w:tcW w:w="3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eastAsia="Times New Roman" w:hAnsi="Arial" w:cs="Arial"/>
                <w:bCs/>
                <w:sz w:val="16"/>
                <w:szCs w:val="16"/>
              </w:rPr>
            </w:pP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VÚD</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jc w:val="both"/>
        <w:rPr>
          <w:rFonts w:ascii="Arial" w:hAnsi="Arial" w:cs="Arial"/>
        </w:rPr>
      </w:pPr>
      <w:r>
        <w:rPr>
          <w:rFonts w:ascii="Arial" w:hAnsi="Arial" w:cs="Arial"/>
        </w:rPr>
        <w:t xml:space="preserve">* </w:t>
      </w:r>
      <w:r>
        <w:rPr>
          <w:rFonts w:ascii="Arial" w:hAnsi="Arial" w:cs="Arial"/>
          <w:sz w:val="20"/>
        </w:rPr>
        <w:t>hodnota bude doplnená v závislosti od identifikácie projektov vhodných pre realizáciu v nadväznosti na Strategický plán rozvoja a údržby ciest na úrovni regiónov</w:t>
      </w:r>
    </w:p>
    <w:p>
      <w:pPr>
        <w:pStyle w:val="Nadpis5"/>
        <w:shd w:val="clear" w:color="auto" w:fill="B8C1E9"/>
        <w:rPr>
          <w:rFonts w:ascii="Arial" w:hAnsi="Arial" w:cs="Arial"/>
        </w:rPr>
      </w:pPr>
      <w:r>
        <w:rPr>
          <w:rFonts w:ascii="Arial" w:hAnsi="Arial" w:cs="Arial"/>
        </w:rPr>
        <w:t xml:space="preserve"> </w:t>
      </w:r>
      <w:bookmarkStart w:id="9" w:name="_Toc387651790"/>
      <w:r>
        <w:rPr>
          <w:rFonts w:ascii="Arial" w:hAnsi="Arial" w:cs="Arial"/>
        </w:rPr>
        <w:t>Akcia, ktorá sa má podporiť v rámci investičnej priority</w:t>
      </w:r>
      <w:bookmarkEnd w:id="9"/>
    </w:p>
    <w:p>
      <w:pPr>
        <w:pStyle w:val="Nadpis6"/>
        <w:jc w:val="both"/>
        <w:rPr>
          <w:rFonts w:ascii="Arial" w:hAnsi="Arial" w:cs="Arial"/>
        </w:rPr>
      </w:pPr>
      <w:bookmarkStart w:id="10" w:name="_Toc387651791"/>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0"/>
    </w:p>
    <w:p>
      <w:pPr>
        <w:jc w:val="both"/>
        <w:rPr>
          <w:rFonts w:ascii="Arial" w:hAnsi="Arial" w:cs="Arial"/>
        </w:rPr>
      </w:pPr>
    </w:p>
    <w:p>
      <w:pPr>
        <w:jc w:val="both"/>
        <w:rPr>
          <w:rFonts w:ascii="Arial" w:hAnsi="Arial" w:cs="Arial"/>
        </w:rPr>
      </w:pPr>
      <w:r>
        <w:rPr>
          <w:rFonts w:ascii="Arial" w:hAnsi="Arial" w:cs="Arial"/>
          <w:b/>
        </w:rPr>
        <w:t>Špecifický cieľ č. 1.1</w:t>
      </w:r>
      <w:r>
        <w:rPr>
          <w:rFonts w:ascii="Arial" w:hAnsi="Arial" w:cs="Arial"/>
        </w:rPr>
        <w:t xml:space="preserve"> sa dosiahne realizáciou nasledovných aktivít:</w:t>
      </w:r>
    </w:p>
    <w:p>
      <w:pPr>
        <w:numPr>
          <w:ilvl w:val="1"/>
          <w:numId w:val="2"/>
        </w:numPr>
        <w:tabs>
          <w:tab w:val="clear" w:pos="1080"/>
          <w:tab w:val="num" w:pos="709"/>
        </w:tabs>
        <w:ind w:left="709"/>
        <w:jc w:val="both"/>
        <w:rPr>
          <w:rFonts w:ascii="Arial" w:hAnsi="Arial" w:cs="Arial"/>
        </w:rPr>
      </w:pPr>
      <w:r>
        <w:rPr>
          <w:rFonts w:ascii="Arial" w:hAnsi="Arial" w:cs="Arial"/>
          <w:b/>
        </w:rPr>
        <w:t>rekonštrukciou ciest II. a III. triedy</w:t>
      </w:r>
      <w:r>
        <w:rPr>
          <w:rFonts w:ascii="Arial" w:hAnsi="Arial" w:cs="Arial"/>
        </w:rPr>
        <w:t xml:space="preserve"> za účelom zvýšenia úrovne dopravno-technického stavu existujúcich úsekov ciest a zlepšenia dopravného napojenia priemyselných parkov a zón, centier osídlenia a centier hospodárskeho významu na nadradenú dopravnú infraštruktúru, ktorá zahŕňa kompletnú aj komplexnú hĺbkovú rekonštrukciu vozovky, v úsekoch kde je to možné, nastane úprava šírkových parametrov vozovky; </w:t>
      </w:r>
    </w:p>
    <w:p>
      <w:pPr>
        <w:numPr>
          <w:ilvl w:val="1"/>
          <w:numId w:val="2"/>
        </w:numPr>
        <w:tabs>
          <w:tab w:val="clear" w:pos="1080"/>
          <w:tab w:val="num" w:pos="410"/>
          <w:tab w:val="num" w:pos="709"/>
        </w:tabs>
        <w:ind w:left="709"/>
        <w:jc w:val="both"/>
        <w:rPr>
          <w:rFonts w:ascii="Arial" w:hAnsi="Arial" w:cs="Arial"/>
        </w:rPr>
      </w:pPr>
      <w:r>
        <w:rPr>
          <w:rFonts w:ascii="Arial" w:hAnsi="Arial" w:cs="Arial"/>
          <w:b/>
        </w:rPr>
        <w:t>modernizáciou vybraných cestných úsekov</w:t>
      </w:r>
      <w:r>
        <w:rPr>
          <w:rFonts w:ascii="Arial" w:hAnsi="Arial" w:cs="Arial"/>
        </w:rPr>
        <w:t xml:space="preserve"> s cieľom odstraňovania nehodových lokalít, zvýšenia bezpečnosti na cestách a križovatkách zavádzaním inteligentných riadiacich systémov (merače rýchlosti, signalizácia, mimoúrovňové križovanie, zmeny riešenia, kruhové križovatky, signalizačné zariadenia, ktoré reagujú na rýchlosť vozidiel,  atď.);</w:t>
      </w:r>
    </w:p>
    <w:p>
      <w:pPr>
        <w:numPr>
          <w:ilvl w:val="1"/>
          <w:numId w:val="2"/>
        </w:numPr>
        <w:tabs>
          <w:tab w:val="clear" w:pos="1080"/>
          <w:tab w:val="num" w:pos="709"/>
        </w:tabs>
        <w:ind w:left="709"/>
        <w:jc w:val="both"/>
        <w:rPr>
          <w:rFonts w:ascii="Arial" w:hAnsi="Arial" w:cs="Arial"/>
        </w:rPr>
      </w:pPr>
      <w:r>
        <w:rPr>
          <w:rFonts w:ascii="Arial" w:hAnsi="Arial" w:cs="Arial"/>
          <w:b/>
        </w:rPr>
        <w:t>budovaním nových úsekov ciest II. triedy</w:t>
      </w:r>
      <w:r>
        <w:rPr>
          <w:rFonts w:ascii="Arial" w:hAnsi="Arial" w:cs="Arial"/>
        </w:rPr>
        <w:t xml:space="preserve"> </w:t>
      </w:r>
      <w:r>
        <w:rPr>
          <w:rFonts w:ascii="Arial" w:hAnsi="Arial" w:cs="Arial"/>
          <w:b/>
        </w:rPr>
        <w:t>(výnimočne ciest III. triedy)</w:t>
      </w:r>
      <w:r>
        <w:rPr>
          <w:rFonts w:ascii="Arial" w:hAnsi="Arial" w:cs="Arial"/>
        </w:rPr>
        <w:t xml:space="preserve">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pPr>
        <w:numPr>
          <w:ilvl w:val="1"/>
          <w:numId w:val="2"/>
        </w:numPr>
        <w:tabs>
          <w:tab w:val="clear" w:pos="1080"/>
          <w:tab w:val="num" w:pos="410"/>
          <w:tab w:val="num" w:pos="709"/>
        </w:tabs>
        <w:ind w:left="709"/>
        <w:jc w:val="both"/>
        <w:rPr>
          <w:rFonts w:ascii="Arial" w:hAnsi="Arial" w:cs="Arial"/>
        </w:rPr>
      </w:pPr>
      <w:r>
        <w:rPr>
          <w:rFonts w:ascii="Arial" w:hAnsi="Arial" w:cs="Arial"/>
          <w:b/>
        </w:rPr>
        <w:t>rekonštrukciou a budovaním dopravných subsystémov</w:t>
      </w:r>
      <w:r>
        <w:rPr>
          <w:rFonts w:ascii="Arial" w:hAnsi="Arial" w:cs="Arial"/>
        </w:rPr>
        <w:t xml:space="preserve"> zabezpečujúcich zvyšovanie úrovne dopravných, bezpečnostných a environmentálnych aspektov (napr. radarové merače rýchlosti, vhodné prvky upokojovania dopravy a pod.);</w:t>
      </w:r>
    </w:p>
    <w:p>
      <w:pPr>
        <w:numPr>
          <w:ilvl w:val="1"/>
          <w:numId w:val="2"/>
        </w:numPr>
        <w:tabs>
          <w:tab w:val="clear" w:pos="1080"/>
          <w:tab w:val="num" w:pos="410"/>
          <w:tab w:val="num" w:pos="709"/>
        </w:tabs>
        <w:ind w:left="709"/>
        <w:jc w:val="both"/>
        <w:rPr>
          <w:rFonts w:ascii="Arial" w:hAnsi="Arial" w:cs="Arial"/>
        </w:rPr>
      </w:pPr>
      <w:r>
        <w:rPr>
          <w:rFonts w:ascii="Arial" w:hAnsi="Arial" w:cs="Arial"/>
          <w:b/>
        </w:rPr>
        <w:t>budovaním prvkov upokojenia dopravy</w:t>
      </w:r>
      <w:r>
        <w:rPr>
          <w:rFonts w:ascii="Arial" w:hAnsi="Arial" w:cs="Arial"/>
        </w:rPr>
        <w:t xml:space="preserve"> v sídlach za účelom vytvárania podmienok a infraštruktúry pre bezpečný pohyb zraniteľných účastníkov premávky, predovšetkým chodcov a cyklistov;</w:t>
      </w:r>
    </w:p>
    <w:p>
      <w:pPr>
        <w:numPr>
          <w:ilvl w:val="1"/>
          <w:numId w:val="2"/>
        </w:numPr>
        <w:tabs>
          <w:tab w:val="clear" w:pos="1080"/>
          <w:tab w:val="num" w:pos="709"/>
        </w:tabs>
        <w:ind w:left="709"/>
        <w:jc w:val="both"/>
        <w:rPr>
          <w:rFonts w:ascii="Arial" w:hAnsi="Arial" w:cs="Arial"/>
        </w:rPr>
      </w:pPr>
      <w:r>
        <w:rPr>
          <w:rFonts w:ascii="Arial" w:hAnsi="Arial" w:cs="Arial"/>
          <w:b/>
        </w:rPr>
        <w:t>prestavbou komunikácií</w:t>
      </w:r>
      <w:r>
        <w:rPr>
          <w:rFonts w:ascii="Arial" w:hAnsi="Arial" w:cs="Arial"/>
        </w:rPr>
        <w:t xml:space="preserve"> v prípade mimoriadne nevhodnej charakteristiky trasovania vozovky, </w:t>
      </w:r>
      <w:proofErr w:type="spellStart"/>
      <w:r>
        <w:rPr>
          <w:rFonts w:ascii="Arial" w:hAnsi="Arial" w:cs="Arial"/>
        </w:rPr>
        <w:t>odkanalizovania</w:t>
      </w:r>
      <w:proofErr w:type="spellEnd"/>
      <w:r>
        <w:rPr>
          <w:rFonts w:ascii="Arial" w:hAnsi="Arial" w:cs="Arial"/>
        </w:rPr>
        <w:t>, nestabilného podložia alebo svahov zárezov/násypov, prípadne vysokej nehodovosti úsekov;</w:t>
      </w:r>
    </w:p>
    <w:p>
      <w:pPr>
        <w:numPr>
          <w:ilvl w:val="1"/>
          <w:numId w:val="2"/>
        </w:numPr>
        <w:tabs>
          <w:tab w:val="clear" w:pos="1080"/>
          <w:tab w:val="num" w:pos="709"/>
        </w:tabs>
        <w:ind w:left="709"/>
        <w:jc w:val="both"/>
        <w:rPr>
          <w:rFonts w:ascii="Arial" w:hAnsi="Arial" w:cs="Arial"/>
        </w:rPr>
      </w:pPr>
      <w:r>
        <w:rPr>
          <w:rFonts w:ascii="Arial" w:hAnsi="Arial" w:cs="Arial"/>
          <w:b/>
        </w:rPr>
        <w:lastRenderedPageBreak/>
        <w:t>aktivitami zameranými na zmierňovanie dopadov negatívnych vplyvov z dopravy na životné prostredie a obyvateľov</w:t>
      </w:r>
      <w:r>
        <w:rPr>
          <w:rFonts w:ascii="Arial" w:hAnsi="Arial" w:cs="Arial"/>
        </w:rPr>
        <w:t xml:space="preserve"> prejazdných úsekov ciest cez mestá a obce (napr. budovanie protihlukových opatrení, účinných systémov odvodnenia a pod.);</w:t>
      </w:r>
    </w:p>
    <w:p>
      <w:pPr>
        <w:numPr>
          <w:ilvl w:val="1"/>
          <w:numId w:val="2"/>
        </w:numPr>
        <w:tabs>
          <w:tab w:val="clear" w:pos="1080"/>
          <w:tab w:val="num" w:pos="410"/>
          <w:tab w:val="num" w:pos="709"/>
        </w:tabs>
        <w:ind w:left="709"/>
        <w:jc w:val="both"/>
        <w:rPr>
          <w:rFonts w:ascii="Arial" w:hAnsi="Arial" w:cs="Arial"/>
        </w:rPr>
      </w:pPr>
      <w:r>
        <w:rPr>
          <w:rFonts w:ascii="Arial" w:hAnsi="Arial" w:cs="Arial"/>
          <w:b/>
        </w:rPr>
        <w:t>zvýšenie nosnosti nevyhovujúcich mostových konštrukcií</w:t>
      </w:r>
      <w:r>
        <w:rPr>
          <w:rFonts w:ascii="Arial" w:hAnsi="Arial" w:cs="Arial"/>
        </w:rPr>
        <w:t xml:space="preserve"> alebo ich výmeny v nadväznosti na regióny, ktoré majú najvyšší percentuálny podiel mostných konštrukcií z hľadiska stavebného stavu: zlý až havarijný.</w:t>
      </w:r>
    </w:p>
    <w:p>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 xml:space="preserve">Strategický plán rozvoja a údržby ciest na úrovni regiónov (Regionálny </w:t>
      </w:r>
      <w:proofErr w:type="spellStart"/>
      <w:r>
        <w:rPr>
          <w:rFonts w:ascii="Arial" w:hAnsi="Arial" w:cs="Arial"/>
          <w:b/>
        </w:rPr>
        <w:t>Master</w:t>
      </w:r>
      <w:proofErr w:type="spellEnd"/>
      <w:r>
        <w:rPr>
          <w:rFonts w:ascii="Arial" w:hAnsi="Arial" w:cs="Arial"/>
          <w:b/>
        </w:rPr>
        <w:t xml:space="preserve"> plán)</w:t>
      </w:r>
      <w:r>
        <w:rPr>
          <w:rFonts w:ascii="Arial" w:hAnsi="Arial" w:cs="Arial"/>
        </w:rPr>
        <w:t xml:space="preserve">. V záujme plnenia cieľov stratégie Európa 2020 sa samosprávne kraje v rámci zostavovania Regionálneho </w:t>
      </w:r>
      <w:proofErr w:type="spellStart"/>
      <w:r>
        <w:rPr>
          <w:rFonts w:ascii="Arial" w:hAnsi="Arial" w:cs="Arial"/>
        </w:rPr>
        <w:t>Master</w:t>
      </w:r>
      <w:proofErr w:type="spellEnd"/>
      <w:r>
        <w:rPr>
          <w:rFonts w:ascii="Arial" w:hAnsi="Arial" w:cs="Arial"/>
        </w:rPr>
        <w:t xml:space="preserve"> plánu zamerali nielen na oblasti týkajúce sa rekonštrukcií havarijných úsekov ciest, ale najmä na zabezpečenie bezpečnosti cestnej premávky, zlepšenie regionálnych dopravných prepojení v záujme zlepšenia mobility a konkurencieschopnosti regiónov, posilňovanie mobility a zlepšovanie kvality životného prostredia. </w:t>
      </w:r>
      <w:r>
        <w:rPr>
          <w:rFonts w:ascii="Arial" w:hAnsi="Arial" w:cs="Arial"/>
          <w:b/>
        </w:rPr>
        <w:t xml:space="preserve">Výber projektov (úsekov) potenciálne vhodných pre podporu z IROP na úrovni výstavby, rekonštrukcie a modernizácie, vzíde z vyhodnotenia projektov uvedených v Regionálnom </w:t>
      </w:r>
      <w:proofErr w:type="spellStart"/>
      <w:r>
        <w:rPr>
          <w:rFonts w:ascii="Arial" w:hAnsi="Arial" w:cs="Arial"/>
          <w:b/>
        </w:rPr>
        <w:t>Master</w:t>
      </w:r>
      <w:proofErr w:type="spellEnd"/>
      <w:r>
        <w:rPr>
          <w:rFonts w:ascii="Arial" w:hAnsi="Arial" w:cs="Arial"/>
          <w:b/>
        </w:rPr>
        <w:t xml:space="preserve"> pláne.</w:t>
      </w:r>
      <w:r>
        <w:rPr>
          <w:rFonts w:ascii="Arial" w:hAnsi="Arial" w:cs="Arial"/>
        </w:rPr>
        <w:t xml:space="preserve"> </w:t>
      </w:r>
      <w:r>
        <w:rPr>
          <w:rFonts w:ascii="Arial" w:hAnsi="Arial" w:cs="Arial"/>
          <w:b/>
        </w:rPr>
        <w:t xml:space="preserve">Rozsah hodnotiacich kritérií v Regionálnom </w:t>
      </w:r>
      <w:proofErr w:type="spellStart"/>
      <w:r>
        <w:rPr>
          <w:rFonts w:ascii="Arial" w:hAnsi="Arial" w:cs="Arial"/>
          <w:b/>
        </w:rPr>
        <w:t>Master</w:t>
      </w:r>
      <w:proofErr w:type="spellEnd"/>
      <w:r>
        <w:rPr>
          <w:rFonts w:ascii="Arial" w:hAnsi="Arial" w:cs="Arial"/>
          <w:b/>
        </w:rPr>
        <w:t xml:space="preserve"> pláne bol pre účely vhodnosti realizácie projektov v IROP spracovaný detailnejšie s bližšou úžitkovou špecifikáciou. Projekty sú posudzované na úrovni výberových (kvalitatívnych) kritérií, kedy je</w:t>
      </w:r>
      <w:r>
        <w:rPr>
          <w:rFonts w:ascii="Arial" w:hAnsi="Arial" w:cs="Arial"/>
        </w:rPr>
        <w:t xml:space="preserve"> </w:t>
      </w:r>
      <w:r>
        <w:rPr>
          <w:rFonts w:ascii="Arial" w:hAnsi="Arial" w:cs="Arial"/>
          <w:b/>
        </w:rPr>
        <w:t>vyhodnocovaná oprávnenosť zaradenia vybraných projektov na financovanie cez IROP.</w:t>
      </w:r>
      <w:r>
        <w:rPr>
          <w:rFonts w:ascii="Arial" w:hAnsi="Arial" w:cs="Arial"/>
        </w:rPr>
        <w:t xml:space="preserve"> Úlohou tejto fázy hodnotenia je stanoviť striktné podmienky a predpoklady začlenenia opatrení podľa vlastností predmetnej infraštruktúry vo vzťahu k splneniu hodnotiacich kritérií. </w:t>
      </w:r>
      <w:r>
        <w:rPr>
          <w:rFonts w:ascii="Arial" w:hAnsi="Arial" w:cs="Arial"/>
          <w:b/>
        </w:rPr>
        <w:t xml:space="preserve">V rámci </w:t>
      </w:r>
      <w:proofErr w:type="spellStart"/>
      <w:r>
        <w:rPr>
          <w:rFonts w:ascii="Arial" w:hAnsi="Arial" w:cs="Arial"/>
          <w:b/>
        </w:rPr>
        <w:t>predselekčných</w:t>
      </w:r>
      <w:proofErr w:type="spellEnd"/>
      <w:r>
        <w:rPr>
          <w:rFonts w:ascii="Arial" w:hAnsi="Arial" w:cs="Arial"/>
          <w:b/>
        </w:rPr>
        <w:t xml:space="preserve"> kritérií spočíva hodnotenie projektov v troch nadväzujúcich úrovniach – (i) konektivita, t.j. napojenie infraštruktúry na regionálnej úrovni dotknutej navrhovanými opatreniami na </w:t>
      </w:r>
      <w:proofErr w:type="spellStart"/>
      <w:r>
        <w:rPr>
          <w:rFonts w:ascii="Arial" w:hAnsi="Arial" w:cs="Arial"/>
          <w:b/>
        </w:rPr>
        <w:t>transeurópsku</w:t>
      </w:r>
      <w:proofErr w:type="spellEnd"/>
      <w:r>
        <w:rPr>
          <w:rFonts w:ascii="Arial" w:hAnsi="Arial" w:cs="Arial"/>
          <w:b/>
        </w:rPr>
        <w:t xml:space="preserve"> cestnú dopravnú sieť, (</w:t>
      </w:r>
      <w:proofErr w:type="spellStart"/>
      <w:r>
        <w:rPr>
          <w:rFonts w:ascii="Arial" w:hAnsi="Arial" w:cs="Arial"/>
          <w:b/>
        </w:rPr>
        <w:t>ii</w:t>
      </w:r>
      <w:proofErr w:type="spellEnd"/>
      <w:r>
        <w:rPr>
          <w:rFonts w:ascii="Arial" w:hAnsi="Arial" w:cs="Arial"/>
          <w:b/>
        </w:rPr>
        <w:t>) synergia, t.j. doplnkovosť s investičnými intervenciami v podobe veľkých projektov nadnárodnej a národnej cestnej dopravnej siete, (</w:t>
      </w:r>
      <w:proofErr w:type="spellStart"/>
      <w:r>
        <w:rPr>
          <w:rFonts w:ascii="Arial" w:hAnsi="Arial" w:cs="Arial"/>
          <w:b/>
        </w:rPr>
        <w:t>iii</w:t>
      </w:r>
      <w:proofErr w:type="spellEnd"/>
      <w:r>
        <w:rPr>
          <w:rFonts w:ascii="Arial" w:hAnsi="Arial" w:cs="Arial"/>
          <w:b/>
        </w:rPr>
        <w:t>) ekonomický rozvoj – potenciál priemyselných parkov, centier KURS</w:t>
      </w:r>
      <w:r>
        <w:rPr>
          <w:rStyle w:val="Odkaznapoznmkupodiarou"/>
          <w:rFonts w:ascii="Arial" w:hAnsi="Arial" w:cs="Arial"/>
          <w:b/>
        </w:rPr>
        <w:footnoteReference w:id="32"/>
      </w:r>
      <w:r>
        <w:rPr>
          <w:rFonts w:ascii="Arial" w:hAnsi="Arial" w:cs="Arial"/>
          <w:b/>
        </w:rPr>
        <w:t xml:space="preserve"> a dopravných napojení centier hospodárskeho významu zadefinovaných na úrovni konkrétnych Regionálnych integrovaných územných stratégií. Hodnotenie projektov na základe kvantitatívnych kritérií generujúcich konečné poradie projektov z hľadiska ich celospoločenských prínosov sa uskutoční na úrovni konkrétnej RIÚS.</w:t>
      </w:r>
      <w:r>
        <w:rPr>
          <w:rFonts w:ascii="Arial" w:hAnsi="Arial" w:cs="Arial"/>
        </w:rPr>
        <w:t xml:space="preserve"> Pre posúdenie ekonomickej efektívnosti projektov (zjednodušená kalkulácia ekonomických, resp. celospoločenských prínosov projektov) sa budú počítať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r>
        <w:rPr>
          <w:rStyle w:val="Odkaznapoznmkupodiarou"/>
          <w:rFonts w:ascii="Arial" w:hAnsi="Arial" w:cs="Arial"/>
        </w:rPr>
        <w:footnoteReference w:id="33"/>
      </w:r>
      <w:r>
        <w:rPr>
          <w:rFonts w:ascii="Arial" w:hAnsi="Arial" w:cs="Arial"/>
        </w:rPr>
        <w:t>.</w:t>
      </w:r>
    </w:p>
    <w:p>
      <w:pPr>
        <w:jc w:val="both"/>
        <w:rPr>
          <w:rFonts w:ascii="Arial" w:hAnsi="Arial" w:cs="Arial"/>
        </w:rPr>
      </w:pPr>
      <w:r>
        <w:rPr>
          <w:rFonts w:ascii="Arial" w:hAnsi="Arial" w:cs="Arial"/>
        </w:rPr>
        <w:t xml:space="preserve">Aktuálne potreby a výzvy v rozvoji cestnej infraštruktúry II. a III. triedy budú v rámci IROP riešené prostredníctvom opatrení zameraných na </w:t>
      </w:r>
      <w:r>
        <w:rPr>
          <w:rFonts w:ascii="Arial" w:hAnsi="Arial" w:cs="Arial"/>
          <w:b/>
        </w:rPr>
        <w:t>výstavbu, rekonštrukciu a modernizáciu ciest</w:t>
      </w:r>
      <w:r>
        <w:rPr>
          <w:rFonts w:ascii="Arial" w:hAnsi="Arial" w:cs="Arial"/>
        </w:rPr>
        <w:t xml:space="preserve">. Výstavba nových úsekov sa bude týkať najmä </w:t>
      </w:r>
      <w:r>
        <w:rPr>
          <w:rFonts w:ascii="Arial" w:hAnsi="Arial" w:cs="Arial"/>
          <w:b/>
        </w:rPr>
        <w:t xml:space="preserve">posilnenia regionálnej mobility </w:t>
      </w:r>
      <w:r>
        <w:rPr>
          <w:rFonts w:ascii="Arial" w:hAnsi="Arial" w:cs="Arial"/>
          <w:b/>
        </w:rPr>
        <w:br/>
        <w:t xml:space="preserve">a zníženia dopravného zaťaženia v husto obývaných regiónoch v prepojení na sieť </w:t>
      </w:r>
      <w:r>
        <w:rPr>
          <w:rFonts w:ascii="Arial" w:hAnsi="Arial" w:cs="Arial"/>
          <w:b/>
        </w:rPr>
        <w:br/>
        <w:t>TEN-T a medzinárodnú cestnú sieť.</w:t>
      </w:r>
      <w:r>
        <w:rPr>
          <w:rFonts w:ascii="Arial" w:hAnsi="Arial" w:cs="Arial"/>
        </w:rPr>
        <w:t xml:space="preserve"> V oblasti rekonštrukcie a modernizácie budú </w:t>
      </w:r>
      <w:r>
        <w:rPr>
          <w:rFonts w:ascii="Arial" w:hAnsi="Arial" w:cs="Arial"/>
        </w:rPr>
        <w:lastRenderedPageBreak/>
        <w:t xml:space="preserve">intervencie zamerané predovšetkým na </w:t>
      </w:r>
      <w:r>
        <w:rPr>
          <w:rFonts w:ascii="Arial" w:hAnsi="Arial" w:cs="Arial"/>
          <w:b/>
        </w:rPr>
        <w:t>rekonštrukciu úsekov ciest II. triedy a v odôvodnených prípadoch ciest III. triedy resp. mostných objektov v zlom stavebno-technickom stave s cieľom zabezpečenia obsluhy centier osídlenia, priemyselných zón a dopravných napojení centier hospodárskeho významu zadefinovaných na úrovni konkrétnych RIÚS</w:t>
      </w:r>
      <w:r>
        <w:rPr>
          <w:rFonts w:ascii="Arial" w:hAnsi="Arial" w:cs="Arial"/>
        </w:rPr>
        <w:t xml:space="preserve">. Dôraz bude kladený aj na </w:t>
      </w:r>
      <w:r>
        <w:rPr>
          <w:rFonts w:ascii="Arial" w:hAnsi="Arial" w:cs="Arial"/>
          <w:b/>
        </w:rPr>
        <w:t>oblasť zvýšenia bezpečnosti cestnej premávky, odstraňovanie kolíznych bodov, modernizáciu úsekov ciest II. a III. triedy</w:t>
      </w:r>
      <w:r>
        <w:rPr>
          <w:rFonts w:ascii="Arial" w:hAnsi="Arial" w:cs="Arial"/>
        </w:rPr>
        <w:t xml:space="preserve"> zabezpečujúcich dopravné napojenia terminálov osobnej dopravy prípadne budovanie prvkov upokojovania dopravy v sídlach.</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vyšší územný celok ako vlastník ciest II. a III. triedy,</w:t>
      </w:r>
    </w:p>
    <w:p>
      <w:pPr>
        <w:pStyle w:val="Odsekzoznamu"/>
        <w:numPr>
          <w:ilvl w:val="0"/>
          <w:numId w:val="2"/>
        </w:numPr>
        <w:jc w:val="both"/>
        <w:rPr>
          <w:rFonts w:ascii="Arial" w:hAnsi="Arial" w:cs="Arial"/>
        </w:rPr>
      </w:pPr>
      <w:r>
        <w:rPr>
          <w:rFonts w:ascii="Arial" w:hAnsi="Arial" w:cs="Arial"/>
        </w:rPr>
        <w:t>Hlavné mesto SR Bratislava ako vlastník ciest II. a III. triedy,</w:t>
      </w:r>
    </w:p>
    <w:p>
      <w:pPr>
        <w:pStyle w:val="Odsekzoznamu"/>
        <w:numPr>
          <w:ilvl w:val="0"/>
          <w:numId w:val="2"/>
        </w:numPr>
        <w:jc w:val="both"/>
        <w:rPr>
          <w:rFonts w:ascii="Arial" w:hAnsi="Arial" w:cs="Arial"/>
        </w:rPr>
      </w:pPr>
      <w:r>
        <w:rPr>
          <w:rFonts w:ascii="Arial" w:hAnsi="Arial" w:cs="Arial"/>
        </w:rPr>
        <w:t xml:space="preserve">Mesto Košice ako vlastník ciest II. a III. triedy. </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pPr>
        <w:pStyle w:val="Odsekzoznamu"/>
        <w:numPr>
          <w:ilvl w:val="0"/>
          <w:numId w:val="2"/>
        </w:numPr>
        <w:jc w:val="both"/>
        <w:rPr>
          <w:rFonts w:ascii="Arial" w:hAnsi="Arial" w:cs="Arial"/>
        </w:rPr>
      </w:pPr>
      <w:r>
        <w:rPr>
          <w:rFonts w:ascii="Arial" w:hAnsi="Arial" w:cs="Arial"/>
        </w:rPr>
        <w:t>prevádzkovatelia a investori v priemyselných zónach.</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spacing w:after="0"/>
        <w:jc w:val="both"/>
        <w:rPr>
          <w:rFonts w:ascii="Arial" w:hAnsi="Arial" w:cs="Arial"/>
        </w:rPr>
      </w:pPr>
    </w:p>
    <w:p>
      <w:pPr>
        <w:pStyle w:val="Nadpis6"/>
        <w:spacing w:before="0"/>
        <w:rPr>
          <w:rFonts w:ascii="Arial" w:hAnsi="Arial" w:cs="Arial"/>
        </w:rPr>
      </w:pPr>
      <w:bookmarkStart w:id="11" w:name="_Toc387651792"/>
      <w:r>
        <w:rPr>
          <w:rFonts w:ascii="Arial" w:hAnsi="Arial" w:cs="Arial"/>
        </w:rPr>
        <w:t>2.1.1.2. Hlavné zásady výberu operácií</w:t>
      </w:r>
      <w:bookmarkEnd w:id="11"/>
    </w:p>
    <w:p>
      <w:pPr>
        <w:jc w:val="both"/>
        <w:rPr>
          <w:rFonts w:ascii="Arial" w:hAnsi="Arial" w:cs="Arial"/>
        </w:rPr>
      </w:pPr>
    </w:p>
    <w:p>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pPr>
        <w:pStyle w:val="Odsekzoznamu"/>
        <w:numPr>
          <w:ilvl w:val="0"/>
          <w:numId w:val="7"/>
        </w:numPr>
        <w:jc w:val="both"/>
        <w:rPr>
          <w:rFonts w:ascii="Arial" w:hAnsi="Arial" w:cs="Arial"/>
        </w:rPr>
      </w:pPr>
      <w:r>
        <w:rPr>
          <w:rFonts w:ascii="Arial" w:hAnsi="Arial" w:cs="Arial"/>
        </w:rPr>
        <w:t>udržateľnosť projektu je zohľadnená v Pláne údržby ciest na úrovni VÚC,</w:t>
      </w:r>
    </w:p>
    <w:p>
      <w:pPr>
        <w:pStyle w:val="Odsekzoznamu"/>
        <w:numPr>
          <w:ilvl w:val="0"/>
          <w:numId w:val="7"/>
        </w:numPr>
        <w:jc w:val="both"/>
        <w:rPr>
          <w:rFonts w:ascii="Arial" w:hAnsi="Arial" w:cs="Arial"/>
        </w:rPr>
      </w:pPr>
      <w:r>
        <w:rPr>
          <w:rFonts w:ascii="Arial" w:hAnsi="Arial" w:cs="Arial"/>
        </w:rPr>
        <w:t>projekt je v súlade s princípmi Plánu jednotného európskeho dopravného priestoru,</w:t>
      </w:r>
    </w:p>
    <w:p>
      <w:pPr>
        <w:pStyle w:val="Odsekzoznamu"/>
        <w:numPr>
          <w:ilvl w:val="0"/>
          <w:numId w:val="7"/>
        </w:numPr>
        <w:jc w:val="both"/>
        <w:rPr>
          <w:rFonts w:ascii="Arial" w:hAnsi="Arial" w:cs="Arial"/>
        </w:rPr>
      </w:pPr>
      <w:r>
        <w:rPr>
          <w:rFonts w:ascii="Arial" w:hAnsi="Arial" w:cs="Arial"/>
        </w:rPr>
        <w:t xml:space="preserve">projekt sa napája na sieť TEN-T v zmysle definície uvedenej  v Strategickom pláne rozvoja a údržby ciest na úrovni regiónov, </w:t>
      </w:r>
    </w:p>
    <w:p>
      <w:pPr>
        <w:pStyle w:val="Odsekzoznamu"/>
        <w:numPr>
          <w:ilvl w:val="0"/>
          <w:numId w:val="13"/>
        </w:numPr>
        <w:jc w:val="both"/>
        <w:rPr>
          <w:rFonts w:ascii="Arial" w:hAnsi="Arial" w:cs="Arial"/>
        </w:rPr>
      </w:pPr>
      <w:r>
        <w:rPr>
          <w:rFonts w:ascii="Arial" w:hAnsi="Arial" w:cs="Arial"/>
        </w:rPr>
        <w:t xml:space="preserve">projekt je súčasťou aktivít na nadradenej dopravnej sieti, </w:t>
      </w:r>
    </w:p>
    <w:p>
      <w:pPr>
        <w:pStyle w:val="Odsekzoznamu"/>
        <w:numPr>
          <w:ilvl w:val="0"/>
          <w:numId w:val="13"/>
        </w:numPr>
        <w:jc w:val="both"/>
        <w:rPr>
          <w:rFonts w:ascii="Arial" w:hAnsi="Arial" w:cs="Arial"/>
        </w:rPr>
      </w:pPr>
      <w:r>
        <w:rPr>
          <w:rFonts w:ascii="Arial" w:hAnsi="Arial" w:cs="Arial"/>
        </w:rPr>
        <w:t xml:space="preserve">projekt prispeje k zlepšeniu stavebného a dopravno-technického stavu, </w:t>
      </w:r>
    </w:p>
    <w:p>
      <w:pPr>
        <w:pStyle w:val="Odsekzoznamu"/>
        <w:numPr>
          <w:ilvl w:val="0"/>
          <w:numId w:val="13"/>
        </w:numPr>
        <w:jc w:val="both"/>
        <w:rPr>
          <w:rFonts w:ascii="Arial" w:hAnsi="Arial" w:cs="Arial"/>
        </w:rPr>
      </w:pPr>
      <w:r>
        <w:rPr>
          <w:rFonts w:ascii="Arial" w:hAnsi="Arial" w:cs="Arial"/>
        </w:rPr>
        <w:t xml:space="preserve">realizácia projektu prispeje k využitiu rozvojových území a plôch, </w:t>
      </w:r>
    </w:p>
    <w:p>
      <w:pPr>
        <w:pStyle w:val="Odsekzoznamu"/>
        <w:numPr>
          <w:ilvl w:val="0"/>
          <w:numId w:val="13"/>
        </w:numPr>
        <w:jc w:val="both"/>
        <w:rPr>
          <w:rFonts w:ascii="Arial" w:hAnsi="Arial" w:cs="Arial"/>
        </w:rPr>
      </w:pPr>
      <w:r>
        <w:rPr>
          <w:rFonts w:ascii="Arial" w:hAnsi="Arial" w:cs="Arial"/>
        </w:rPr>
        <w:t>projekt prispieva k zvýšeniu  bezpečnosti,</w:t>
      </w:r>
    </w:p>
    <w:p>
      <w:pPr>
        <w:pStyle w:val="Odsekzoznamu"/>
        <w:numPr>
          <w:ilvl w:val="0"/>
          <w:numId w:val="13"/>
        </w:numPr>
        <w:jc w:val="both"/>
        <w:rPr>
          <w:rFonts w:ascii="Arial" w:hAnsi="Arial" w:cs="Arial"/>
        </w:rPr>
      </w:pPr>
      <w:r>
        <w:rPr>
          <w:rFonts w:ascii="Arial" w:hAnsi="Arial" w:cs="Arial"/>
        </w:rPr>
        <w:t xml:space="preserve">projekt znižuje prevádzkové náklady na opravu a údržbu komunikácií, </w:t>
      </w:r>
    </w:p>
    <w:p>
      <w:pPr>
        <w:pStyle w:val="Odsekzoznamu"/>
        <w:numPr>
          <w:ilvl w:val="0"/>
          <w:numId w:val="13"/>
        </w:numPr>
        <w:jc w:val="both"/>
        <w:rPr>
          <w:rFonts w:ascii="Arial" w:hAnsi="Arial" w:cs="Arial"/>
        </w:rPr>
      </w:pPr>
      <w:r>
        <w:rPr>
          <w:rFonts w:ascii="Arial" w:hAnsi="Arial" w:cs="Arial"/>
        </w:rPr>
        <w:t xml:space="preserve">projekt obsahuje prvky pre elimináciu negatívnych vplyvov dopravy na životné prostredie s dôrazom na chránené územia a územia NATURA 2000, </w:t>
      </w:r>
    </w:p>
    <w:p>
      <w:pPr>
        <w:pStyle w:val="Odsekzoznamu"/>
        <w:numPr>
          <w:ilvl w:val="0"/>
          <w:numId w:val="13"/>
        </w:numPr>
        <w:jc w:val="both"/>
        <w:rPr>
          <w:rFonts w:ascii="Arial" w:hAnsi="Arial" w:cs="Arial"/>
        </w:rPr>
      </w:pPr>
      <w:r>
        <w:rPr>
          <w:rFonts w:ascii="Arial" w:hAnsi="Arial" w:cs="Arial"/>
        </w:rPr>
        <w:t xml:space="preserve">projekt je výsledkom analýzy dopytu, posúdenia variant a analýzy nákladov a prínosov, </w:t>
      </w:r>
    </w:p>
    <w:p>
      <w:pPr>
        <w:pStyle w:val="Odsekzoznamu"/>
        <w:numPr>
          <w:ilvl w:val="0"/>
          <w:numId w:val="13"/>
        </w:numPr>
        <w:jc w:val="both"/>
        <w:rPr>
          <w:rFonts w:ascii="Arial" w:hAnsi="Arial" w:cs="Arial"/>
        </w:rPr>
      </w:pPr>
      <w:r>
        <w:rPr>
          <w:rFonts w:ascii="Arial" w:hAnsi="Arial" w:cs="Arial"/>
        </w:rPr>
        <w:t>projekt prispieva k zvýšeniu  kvality verejnej osobnej dopravy,</w:t>
      </w:r>
    </w:p>
    <w:p>
      <w:pPr>
        <w:pStyle w:val="Odsekzoznamu"/>
        <w:numPr>
          <w:ilvl w:val="0"/>
          <w:numId w:val="13"/>
        </w:numPr>
        <w:jc w:val="both"/>
        <w:rPr>
          <w:rFonts w:ascii="Arial" w:hAnsi="Arial" w:cs="Arial"/>
        </w:rPr>
      </w:pPr>
      <w:r>
        <w:rPr>
          <w:rFonts w:ascii="Arial" w:hAnsi="Arial" w:cs="Arial"/>
        </w:rPr>
        <w:t>projekt prispieva k skráteniu jazdnej doby verejnej dopravy,</w:t>
      </w:r>
    </w:p>
    <w:p>
      <w:pPr>
        <w:pStyle w:val="Odsekzoznamu"/>
        <w:numPr>
          <w:ilvl w:val="0"/>
          <w:numId w:val="13"/>
        </w:numPr>
        <w:jc w:val="both"/>
        <w:rPr>
          <w:rFonts w:ascii="Arial" w:hAnsi="Arial" w:cs="Arial"/>
        </w:rPr>
      </w:pPr>
      <w:r>
        <w:rPr>
          <w:rFonts w:ascii="Arial" w:hAnsi="Arial" w:cs="Arial"/>
        </w:rPr>
        <w:t xml:space="preserve">projekt znižuje prevádzkové náklady verejnej dopravy, </w:t>
      </w:r>
    </w:p>
    <w:p>
      <w:pPr>
        <w:pStyle w:val="Odsekzoznamu"/>
        <w:numPr>
          <w:ilvl w:val="0"/>
          <w:numId w:val="13"/>
        </w:numPr>
        <w:jc w:val="both"/>
        <w:rPr>
          <w:rFonts w:ascii="Arial" w:hAnsi="Arial" w:cs="Arial"/>
        </w:rPr>
      </w:pPr>
      <w:r>
        <w:rPr>
          <w:rFonts w:ascii="Arial" w:hAnsi="Arial" w:cs="Arial"/>
        </w:rPr>
        <w:t xml:space="preserve">projekt prispieva k integrácii a previazanosti služieb vo verejnej doprave, </w:t>
      </w:r>
    </w:p>
    <w:p>
      <w:pPr>
        <w:pStyle w:val="Odsekzoznamu"/>
        <w:numPr>
          <w:ilvl w:val="0"/>
          <w:numId w:val="13"/>
        </w:numPr>
        <w:jc w:val="both"/>
        <w:rPr>
          <w:rFonts w:ascii="Arial" w:hAnsi="Arial" w:cs="Arial"/>
        </w:rPr>
      </w:pPr>
      <w:r>
        <w:rPr>
          <w:rFonts w:ascii="Arial" w:hAnsi="Arial" w:cs="Arial"/>
        </w:rPr>
        <w:t xml:space="preserve">projekt využíva moderné IKT vo väzbe na potreby cestujúcich, </w:t>
      </w:r>
    </w:p>
    <w:p>
      <w:pPr>
        <w:pStyle w:val="Odsekzoznamu"/>
        <w:numPr>
          <w:ilvl w:val="0"/>
          <w:numId w:val="13"/>
        </w:numPr>
        <w:jc w:val="both"/>
        <w:rPr>
          <w:rFonts w:ascii="Arial" w:hAnsi="Arial" w:cs="Arial"/>
        </w:rPr>
      </w:pPr>
      <w:r>
        <w:rPr>
          <w:rFonts w:ascii="Arial" w:hAnsi="Arial" w:cs="Arial"/>
        </w:rPr>
        <w:lastRenderedPageBreak/>
        <w:t xml:space="preserve">projekt prispieva k rozvoju </w:t>
      </w:r>
      <w:proofErr w:type="spellStart"/>
      <w:r>
        <w:rPr>
          <w:rFonts w:ascii="Arial" w:hAnsi="Arial" w:cs="Arial"/>
        </w:rPr>
        <w:t>multimodality</w:t>
      </w:r>
      <w:proofErr w:type="spellEnd"/>
      <w:r>
        <w:rPr>
          <w:rFonts w:ascii="Arial" w:hAnsi="Arial" w:cs="Arial"/>
        </w:rPr>
        <w:t xml:space="preserve"> v osobnej doprave, </w:t>
      </w:r>
    </w:p>
    <w:p>
      <w:pPr>
        <w:pStyle w:val="Odsekzoznamu"/>
        <w:numPr>
          <w:ilvl w:val="0"/>
          <w:numId w:val="13"/>
        </w:numPr>
        <w:jc w:val="both"/>
        <w:rPr>
          <w:rFonts w:ascii="Arial" w:hAnsi="Arial" w:cs="Arial"/>
        </w:rPr>
      </w:pPr>
      <w:r>
        <w:rPr>
          <w:rFonts w:ascii="Arial" w:hAnsi="Arial" w:cs="Arial"/>
        </w:rPr>
        <w:t xml:space="preserve">projekt prispieva k zvýšeniu bezpečnosti zraniteľných účastníkov prepravy, </w:t>
      </w:r>
    </w:p>
    <w:p>
      <w:pPr>
        <w:pStyle w:val="Odsekzoznamu"/>
        <w:numPr>
          <w:ilvl w:val="0"/>
          <w:numId w:val="13"/>
        </w:numPr>
        <w:jc w:val="both"/>
        <w:rPr>
          <w:rFonts w:ascii="Arial" w:hAnsi="Arial" w:cs="Arial"/>
        </w:rPr>
      </w:pPr>
      <w:r>
        <w:rPr>
          <w:rFonts w:ascii="Arial" w:hAnsi="Arial" w:cs="Arial"/>
        </w:rPr>
        <w:t xml:space="preserve">projekt prispieva  k segregácii cestnej dopravy  a </w:t>
      </w:r>
      <w:proofErr w:type="spellStart"/>
      <w:r>
        <w:rPr>
          <w:rFonts w:ascii="Arial" w:hAnsi="Arial" w:cs="Arial"/>
        </w:rPr>
        <w:t>cyklodopravy</w:t>
      </w:r>
      <w:proofErr w:type="spellEnd"/>
      <w:r>
        <w:rPr>
          <w:rFonts w:ascii="Arial" w:hAnsi="Arial" w:cs="Arial"/>
        </w:rPr>
        <w:t>,</w:t>
      </w:r>
    </w:p>
    <w:p>
      <w:pPr>
        <w:pStyle w:val="Odsekzoznamu"/>
        <w:numPr>
          <w:ilvl w:val="0"/>
          <w:numId w:val="13"/>
        </w:numPr>
        <w:jc w:val="both"/>
        <w:rPr>
          <w:rFonts w:ascii="Arial" w:hAnsi="Arial" w:cs="Arial"/>
        </w:rPr>
      </w:pPr>
      <w:r>
        <w:rPr>
          <w:rFonts w:ascii="Arial" w:hAnsi="Arial" w:cs="Arial"/>
        </w:rPr>
        <w:t>projekt uplatňuje zásadu „znečisťovateľ platí“.</w:t>
      </w:r>
    </w:p>
    <w:p>
      <w:pPr>
        <w:jc w:val="both"/>
        <w:rPr>
          <w:rFonts w:ascii="Arial" w:hAnsi="Arial" w:cs="Arial"/>
        </w:rPr>
      </w:pPr>
      <w:r>
        <w:rPr>
          <w:rFonts w:ascii="Arial" w:hAnsi="Arial" w:cs="Arial"/>
          <w:b/>
        </w:rPr>
        <w:t>Stratégie smerujúce k rozvoju cestnej infraštruktúry nižšej kategórie a ich napojeniu na nadradenú cestnú sieť vychádzajú z predpokladu napomáhania k vyváženejšiemu a udržateľnejšiemu regionálnemu rozvoju.</w:t>
      </w:r>
      <w:r>
        <w:rPr>
          <w:rFonts w:ascii="Arial" w:hAnsi="Arial" w:cs="Arial"/>
        </w:rPr>
        <w:t xml:space="preserve"> Zlepšením kvality ciest II. a III. triedy zároveň dochádza k eliminácii regionálnych rozdielov a disproporcií s dôrazom na zvýšenie konkurencieschopnosti voči ostatným regiónom. Súčasťou rekonštrukcií a zvyšovania úrovne ciest musí byť podpora zlepšenia podmienok pre chodcov, cyklistov a verejnú osobnú dopravu.</w:t>
      </w:r>
    </w:p>
    <w:p>
      <w:pPr>
        <w:jc w:val="both"/>
        <w:rPr>
          <w:rFonts w:ascii="Arial" w:hAnsi="Arial" w:cs="Arial"/>
        </w:rPr>
      </w:pPr>
      <w:r>
        <w:rPr>
          <w:rFonts w:ascii="Arial" w:hAnsi="Arial" w:cs="Arial"/>
        </w:rPr>
        <w:t xml:space="preserve">Kvalitu ciest II. triedy je potrebné zvýšiť v regiónoch, kde: </w:t>
      </w:r>
    </w:p>
    <w:p>
      <w:pPr>
        <w:pStyle w:val="Odsekzoznamu"/>
        <w:numPr>
          <w:ilvl w:val="0"/>
          <w:numId w:val="7"/>
        </w:numPr>
        <w:jc w:val="both"/>
        <w:rPr>
          <w:rFonts w:ascii="Arial" w:hAnsi="Arial" w:cs="Arial"/>
        </w:rPr>
      </w:pPr>
      <w:r>
        <w:rPr>
          <w:rFonts w:ascii="Arial" w:hAnsi="Arial" w:cs="Arial"/>
        </w:rPr>
        <w:t xml:space="preserve">úseky ciest II. triedy preberajú funkcie ciest I. triedy v rámci zabezpečenia obslužnosti územia ako aj v napojení na cesty I. triedy a na infraštruktúru TEN-T; </w:t>
      </w:r>
    </w:p>
    <w:p>
      <w:pPr>
        <w:pStyle w:val="Odsekzoznamu"/>
        <w:numPr>
          <w:ilvl w:val="0"/>
          <w:numId w:val="7"/>
        </w:numPr>
        <w:jc w:val="both"/>
        <w:rPr>
          <w:rFonts w:ascii="Arial" w:hAnsi="Arial" w:cs="Arial"/>
        </w:rPr>
      </w:pPr>
      <w:r>
        <w:rPr>
          <w:rFonts w:ascii="Arial" w:hAnsi="Arial" w:cs="Arial"/>
        </w:rPr>
        <w:t>cesty II. triedy prepájajú centrá osídlenia zadefinované v KURS 2001 v znení KURS 2011 a zabezpečujú dopravné napojenia centier hospodárskeho významu zadefinovaných na úrovni konkrétnych RIÚS;</w:t>
      </w:r>
    </w:p>
    <w:p>
      <w:pPr>
        <w:pStyle w:val="Odsekzoznamu"/>
        <w:numPr>
          <w:ilvl w:val="0"/>
          <w:numId w:val="7"/>
        </w:numPr>
        <w:jc w:val="both"/>
        <w:rPr>
          <w:rFonts w:ascii="Arial" w:hAnsi="Arial" w:cs="Arial"/>
        </w:rPr>
      </w:pPr>
      <w:r>
        <w:rPr>
          <w:rFonts w:ascii="Arial" w:hAnsi="Arial" w:cs="Arial"/>
        </w:rPr>
        <w:t xml:space="preserve">úseky ciest II. triedy zabezpečujú dopravné napojenie priemyselných zón a prekladísk </w:t>
      </w:r>
      <w:proofErr w:type="spellStart"/>
      <w:r>
        <w:rPr>
          <w:rFonts w:ascii="Arial" w:hAnsi="Arial" w:cs="Arial"/>
        </w:rPr>
        <w:t>intermodálnej</w:t>
      </w:r>
      <w:proofErr w:type="spellEnd"/>
      <w:r>
        <w:rPr>
          <w:rFonts w:ascii="Arial" w:hAnsi="Arial" w:cs="Arial"/>
        </w:rPr>
        <w:t xml:space="preserve"> dopravy na nadradenú dopravnú infraštruktúru;</w:t>
      </w:r>
    </w:p>
    <w:p>
      <w:pPr>
        <w:pStyle w:val="Odsekzoznamu"/>
        <w:numPr>
          <w:ilvl w:val="0"/>
          <w:numId w:val="7"/>
        </w:numPr>
        <w:jc w:val="both"/>
        <w:rPr>
          <w:rFonts w:ascii="Arial" w:hAnsi="Arial" w:cs="Arial"/>
        </w:rPr>
      </w:pPr>
      <w:r>
        <w:rPr>
          <w:rFonts w:ascii="Arial" w:hAnsi="Arial" w:cs="Arial"/>
        </w:rPr>
        <w:t>nadradená cestná sieť úplne absentuje, prípadne je výrazne poddimenzovaná na okresnej úrovni, pričom sa jedná o vybrané oblasti južných okresov západného, stredného a východného Slovenska a tiež okresy severovýchodného Slovenska;</w:t>
      </w:r>
    </w:p>
    <w:p>
      <w:pPr>
        <w:pStyle w:val="Odsekzoznamu"/>
        <w:numPr>
          <w:ilvl w:val="0"/>
          <w:numId w:val="7"/>
        </w:numPr>
        <w:jc w:val="both"/>
        <w:rPr>
          <w:rFonts w:ascii="Arial" w:hAnsi="Arial" w:cs="Arial"/>
        </w:rPr>
      </w:pPr>
      <w:r>
        <w:rPr>
          <w:rFonts w:ascii="Arial" w:hAnsi="Arial" w:cs="Arial"/>
        </w:rPr>
        <w:t>na základe technického stavu komunikácií a mostných objektov, intenzity zaťaženia cestných komunikácií, prípadne identifikácie nehodových lokalít možno identifikovať úseky na komunikáciách II. triedy, ktoré si vyžadujú neodkladnú rekonštrukciu;</w:t>
      </w:r>
    </w:p>
    <w:p>
      <w:pPr>
        <w:pStyle w:val="Odsekzoznamu"/>
        <w:numPr>
          <w:ilvl w:val="0"/>
          <w:numId w:val="7"/>
        </w:numPr>
        <w:jc w:val="both"/>
        <w:rPr>
          <w:rFonts w:ascii="Arial" w:hAnsi="Arial" w:cs="Arial"/>
        </w:rPr>
      </w:pPr>
      <w:r>
        <w:rPr>
          <w:rFonts w:ascii="Arial" w:hAnsi="Arial" w:cs="Arial"/>
        </w:rPr>
        <w:t xml:space="preserve">je vysoká frekvencia cyklistov alebo je potenciál na rozvoj cyklistickej dopravy. </w:t>
      </w:r>
    </w:p>
    <w:p>
      <w:pPr>
        <w:jc w:val="both"/>
        <w:rPr>
          <w:rFonts w:ascii="Arial" w:hAnsi="Arial" w:cs="Arial"/>
        </w:rPr>
      </w:pPr>
      <w:r>
        <w:rPr>
          <w:rFonts w:ascii="Arial" w:hAnsi="Arial" w:cs="Arial"/>
        </w:rPr>
        <w:t>Cesty III. triedy predstavujú komunikácie prevažne miestneho významu, ktorých význam spočíva predovšetkým v zabezpečení prepojenia vidieckych obcí. Zlepšenie kvality ciest III. triedy je nevyhnutné v regiónoch a lokalitách, kde:</w:t>
      </w:r>
    </w:p>
    <w:p>
      <w:pPr>
        <w:pStyle w:val="Odsekzoznamu"/>
        <w:numPr>
          <w:ilvl w:val="0"/>
          <w:numId w:val="13"/>
        </w:numPr>
        <w:jc w:val="both"/>
        <w:rPr>
          <w:rFonts w:ascii="Arial" w:hAnsi="Arial" w:cs="Arial"/>
        </w:rPr>
      </w:pPr>
      <w:r>
        <w:rPr>
          <w:rFonts w:ascii="Arial" w:hAnsi="Arial" w:cs="Arial"/>
        </w:rPr>
        <w:t>prepojenie ciest III. triedy na cestnú infraštruktúru TEN-T je zabezpečené priamym dopravným napojením;</w:t>
      </w:r>
    </w:p>
    <w:p>
      <w:pPr>
        <w:pStyle w:val="Odsekzoznamu"/>
        <w:numPr>
          <w:ilvl w:val="0"/>
          <w:numId w:val="13"/>
        </w:numPr>
        <w:jc w:val="both"/>
        <w:rPr>
          <w:rFonts w:ascii="Arial" w:hAnsi="Arial" w:cs="Arial"/>
        </w:rPr>
      </w:pPr>
      <w:r>
        <w:rPr>
          <w:rFonts w:ascii="Arial" w:hAnsi="Arial" w:cs="Arial"/>
        </w:rPr>
        <w:t xml:space="preserve">úseky ciest III. triedy zabezpečujú dopravné napojenie priemyselných zón, prekladísk </w:t>
      </w:r>
      <w:proofErr w:type="spellStart"/>
      <w:r>
        <w:rPr>
          <w:rFonts w:ascii="Arial" w:hAnsi="Arial" w:cs="Arial"/>
        </w:rPr>
        <w:t>intermodálnej</w:t>
      </w:r>
      <w:proofErr w:type="spellEnd"/>
      <w:r>
        <w:rPr>
          <w:rFonts w:ascii="Arial" w:hAnsi="Arial" w:cs="Arial"/>
        </w:rPr>
        <w:t xml:space="preserve"> dopravy na nadradenú dopravnú infraštruktúru a centier hospodárskeho významu zadefinovaných na úrovni konkrétnych RIÚS;</w:t>
      </w:r>
    </w:p>
    <w:p>
      <w:pPr>
        <w:pStyle w:val="Odsekzoznamu"/>
        <w:numPr>
          <w:ilvl w:val="0"/>
          <w:numId w:val="13"/>
        </w:numPr>
        <w:jc w:val="both"/>
        <w:rPr>
          <w:rFonts w:ascii="Arial" w:hAnsi="Arial" w:cs="Arial"/>
        </w:rPr>
      </w:pPr>
      <w:r>
        <w:rPr>
          <w:rFonts w:ascii="Arial" w:hAnsi="Arial" w:cs="Arial"/>
        </w:rPr>
        <w:t>cesty III. triedy prepájajú cesty II. triedy napojené na cestnú infraštruktúru TEN-T;</w:t>
      </w:r>
    </w:p>
    <w:p>
      <w:pPr>
        <w:pStyle w:val="Odsekzoznamu"/>
        <w:numPr>
          <w:ilvl w:val="0"/>
          <w:numId w:val="13"/>
        </w:numPr>
        <w:jc w:val="both"/>
        <w:rPr>
          <w:rFonts w:ascii="Arial" w:hAnsi="Arial" w:cs="Arial"/>
        </w:rPr>
      </w:pPr>
      <w:r>
        <w:rPr>
          <w:rFonts w:ascii="Arial" w:hAnsi="Arial" w:cs="Arial"/>
        </w:rPr>
        <w:t>cesty III. triedy zabezpečujú základnú (dennú) mobilitu osôb a dostupnosť základných sociálnych a ekonomických potrieb (zamestnanie, ubytovanie, obživa a pod.), tovarov a služieb (vzdelanie, zdravotná starostlivosť a pod.) v rámci ťažísk osídlenia 1. – 3. úrovne;</w:t>
      </w:r>
    </w:p>
    <w:p>
      <w:pPr>
        <w:pStyle w:val="Odsekzoznamu"/>
        <w:numPr>
          <w:ilvl w:val="0"/>
          <w:numId w:val="13"/>
        </w:numPr>
        <w:jc w:val="both"/>
        <w:rPr>
          <w:rFonts w:ascii="Arial" w:hAnsi="Arial" w:cs="Arial"/>
        </w:rPr>
      </w:pPr>
      <w:r>
        <w:rPr>
          <w:rFonts w:ascii="Arial" w:hAnsi="Arial" w:cs="Arial"/>
        </w:rPr>
        <w:t>na cestách III. triedy sú identifikované prvky a </w:t>
      </w:r>
      <w:proofErr w:type="spellStart"/>
      <w:r>
        <w:rPr>
          <w:rFonts w:ascii="Arial" w:hAnsi="Arial" w:cs="Arial"/>
        </w:rPr>
        <w:t>závady</w:t>
      </w:r>
      <w:proofErr w:type="spellEnd"/>
      <w:r>
        <w:rPr>
          <w:rFonts w:ascii="Arial" w:hAnsi="Arial" w:cs="Arial"/>
        </w:rPr>
        <w:t xml:space="preserve"> vplývajúce na bezpečnosť cestnej premávky;</w:t>
      </w:r>
    </w:p>
    <w:p>
      <w:pPr>
        <w:pStyle w:val="Odsekzoznamu"/>
        <w:numPr>
          <w:ilvl w:val="0"/>
          <w:numId w:val="13"/>
        </w:numPr>
        <w:jc w:val="both"/>
        <w:rPr>
          <w:rFonts w:ascii="Arial" w:hAnsi="Arial" w:cs="Arial"/>
        </w:rPr>
      </w:pPr>
      <w:r>
        <w:rPr>
          <w:rFonts w:ascii="Arial" w:hAnsi="Arial" w:cs="Arial"/>
        </w:rPr>
        <w:lastRenderedPageBreak/>
        <w:t>obyvatelia miest a obcí sú zaťažovaní nadmernou cestnou dopravou a nevyhovujúcim stavom životného prostredia (napr. zvýšená úroveň znečisťujúcich látok v ovzduší, vysoká intenzita hluku a pod.).</w:t>
      </w:r>
    </w:p>
    <w:p>
      <w:pPr>
        <w:jc w:val="both"/>
        <w:rPr>
          <w:rFonts w:ascii="Arial" w:hAnsi="Arial" w:cs="Arial"/>
        </w:rPr>
      </w:pPr>
      <w:r>
        <w:rPr>
          <w:rFonts w:ascii="Arial" w:hAnsi="Arial" w:cs="Arial"/>
        </w:rPr>
        <w:t>Uvedené princípy sa uplatňujú v závislosti od  typu a charakteru projektu.</w:t>
      </w:r>
    </w:p>
    <w:p>
      <w:pPr>
        <w:pStyle w:val="Nadpis6"/>
        <w:rPr>
          <w:rFonts w:ascii="Arial" w:hAnsi="Arial" w:cs="Arial"/>
        </w:rPr>
      </w:pPr>
      <w:bookmarkStart w:id="12" w:name="_Toc387651793"/>
      <w:r>
        <w:rPr>
          <w:rFonts w:ascii="Arial" w:hAnsi="Arial" w:cs="Arial"/>
        </w:rPr>
        <w:t>2.1.1.3. Plánované využitie finančných nástrojov</w:t>
      </w:r>
      <w:bookmarkEnd w:id="12"/>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13" w:name="_Toc387651794"/>
      <w:r>
        <w:rPr>
          <w:rFonts w:ascii="Arial" w:hAnsi="Arial" w:cs="Arial"/>
        </w:rPr>
        <w:t>2.1.1.4. Plánované využitie veľkých  projektov</w:t>
      </w:r>
      <w:bookmarkEnd w:id="13"/>
    </w:p>
    <w:p>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jc w:val="both"/>
        <w:rPr>
          <w:rFonts w:ascii="Arial" w:hAnsi="Arial" w:cs="Arial"/>
        </w:rPr>
      </w:pPr>
      <w:r>
        <w:rPr>
          <w:rFonts w:ascii="Arial" w:hAnsi="Arial" w:cs="Arial"/>
        </w:rPr>
        <w:t xml:space="preserve"> </w:t>
      </w:r>
      <w:bookmarkStart w:id="14" w:name="_Toc387651795"/>
      <w:r>
        <w:rPr>
          <w:rFonts w:ascii="Arial" w:hAnsi="Arial" w:cs="Arial"/>
        </w:rPr>
        <w:t>2.1.1.5.Ukazovatele výstupov podľa investičnej priority a ak je to vhodné, podľa kategórie regiónu</w:t>
      </w:r>
      <w:bookmarkEnd w:id="14"/>
    </w:p>
    <w:p>
      <w:pPr>
        <w:rPr>
          <w:rFonts w:ascii="Arial" w:hAnsi="Arial" w:cs="Arial"/>
        </w:rPr>
      </w:pPr>
    </w:p>
    <w:p>
      <w:pPr>
        <w:jc w:val="both"/>
        <w:rPr>
          <w:rFonts w:ascii="Arial" w:hAnsi="Arial" w:cs="Arial"/>
        </w:rPr>
      </w:pPr>
      <w:r>
        <w:rPr>
          <w:rStyle w:val="Siln"/>
          <w:rFonts w:ascii="Arial" w:hAnsi="Arial" w:cs="Arial"/>
        </w:rPr>
        <w:t xml:space="preserve">Tabuľka č. 4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6"/>
        <w:gridCol w:w="1915"/>
        <w:gridCol w:w="963"/>
        <w:gridCol w:w="652"/>
        <w:gridCol w:w="971"/>
        <w:gridCol w:w="608"/>
        <w:gridCol w:w="567"/>
        <w:gridCol w:w="992"/>
        <w:gridCol w:w="1035"/>
        <w:gridCol w:w="1053"/>
      </w:tblGrid>
      <w:tr>
        <w:trPr>
          <w:trHeight w:val="278"/>
        </w:trPr>
        <w:tc>
          <w:tcPr>
            <w:tcW w:w="38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915"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67"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5"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6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7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1035"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Celková dĺžka rekonštruovaných alebo </w:t>
            </w:r>
            <w:r>
              <w:rPr>
                <w:rFonts w:ascii="Arial" w:hAnsi="Arial" w:cs="Arial"/>
                <w:sz w:val="16"/>
                <w:szCs w:val="16"/>
              </w:rPr>
              <w:lastRenderedPageBreak/>
              <w:t>zrenovovaných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Viac rozvinutý región </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zrekonštruovaných mostných objektov </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mostný objekt</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zrekonštruovaných mostných objektov</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mostný objekt</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nových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08"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91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nových ciest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08"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10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jc w:val="both"/>
        <w:rPr>
          <w:rFonts w:ascii="Arial" w:hAnsi="Arial" w:cs="Arial"/>
        </w:rPr>
      </w:pPr>
      <w:r>
        <w:rPr>
          <w:rFonts w:ascii="Arial" w:hAnsi="Arial" w:cs="Arial"/>
        </w:rPr>
        <w:t xml:space="preserve">* </w:t>
      </w:r>
      <w:r>
        <w:rPr>
          <w:rFonts w:ascii="Arial" w:hAnsi="Arial" w:cs="Arial"/>
          <w:sz w:val="20"/>
        </w:rPr>
        <w:t>hodnota bude doplnená v závislosti od identifikácie projektov vhodných pre realizáciu v nadväznosti na Strategický plán rozvoja a údržby ciest na úrovni regiónov</w:t>
      </w:r>
    </w:p>
    <w:p>
      <w:pPr>
        <w:pBdr>
          <w:bottom w:val="single" w:sz="12" w:space="1" w:color="auto"/>
        </w:pBdr>
        <w:rPr>
          <w:rFonts w:ascii="Arial" w:hAnsi="Arial" w:cs="Arial"/>
        </w:rPr>
      </w:pPr>
    </w:p>
    <w:p/>
    <w:p>
      <w:pPr>
        <w:pStyle w:val="Nadpis4"/>
        <w:shd w:val="clear" w:color="auto" w:fill="21306A"/>
        <w:jc w:val="both"/>
        <w:rPr>
          <w:rFonts w:ascii="Arial" w:hAnsi="Arial" w:cs="Arial"/>
          <w:color w:val="FFFFFF"/>
        </w:rPr>
      </w:pPr>
      <w:bookmarkStart w:id="15" w:name="_Toc387651796"/>
      <w:r>
        <w:rPr>
          <w:rFonts w:ascii="Arial" w:hAnsi="Arial" w:cs="Arial"/>
          <w:color w:val="FFFFFF"/>
        </w:rPr>
        <w:t xml:space="preserve">2.1.2. Investičná priorita č. 1.2: Vývoj a zlepšovanie ekologicky priaznivých, vrátane </w:t>
      </w:r>
      <w:proofErr w:type="spellStart"/>
      <w:r>
        <w:rPr>
          <w:rFonts w:ascii="Arial" w:hAnsi="Arial" w:cs="Arial"/>
          <w:color w:val="FFFFFF"/>
        </w:rPr>
        <w:t>nízkohlukových</w:t>
      </w:r>
      <w:proofErr w:type="spellEnd"/>
      <w:r>
        <w:rPr>
          <w:rFonts w:ascii="Arial" w:hAnsi="Arial" w:cs="Arial"/>
          <w:color w:val="FFFFFF"/>
        </w:rPr>
        <w:t xml:space="preserve">, a </w:t>
      </w:r>
      <w:proofErr w:type="spellStart"/>
      <w:r>
        <w:rPr>
          <w:rFonts w:ascii="Arial" w:hAnsi="Arial" w:cs="Arial"/>
          <w:color w:val="FFFFFF"/>
        </w:rPr>
        <w:t>nízkouhlíkových</w:t>
      </w:r>
      <w:proofErr w:type="spellEnd"/>
      <w:r>
        <w:rPr>
          <w:rFonts w:ascii="Arial" w:hAnsi="Arial" w:cs="Arial"/>
          <w:color w:val="FFFFFF"/>
        </w:rPr>
        <w:t xml:space="preserve"> dopravných systémov vrátane vnútrozemských vodných ciest a námornej dopravy, prístavov, </w:t>
      </w:r>
      <w:proofErr w:type="spellStart"/>
      <w:r>
        <w:rPr>
          <w:rFonts w:ascii="Arial" w:hAnsi="Arial" w:cs="Arial"/>
          <w:color w:val="FFFFFF"/>
        </w:rPr>
        <w:t>multimodálnych</w:t>
      </w:r>
      <w:proofErr w:type="spellEnd"/>
      <w:r>
        <w:rPr>
          <w:rFonts w:ascii="Arial" w:hAnsi="Arial" w:cs="Arial"/>
          <w:color w:val="FFFFFF"/>
        </w:rPr>
        <w:t xml:space="preserve"> prepojení a letiskovej infraštruktúry v záujme podpory udržateľnej regionálnej a miestnej mobility</w:t>
      </w:r>
      <w:bookmarkEnd w:id="15"/>
    </w:p>
    <w:p>
      <w:pPr>
        <w:rPr>
          <w:rFonts w:ascii="Arial" w:hAnsi="Arial" w:cs="Arial"/>
        </w:rPr>
      </w:pPr>
    </w:p>
    <w:p>
      <w:pPr>
        <w:jc w:val="both"/>
        <w:rPr>
          <w:rFonts w:ascii="Arial" w:hAnsi="Arial" w:cs="Arial"/>
          <w:color w:val="4EACF3"/>
        </w:rPr>
      </w:pPr>
      <w:r>
        <w:rPr>
          <w:rFonts w:ascii="Arial" w:hAnsi="Arial" w:cs="Arial"/>
          <w:b/>
        </w:rPr>
        <w:t>Špecifický cieľ č. 1.2.1:</w:t>
      </w:r>
    </w:p>
    <w:p>
      <w:pPr>
        <w:shd w:val="clear" w:color="auto" w:fill="D9D9D9"/>
        <w:jc w:val="both"/>
        <w:rPr>
          <w:rStyle w:val="Zvraznenie"/>
          <w:rFonts w:ascii="Arial" w:hAnsi="Arial" w:cs="Arial"/>
        </w:rPr>
      </w:pPr>
      <w:r>
        <w:rPr>
          <w:rStyle w:val="Zvraznenie"/>
          <w:rFonts w:ascii="Arial" w:hAnsi="Arial" w:cs="Arial"/>
        </w:rPr>
        <w:t xml:space="preserve">Zabezpečenie udržateľnej formy mobility prostredníctvom zvyšovania atraktivity a konkurencieschopnosti verejnej osobnej dopravy. </w:t>
      </w:r>
    </w:p>
    <w:p>
      <w:pPr>
        <w:jc w:val="both"/>
        <w:rPr>
          <w:rFonts w:ascii="Arial" w:hAnsi="Arial" w:cs="Arial"/>
        </w:rPr>
      </w:pPr>
      <w:r>
        <w:rPr>
          <w:rFonts w:ascii="Arial" w:hAnsi="Arial" w:cs="Arial"/>
        </w:rPr>
        <w:t xml:space="preserve">Všeobecne platí, že intenzívnejšie využívanie verejnej osobnej dopravy na úkor individuálnej automobilovej dopravy vedie k zvýšenej kvalite ovzdušia v mestách. 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Dopyt po verejnej osobnej doprave je zväčša pozitívne ovplyvňovaný nasledovnými faktormi: (i) spoľahlivosť; (</w:t>
      </w:r>
      <w:proofErr w:type="spellStart"/>
      <w:r>
        <w:rPr>
          <w:rFonts w:ascii="Arial" w:hAnsi="Arial" w:cs="Arial"/>
        </w:rPr>
        <w:t>ii</w:t>
      </w:r>
      <w:proofErr w:type="spellEnd"/>
      <w:r>
        <w:rPr>
          <w:rFonts w:ascii="Arial" w:hAnsi="Arial" w:cs="Arial"/>
        </w:rPr>
        <w:t>) kratší čas strávený v dopravnom prostriedku (časová elasticita); (</w:t>
      </w:r>
      <w:proofErr w:type="spellStart"/>
      <w:r>
        <w:rPr>
          <w:rFonts w:ascii="Arial" w:hAnsi="Arial" w:cs="Arial"/>
        </w:rPr>
        <w:t>iii</w:t>
      </w:r>
      <w:proofErr w:type="spellEnd"/>
      <w:r>
        <w:rPr>
          <w:rFonts w:ascii="Arial" w:hAnsi="Arial" w:cs="Arial"/>
        </w:rPr>
        <w:t>) kratší čas strávený mimo dopravného prostriedku (frekvencia spojov, čas na prestup z jedného dopravného prostriedku na druhý, dostupnosť zastávok v mieste bydliska a pracoviska); (</w:t>
      </w:r>
      <w:proofErr w:type="spellStart"/>
      <w:r>
        <w:rPr>
          <w:rFonts w:ascii="Arial" w:hAnsi="Arial" w:cs="Arial"/>
        </w:rPr>
        <w:t>iv</w:t>
      </w:r>
      <w:proofErr w:type="spellEnd"/>
      <w:r>
        <w:rPr>
          <w:rFonts w:ascii="Arial" w:hAnsi="Arial" w:cs="Arial"/>
        </w:rPr>
        <w:t xml:space="preserve">) vyššia cena palív; (v) drahšie poplatky za parkovanie a spoplatnenie prístupu do centier miest.  </w:t>
      </w:r>
    </w:p>
    <w:p>
      <w:pPr>
        <w:jc w:val="both"/>
        <w:rPr>
          <w:rFonts w:ascii="Arial" w:hAnsi="Arial" w:cs="Arial"/>
        </w:rPr>
      </w:pPr>
      <w:r>
        <w:rPr>
          <w:rFonts w:ascii="Arial" w:hAnsi="Arial" w:cs="Arial"/>
          <w:b/>
        </w:rPr>
        <w:t>Podstatným príspevkom ku kvalite života, prostredia a životného prostredia je aj trvalo udržateľná, ľahko dostupná a cenovo výhodná sieť mestskej dopravy, ktorej spoje nadväzujú na dopravné systémy v rámci mestskej oblasti.</w:t>
      </w:r>
      <w:r>
        <w:rPr>
          <w:rFonts w:ascii="Arial" w:hAnsi="Arial" w:cs="Arial"/>
        </w:rPr>
        <w:t xml:space="preserve"> Mestská doprava musí byť 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pPr>
        <w:jc w:val="both"/>
        <w:rPr>
          <w:rFonts w:ascii="Arial" w:hAnsi="Arial" w:cs="Arial"/>
        </w:rPr>
      </w:pPr>
      <w:r>
        <w:rPr>
          <w:rFonts w:ascii="Arial" w:hAnsi="Arial" w:cs="Arial"/>
        </w:rPr>
        <w:lastRenderedPageBreak/>
        <w:t>Víziou stratégie rozvoja verejnej osobnej dopravy je zvrátiť doterajší nepriaznivý vývoj v deľbe prepravnej práce v osobnej doprave. Cieľom je prostredníctvom integrácie jednotlivých dopravných systémov a ich lepšou organizáciou vytvoriť podmienky pre trvalo udržateľnú regionálnu a mestskú mobilitu.</w:t>
      </w:r>
    </w:p>
    <w:p>
      <w:pPr>
        <w:jc w:val="both"/>
        <w:rPr>
          <w:rFonts w:ascii="Arial" w:hAnsi="Arial" w:cs="Arial"/>
        </w:rPr>
      </w:pPr>
      <w:r>
        <w:rPr>
          <w:rFonts w:ascii="Arial" w:hAnsi="Arial" w:cs="Arial"/>
          <w:b/>
          <w:bCs/>
        </w:rPr>
        <w:t>Výsledok podpory IROP</w:t>
      </w:r>
      <w:r>
        <w:rPr>
          <w:rFonts w:ascii="Arial" w:hAnsi="Arial" w:cs="Arial"/>
        </w:rPr>
        <w:t xml:space="preserve">: </w:t>
      </w:r>
    </w:p>
    <w:p>
      <w:pPr>
        <w:pStyle w:val="Odsekzoznamu"/>
        <w:numPr>
          <w:ilvl w:val="0"/>
          <w:numId w:val="2"/>
        </w:numPr>
        <w:tabs>
          <w:tab w:val="clear" w:pos="360"/>
          <w:tab w:val="num" w:pos="709"/>
        </w:tabs>
        <w:ind w:left="709" w:hanging="283"/>
        <w:jc w:val="both"/>
        <w:rPr>
          <w:rFonts w:ascii="Arial" w:hAnsi="Arial" w:cs="Arial"/>
        </w:rPr>
      </w:pPr>
      <w:r>
        <w:rPr>
          <w:rFonts w:ascii="Arial" w:hAnsi="Arial" w:cs="Arial"/>
        </w:rPr>
        <w:t>efektívnejšie využívanie verejnej osobnej dopravy na základe vypracovania plánov udržateľnej mestskej mobility a plánov dopravnej obslužnosti regiónov,</w:t>
      </w:r>
    </w:p>
    <w:p>
      <w:pPr>
        <w:pStyle w:val="Odsekzoznamu"/>
        <w:numPr>
          <w:ilvl w:val="0"/>
          <w:numId w:val="2"/>
        </w:numPr>
        <w:tabs>
          <w:tab w:val="clear" w:pos="360"/>
          <w:tab w:val="num" w:pos="720"/>
        </w:tabs>
        <w:ind w:left="720"/>
        <w:jc w:val="both"/>
        <w:rPr>
          <w:rFonts w:ascii="Arial" w:hAnsi="Arial" w:cs="Arial"/>
        </w:rPr>
      </w:pPr>
      <w:r>
        <w:rPr>
          <w:rFonts w:ascii="Arial" w:hAnsi="Arial" w:cs="Arial"/>
        </w:rPr>
        <w:t>zvýšenie počtu osôb prepravených VOD prostredníctvom zatraktívnenia VOD (zabezpečením prístupnejšieho vozidlového parku, budovaním súvisiacej infraštruktúry, zjednotením cestovných dokladov a prepravných podmienok a zavádzaním doplnkových služieb pre cestujúcich),</w:t>
      </w:r>
    </w:p>
    <w:p>
      <w:pPr>
        <w:pStyle w:val="Odsekzoznamu"/>
        <w:numPr>
          <w:ilvl w:val="0"/>
          <w:numId w:val="2"/>
        </w:numPr>
        <w:tabs>
          <w:tab w:val="clear" w:pos="360"/>
          <w:tab w:val="num" w:pos="720"/>
        </w:tabs>
        <w:ind w:left="709" w:hanging="283"/>
        <w:jc w:val="both"/>
        <w:rPr>
          <w:rFonts w:ascii="Arial" w:hAnsi="Arial" w:cs="Arial"/>
        </w:rPr>
      </w:pPr>
      <w:r>
        <w:rPr>
          <w:rFonts w:ascii="Arial" w:hAnsi="Arial" w:cs="Arial"/>
        </w:rPr>
        <w:t xml:space="preserve">zmena deľby prepravnej práce v prospech ekologicky priaznivejších módov dopravy, </w:t>
      </w:r>
    </w:p>
    <w:p>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 a zníženie zaťaženia obyvateľstva hlukom prostredníctvom obnovy vozidlového parku v rámci verejnej mestskej a prímestskej dopravy.</w:t>
      </w:r>
    </w:p>
    <w:p>
      <w:pPr>
        <w:rPr>
          <w:rStyle w:val="Zvraznenie"/>
          <w:rFonts w:ascii="Arial" w:hAnsi="Arial" w:cs="Arial"/>
        </w:rPr>
      </w:pPr>
      <w:r>
        <w:rPr>
          <w:rStyle w:val="Siln"/>
          <w:rFonts w:ascii="Arial" w:hAnsi="Arial" w:cs="Arial"/>
        </w:rPr>
        <w:t>Tabuľka č. 5</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408"/>
        <w:gridCol w:w="1106"/>
        <w:gridCol w:w="954"/>
        <w:gridCol w:w="1147"/>
        <w:gridCol w:w="1153"/>
        <w:gridCol w:w="925"/>
        <w:gridCol w:w="935"/>
        <w:gridCol w:w="128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0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4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Základná hodnota</w:t>
            </w:r>
          </w:p>
        </w:tc>
        <w:tc>
          <w:tcPr>
            <w:tcW w:w="11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Základný rok</w:t>
            </w:r>
          </w:p>
        </w:tc>
        <w:tc>
          <w:tcPr>
            <w:tcW w:w="92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3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8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predaných predplatných cestovných lístkov integrovaného dopravného systému</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predplatný cestovný lístok</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14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9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2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predaných predplatných cestovných lístkov integrovaného dopravného systému</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predplatný cestovný lístok</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14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31 546</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9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2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w:t>
            </w:r>
            <w:proofErr w:type="spellStart"/>
            <w:r>
              <w:rPr>
                <w:rFonts w:ascii="Arial" w:hAnsi="Arial" w:cs="Arial"/>
                <w:sz w:val="16"/>
                <w:szCs w:val="16"/>
              </w:rPr>
              <w:t>nízkopodlažných</w:t>
            </w:r>
            <w:proofErr w:type="spellEnd"/>
            <w:r>
              <w:rPr>
                <w:rFonts w:ascii="Arial" w:hAnsi="Arial" w:cs="Arial"/>
                <w:sz w:val="16"/>
                <w:szCs w:val="16"/>
              </w:rPr>
              <w:t xml:space="preserve"> autobusov na celkovom počte autobusov, vhodných aj pre cestujúcich s obmedzenou mobilitou</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14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40</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9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2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w:t>
            </w:r>
            <w:proofErr w:type="spellStart"/>
            <w:r>
              <w:rPr>
                <w:rFonts w:ascii="Arial" w:hAnsi="Arial" w:cs="Arial"/>
                <w:sz w:val="16"/>
                <w:szCs w:val="16"/>
              </w:rPr>
              <w:t>nízkopodlažných</w:t>
            </w:r>
            <w:proofErr w:type="spellEnd"/>
            <w:r>
              <w:rPr>
                <w:rFonts w:ascii="Arial" w:hAnsi="Arial" w:cs="Arial"/>
                <w:sz w:val="16"/>
                <w:szCs w:val="16"/>
              </w:rPr>
              <w:t xml:space="preserve"> autobusov na celkovom počte autobusov, vhodných aj pre cestujúcich s obmedzenou mobilitou</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14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71</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93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2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r>
        <w:rPr>
          <w:rFonts w:ascii="Arial" w:hAnsi="Arial" w:cs="Arial"/>
          <w:sz w:val="18"/>
          <w:szCs w:val="18"/>
        </w:rPr>
        <w:t>* cieľové hodnoty výsledkových ukazovateľov budú nadefinované v spoluprácu s orgánom pre koordináciu RIÚS</w:t>
      </w:r>
    </w:p>
    <w:p>
      <w:pPr>
        <w:rPr>
          <w:rFonts w:ascii="Arial" w:hAnsi="Arial" w:cs="Arial"/>
        </w:rPr>
      </w:pPr>
    </w:p>
    <w:p>
      <w:pPr>
        <w:rPr>
          <w:rFonts w:ascii="Arial" w:hAnsi="Arial" w:cs="Arial"/>
        </w:rPr>
      </w:pPr>
    </w:p>
    <w:p>
      <w:pPr>
        <w:rPr>
          <w:rFonts w:ascii="Arial" w:hAnsi="Arial" w:cs="Arial"/>
          <w:color w:val="4EACF3"/>
        </w:rPr>
      </w:pPr>
      <w:r>
        <w:rPr>
          <w:rFonts w:ascii="Arial" w:hAnsi="Arial" w:cs="Arial"/>
          <w:b/>
        </w:rPr>
        <w:lastRenderedPageBreak/>
        <w:t>Špecifický cieľ č. 1.2.2:</w:t>
      </w:r>
    </w:p>
    <w:p>
      <w:pPr>
        <w:shd w:val="clear" w:color="auto" w:fill="D9D9D9"/>
        <w:jc w:val="both"/>
        <w:rPr>
          <w:rStyle w:val="Zvraznenie"/>
          <w:rFonts w:ascii="Arial" w:hAnsi="Arial" w:cs="Arial"/>
        </w:rPr>
      </w:pPr>
      <w:r>
        <w:rPr>
          <w:rStyle w:val="Zvraznenie"/>
          <w:rFonts w:ascii="Arial" w:hAnsi="Arial" w:cs="Arial"/>
        </w:rPr>
        <w:t>Zvýšenie atraktivity a prepravnej kapacity nemotorovej dopravy (predovšetkým cyklistickej dopravy) na celkovom počte prepravených osôb.</w:t>
      </w:r>
    </w:p>
    <w:p>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realizáciu opatrení na upokojovanie dopravy, a pod. Realizáciou opatrení v rámci tohto špecifického cieľa sa prispeje k zvýšenie podielu cyklistickej dopravy na celkovej deľbe dopravnej práce v SR zo súčasných 1,5 % na 10 % do roku 2020 v súlade so základnou víziou Národnej stratégie rozvoja cyklistickej dopravy a cykloturistiky v SR a k zníženiu celkového znečistenia ovzdušia dopravou v prípade nárastu nemotorovej dopravy na celkovej deľbe prepravnej práce. </w:t>
      </w:r>
      <w:r>
        <w:rPr>
          <w:rFonts w:ascii="Arial" w:hAnsi="Arial" w:cs="Arial"/>
          <w:b/>
        </w:rPr>
        <w:t>Prostredníctvom jednotlivých opatrení a aktivít bude potrebné začleniť cyklistickú dopravu ako plnohodnotný spôsob prepravy v rámci mestskej mobility, vytvoriť ľahko dostupnú a cenovo výhodnú sieť mestskej dopravy</w:t>
      </w:r>
      <w:r>
        <w:rPr>
          <w:rFonts w:ascii="Arial" w:hAnsi="Arial" w:cs="Arial"/>
        </w:rPr>
        <w:t xml:space="preserve"> a zmeniť vnímanie cyklistov nielen v kontexte športového či turistického vyžitia. V prvých rokoch rozvoja cyklistickej infraštruktúry je vzhľadom k rozdrobenosti pozemkov v SR reálnejšie dosiahnuť podstatné rozšírenie ponuky </w:t>
      </w:r>
      <w:proofErr w:type="spellStart"/>
      <w:r>
        <w:rPr>
          <w:rFonts w:ascii="Arial" w:hAnsi="Arial" w:cs="Arial"/>
        </w:rPr>
        <w:t>cyklokomunikácií</w:t>
      </w:r>
      <w:proofErr w:type="spellEnd"/>
      <w:r>
        <w:rPr>
          <w:rFonts w:ascii="Arial" w:hAnsi="Arial" w:cs="Arial"/>
        </w:rPr>
        <w:t xml:space="preserve"> realizáciou </w:t>
      </w:r>
      <w:proofErr w:type="spellStart"/>
      <w:r>
        <w:rPr>
          <w:rFonts w:ascii="Arial" w:hAnsi="Arial" w:cs="Arial"/>
        </w:rPr>
        <w:t>cyklopruhov</w:t>
      </w:r>
      <w:proofErr w:type="spellEnd"/>
      <w:r>
        <w:rPr>
          <w:rFonts w:ascii="Arial" w:hAnsi="Arial" w:cs="Arial"/>
        </w:rPr>
        <w:t xml:space="preserve"> a </w:t>
      </w:r>
      <w:proofErr w:type="spellStart"/>
      <w:r>
        <w:rPr>
          <w:rFonts w:ascii="Arial" w:hAnsi="Arial" w:cs="Arial"/>
        </w:rPr>
        <w:t>cyklokoridorov</w:t>
      </w:r>
      <w:proofErr w:type="spellEnd"/>
      <w:r>
        <w:rPr>
          <w:rFonts w:ascii="Arial" w:hAnsi="Arial" w:cs="Arial"/>
        </w:rPr>
        <w:t xml:space="preserve"> na existujúcich komunikáciách spolu s príslušným dopravným značením a doplnkovou </w:t>
      </w:r>
      <w:proofErr w:type="spellStart"/>
      <w:r>
        <w:rPr>
          <w:rFonts w:ascii="Arial" w:hAnsi="Arial" w:cs="Arial"/>
        </w:rPr>
        <w:t>cykloinfraštruktúrou</w:t>
      </w:r>
      <w:proofErr w:type="spellEnd"/>
      <w:r>
        <w:rPr>
          <w:rFonts w:ascii="Arial" w:hAnsi="Arial" w:cs="Arial"/>
        </w:rPr>
        <w:t>.</w:t>
      </w:r>
      <w:r>
        <w:rPr>
          <w:rStyle w:val="Odkaznapoznmkupodiarou"/>
          <w:rFonts w:ascii="Arial" w:hAnsi="Arial" w:cs="Arial"/>
        </w:rPr>
        <w:footnoteReference w:id="34"/>
      </w:r>
    </w:p>
    <w:p>
      <w:pPr>
        <w:jc w:val="both"/>
        <w:rPr>
          <w:rFonts w:ascii="Arial" w:hAnsi="Arial" w:cs="Arial"/>
        </w:rPr>
      </w:pPr>
      <w:r>
        <w:rPr>
          <w:rFonts w:ascii="Arial" w:hAnsi="Arial" w:cs="Arial"/>
          <w:b/>
          <w:bCs/>
        </w:rPr>
        <w:t>Výsledok podpory IROP</w:t>
      </w:r>
      <w:r>
        <w:rPr>
          <w:rFonts w:ascii="Arial" w:hAnsi="Arial" w:cs="Arial"/>
        </w:rPr>
        <w:t xml:space="preserve">: </w:t>
      </w:r>
    </w:p>
    <w:p>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 mestách vytvorí podmienky pre lepšiu mobilitu jeho obyvateľov,</w:t>
      </w:r>
    </w:p>
    <w:p>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pPr>
        <w:jc w:val="both"/>
        <w:rPr>
          <w:rStyle w:val="Zvraznenie"/>
          <w:rFonts w:ascii="Arial" w:hAnsi="Arial" w:cs="Arial"/>
        </w:rPr>
      </w:pPr>
      <w:r>
        <w:rPr>
          <w:rStyle w:val="Siln"/>
          <w:rFonts w:ascii="Arial" w:hAnsi="Arial" w:cs="Arial"/>
        </w:rPr>
        <w:t>Tabuľka č. 6</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8"/>
        <w:gridCol w:w="1586"/>
        <w:gridCol w:w="941"/>
        <w:gridCol w:w="977"/>
        <w:gridCol w:w="1293"/>
        <w:gridCol w:w="1293"/>
        <w:gridCol w:w="948"/>
        <w:gridCol w:w="809"/>
        <w:gridCol w:w="1053"/>
      </w:tblGrid>
      <w:tr>
        <w:tc>
          <w:tcPr>
            <w:tcW w:w="38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4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0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cyklistickej infraštruktúry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2009</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8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tri roky</w:t>
            </w:r>
          </w:p>
        </w:tc>
      </w:tr>
      <w:tr>
        <w:tc>
          <w:tcPr>
            <w:tcW w:w="3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Celková dĺžka cyklistickej infraštruktúry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95 670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2009</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8"/>
                <w:szCs w:val="18"/>
              </w:rPr>
              <w:t>*</w:t>
            </w:r>
          </w:p>
        </w:tc>
        <w:tc>
          <w:tcPr>
            <w:tcW w:w="8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tri roky</w:t>
            </w:r>
          </w:p>
        </w:tc>
      </w:tr>
    </w:tbl>
    <w:p>
      <w:pPr>
        <w:rPr>
          <w:rFonts w:ascii="Arial" w:hAnsi="Arial" w:cs="Arial"/>
          <w:sz w:val="18"/>
          <w:szCs w:val="18"/>
        </w:rPr>
      </w:pPr>
      <w:r>
        <w:rPr>
          <w:rFonts w:ascii="Arial" w:hAnsi="Arial" w:cs="Arial"/>
          <w:sz w:val="18"/>
          <w:szCs w:val="18"/>
        </w:rPr>
        <w:t>*cieľové hodnoty výsledkových ukazovateľov budú nadefinované v spoluprácu s orgánom pre koordináciu RIÚS</w:t>
      </w:r>
    </w:p>
    <w:p>
      <w:pPr>
        <w:rPr>
          <w:rFonts w:ascii="Arial" w:hAnsi="Arial" w:cs="Arial"/>
        </w:rPr>
      </w:pPr>
    </w:p>
    <w:p>
      <w:pPr>
        <w:rPr>
          <w:rFonts w:ascii="Arial" w:hAnsi="Arial" w:cs="Arial"/>
        </w:rPr>
      </w:pPr>
    </w:p>
    <w:p>
      <w:pPr>
        <w:rPr>
          <w:rFonts w:ascii="Arial" w:hAnsi="Arial" w:cs="Arial"/>
        </w:rPr>
      </w:pPr>
    </w:p>
    <w:p>
      <w:pPr>
        <w:pStyle w:val="Nadpis5"/>
        <w:shd w:val="clear" w:color="auto" w:fill="B8C1E9"/>
        <w:rPr>
          <w:rFonts w:ascii="Arial" w:hAnsi="Arial" w:cs="Arial"/>
        </w:rPr>
      </w:pPr>
      <w:bookmarkStart w:id="16" w:name="_Toc387651797"/>
      <w:r>
        <w:rPr>
          <w:rFonts w:ascii="Arial" w:hAnsi="Arial" w:cs="Arial"/>
        </w:rPr>
        <w:lastRenderedPageBreak/>
        <w:t>Akcia, ktorá sa má podporiť v rámci investičnej priority</w:t>
      </w:r>
      <w:bookmarkEnd w:id="16"/>
    </w:p>
    <w:p>
      <w:pPr>
        <w:rPr>
          <w:rFonts w:ascii="Arial" w:hAnsi="Arial" w:cs="Arial"/>
        </w:rPr>
      </w:pPr>
    </w:p>
    <w:p>
      <w:pPr>
        <w:pStyle w:val="Nadpis6"/>
        <w:jc w:val="both"/>
        <w:rPr>
          <w:rFonts w:ascii="Arial" w:hAnsi="Arial" w:cs="Arial"/>
        </w:rPr>
      </w:pPr>
      <w:bookmarkStart w:id="17" w:name="_Toc387651798"/>
      <w:r>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7"/>
      <w:r>
        <w:rPr>
          <w:rFonts w:ascii="Arial" w:hAnsi="Arial" w:cs="Arial"/>
        </w:rPr>
        <w:t xml:space="preserve"> </w:t>
      </w:r>
    </w:p>
    <w:p>
      <w:pPr>
        <w:tabs>
          <w:tab w:val="left" w:pos="1425"/>
        </w:tabs>
        <w:spacing w:before="120"/>
        <w:jc w:val="both"/>
        <w:rPr>
          <w:rFonts w:ascii="Arial" w:hAnsi="Arial" w:cs="Arial"/>
          <w:b/>
        </w:rPr>
      </w:pPr>
      <w:r>
        <w:rPr>
          <w:rFonts w:ascii="Arial" w:hAnsi="Arial" w:cs="Arial"/>
        </w:rPr>
        <w:t xml:space="preserve">Opatrenia v rámci investičnej priority sú v súlade s cieľmi Stratégie rozvoja verejnej osobnej a nemotorovej dopravy v SR do roku 2020, ktorá identifikuje aktuálny stav v oblasti verejnej osobnej dopravy (ďalej len „VOD“) v jednotlivých regiónoch SR, identifikuje príčiny tohto stavu a uvádza možnosti budúceho vývoja. Základnou podmienkou pre financovanie aktivít pre účely rozvoja mestskej VOD je </w:t>
      </w:r>
      <w:r>
        <w:rPr>
          <w:rFonts w:ascii="Arial" w:hAnsi="Arial" w:cs="Arial"/>
          <w:b/>
        </w:rPr>
        <w:t>vypracovanie plánov udržateľnej mestskej mobility</w:t>
      </w:r>
      <w:r>
        <w:rPr>
          <w:rFonts w:ascii="Arial" w:hAnsi="Arial" w:cs="Arial"/>
        </w:rPr>
        <w:t xml:space="preserve">. Intervencie do regionálnej autobusovej dopravy budú podmienené </w:t>
      </w:r>
      <w:r>
        <w:rPr>
          <w:rFonts w:ascii="Arial" w:hAnsi="Arial" w:cs="Arial"/>
          <w:b/>
        </w:rPr>
        <w:t xml:space="preserve">vypracovaním plánov dopravnej obsluhy regiónu </w:t>
      </w:r>
      <w:r>
        <w:rPr>
          <w:rFonts w:ascii="Arial" w:hAnsi="Arial" w:cs="Arial"/>
        </w:rPr>
        <w:t xml:space="preserve">a existenciou </w:t>
      </w:r>
      <w:r>
        <w:rPr>
          <w:rFonts w:ascii="Arial" w:hAnsi="Arial" w:cs="Arial"/>
          <w:b/>
        </w:rPr>
        <w:t>plne funkčných integrovaných dopravných systémov</w:t>
      </w:r>
      <w:r>
        <w:rPr>
          <w:rStyle w:val="Odkaznapoznmkupodiarou"/>
          <w:rFonts w:ascii="Arial" w:hAnsi="Arial" w:cs="Arial"/>
        </w:rPr>
        <w:footnoteReference w:id="35"/>
      </w:r>
      <w:r>
        <w:rPr>
          <w:rFonts w:ascii="Arial" w:hAnsi="Arial" w:cs="Arial"/>
          <w:b/>
        </w:rPr>
        <w:t xml:space="preserve"> (ďalej len „IDS“)</w:t>
      </w:r>
      <w:r>
        <w:rPr>
          <w:rFonts w:ascii="Arial" w:hAnsi="Arial" w:cs="Arial"/>
        </w:rPr>
        <w:t>.</w:t>
      </w:r>
    </w:p>
    <w:p>
      <w:pPr>
        <w:tabs>
          <w:tab w:val="left" w:pos="1425"/>
        </w:tabs>
        <w:spacing w:before="120"/>
        <w:rPr>
          <w:rFonts w:ascii="Arial" w:hAnsi="Arial" w:cs="Arial"/>
          <w:b/>
        </w:rPr>
      </w:pPr>
    </w:p>
    <w:p>
      <w:pPr>
        <w:tabs>
          <w:tab w:val="left" w:pos="1425"/>
        </w:tabs>
        <w:spacing w:before="120"/>
        <w:rPr>
          <w:rFonts w:ascii="Arial" w:hAnsi="Arial" w:cs="Arial"/>
        </w:rPr>
      </w:pPr>
      <w:r>
        <w:rPr>
          <w:rFonts w:ascii="Arial" w:hAnsi="Arial" w:cs="Arial"/>
          <w:b/>
        </w:rPr>
        <w:t>Špecifický cieľ č. 1.2.1</w:t>
      </w:r>
      <w:r>
        <w:rPr>
          <w:rFonts w:ascii="Arial" w:hAnsi="Arial" w:cs="Arial"/>
        </w:rPr>
        <w:t xml:space="preserve"> sa dosiahne realizáciou nasledovných aktivít:</w:t>
      </w:r>
      <w:r>
        <w:rPr>
          <w:rFonts w:ascii="Arial" w:hAnsi="Arial" w:cs="Arial"/>
        </w:rPr>
        <w:tab/>
      </w:r>
    </w:p>
    <w:p>
      <w:pPr>
        <w:pStyle w:val="Odsekzoznamu"/>
        <w:numPr>
          <w:ilvl w:val="0"/>
          <w:numId w:val="41"/>
        </w:numPr>
        <w:tabs>
          <w:tab w:val="left" w:pos="709"/>
        </w:tabs>
        <w:jc w:val="both"/>
        <w:rPr>
          <w:rFonts w:ascii="Arial" w:hAnsi="Arial" w:cs="Arial"/>
        </w:rPr>
      </w:pPr>
      <w:r>
        <w:rPr>
          <w:rFonts w:ascii="Arial" w:hAnsi="Arial" w:cs="Arial"/>
        </w:rPr>
        <w:t>spracovanie, resp. aktualizácia strategických dokumentov a územnoplánovacích podkladov (plány mobility</w:t>
      </w:r>
      <w:r>
        <w:rPr>
          <w:rStyle w:val="Odkaznapoznmkupodiarou"/>
          <w:rFonts w:ascii="Arial" w:hAnsi="Arial" w:cs="Arial"/>
        </w:rPr>
        <w:footnoteReference w:id="36"/>
      </w:r>
      <w:r>
        <w:rPr>
          <w:rFonts w:ascii="Arial" w:hAnsi="Arial" w:cs="Arial"/>
        </w:rPr>
        <w:t xml:space="preserve">, </w:t>
      </w:r>
      <w:proofErr w:type="spellStart"/>
      <w:r>
        <w:rPr>
          <w:rFonts w:ascii="Arial" w:hAnsi="Arial" w:cs="Arial"/>
        </w:rPr>
        <w:t>generely</w:t>
      </w:r>
      <w:proofErr w:type="spellEnd"/>
      <w:r>
        <w:rPr>
          <w:rFonts w:ascii="Arial" w:hAnsi="Arial" w:cs="Arial"/>
        </w:rPr>
        <w:t xml:space="preserve"> dopravy, plány dopravnej obsluhy);</w:t>
      </w:r>
    </w:p>
    <w:p>
      <w:pPr>
        <w:pStyle w:val="Odsekzoznamu"/>
        <w:numPr>
          <w:ilvl w:val="0"/>
          <w:numId w:val="41"/>
        </w:numPr>
        <w:tabs>
          <w:tab w:val="left" w:pos="709"/>
        </w:tabs>
        <w:jc w:val="both"/>
        <w:rPr>
          <w:rFonts w:ascii="Arial" w:hAnsi="Arial" w:cs="Arial"/>
        </w:rPr>
      </w:pPr>
      <w:r>
        <w:rPr>
          <w:rFonts w:ascii="Arial" w:hAnsi="Arial" w:cs="Arial"/>
        </w:rPr>
        <w:t>obnova a budovanie vyhradených jazdných pruhov pre verejnú osobnú dopravu;</w:t>
      </w:r>
    </w:p>
    <w:p>
      <w:pPr>
        <w:pStyle w:val="Odsekzoznamu"/>
        <w:numPr>
          <w:ilvl w:val="0"/>
          <w:numId w:val="41"/>
        </w:numPr>
        <w:tabs>
          <w:tab w:val="left" w:pos="709"/>
        </w:tabs>
        <w:jc w:val="both"/>
        <w:rPr>
          <w:rFonts w:ascii="Arial" w:hAnsi="Arial" w:cs="Arial"/>
        </w:rPr>
      </w:pPr>
      <w:r>
        <w:rPr>
          <w:rFonts w:ascii="Arial" w:hAnsi="Arial" w:cs="Arial"/>
        </w:rPr>
        <w:t xml:space="preserve">náhrada autobusov mestskej hromadnej dopravy alebo prímestskej autobusovej dopravy na dieselový pohon </w:t>
      </w:r>
      <w:proofErr w:type="spellStart"/>
      <w:r>
        <w:rPr>
          <w:rFonts w:ascii="Arial" w:hAnsi="Arial" w:cs="Arial"/>
        </w:rPr>
        <w:t>vysokoenvironmentálnymi</w:t>
      </w:r>
      <w:proofErr w:type="spellEnd"/>
      <w:r>
        <w:rPr>
          <w:rFonts w:ascii="Arial" w:hAnsi="Arial" w:cs="Arial"/>
        </w:rPr>
        <w:t xml:space="preserve"> autobusmi, napr. plynovými autobusmi, hybridnými autobusmi alebo </w:t>
      </w:r>
      <w:proofErr w:type="spellStart"/>
      <w:r>
        <w:rPr>
          <w:rFonts w:ascii="Arial" w:hAnsi="Arial" w:cs="Arial"/>
        </w:rPr>
        <w:t>elektrobusmi</w:t>
      </w:r>
      <w:proofErr w:type="spellEnd"/>
      <w:r>
        <w:rPr>
          <w:rFonts w:ascii="Arial" w:hAnsi="Arial" w:cs="Arial"/>
        </w:rPr>
        <w:t xml:space="preserve">, spolu s budovaním zodpovedajúcej zásobovacej infraštruktúry (napr. plniacich staníc plynu, nabíjacích staníc) vrátane nákupu </w:t>
      </w:r>
      <w:proofErr w:type="spellStart"/>
      <w:r>
        <w:rPr>
          <w:rFonts w:ascii="Arial" w:hAnsi="Arial" w:cs="Arial"/>
        </w:rPr>
        <w:t>nízkopodlažných</w:t>
      </w:r>
      <w:proofErr w:type="spellEnd"/>
      <w:r>
        <w:rPr>
          <w:rFonts w:ascii="Arial" w:hAnsi="Arial" w:cs="Arial"/>
        </w:rPr>
        <w:t xml:space="preserve">, </w:t>
      </w:r>
      <w:proofErr w:type="spellStart"/>
      <w:r>
        <w:rPr>
          <w:rFonts w:ascii="Arial" w:hAnsi="Arial" w:cs="Arial"/>
        </w:rPr>
        <w:t>nízkoemisných</w:t>
      </w:r>
      <w:proofErr w:type="spellEnd"/>
      <w:r>
        <w:rPr>
          <w:rFonts w:ascii="Arial" w:hAnsi="Arial" w:cs="Arial"/>
        </w:rPr>
        <w:t xml:space="preserve"> autobusov/</w:t>
      </w:r>
      <w:proofErr w:type="spellStart"/>
      <w:r>
        <w:rPr>
          <w:rFonts w:ascii="Arial" w:hAnsi="Arial" w:cs="Arial"/>
        </w:rPr>
        <w:t>elektrobusov</w:t>
      </w:r>
      <w:proofErr w:type="spellEnd"/>
      <w:r>
        <w:rPr>
          <w:rStyle w:val="Odkaznapoznmkupodiarou"/>
          <w:rFonts w:ascii="Arial" w:hAnsi="Arial" w:cs="Arial"/>
        </w:rPr>
        <w:footnoteReference w:id="37"/>
      </w:r>
      <w:r>
        <w:rPr>
          <w:rFonts w:ascii="Arial" w:hAnsi="Arial" w:cs="Arial"/>
        </w:rPr>
        <w:t xml:space="preserve">;  </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prestupných terminálov</w:t>
      </w:r>
      <w:r>
        <w:rPr>
          <w:rStyle w:val="Odkaznapoznmkupodiarou"/>
          <w:rFonts w:ascii="Arial" w:hAnsi="Arial" w:cs="Arial"/>
        </w:rPr>
        <w:footnoteReference w:id="38"/>
      </w:r>
      <w:r>
        <w:rPr>
          <w:rFonts w:ascii="Arial" w:hAnsi="Arial" w:cs="Arial"/>
        </w:rPr>
        <w:t>, okrem terminálov so zásahom do železničnej infraštruktúry</w:t>
      </w:r>
      <w:r>
        <w:rPr>
          <w:rStyle w:val="Odkaznapoznmkupodiarou"/>
          <w:rFonts w:ascii="Arial" w:hAnsi="Arial" w:cs="Arial"/>
        </w:rPr>
        <w:footnoteReference w:id="39"/>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integrovaných zastávok subsystémov verejnej osobnej dopravy</w:t>
      </w:r>
      <w:r>
        <w:rPr>
          <w:rStyle w:val="Odkaznapoznmkupodiarou"/>
          <w:rFonts w:ascii="Arial" w:hAnsi="Arial" w:cs="Arial"/>
        </w:rPr>
        <w:footnoteReference w:id="40"/>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t>rekonštrukcia, modernizácia a výstavba obratísk cestnej verejnej osobnej dopravy;</w:t>
      </w:r>
    </w:p>
    <w:p>
      <w:pPr>
        <w:pStyle w:val="Odsekzoznamu"/>
        <w:numPr>
          <w:ilvl w:val="0"/>
          <w:numId w:val="41"/>
        </w:numPr>
        <w:tabs>
          <w:tab w:val="left" w:pos="709"/>
        </w:tabs>
        <w:jc w:val="both"/>
        <w:rPr>
          <w:rFonts w:ascii="Arial" w:hAnsi="Arial" w:cs="Arial"/>
        </w:rPr>
      </w:pPr>
      <w:r>
        <w:rPr>
          <w:rFonts w:ascii="Arial" w:hAnsi="Arial" w:cs="Arial"/>
        </w:rPr>
        <w:t xml:space="preserve">rekonštrukcia, modernizácia a výstavba záchytných parkovísk Park &amp; </w:t>
      </w:r>
      <w:proofErr w:type="spellStart"/>
      <w:r>
        <w:rPr>
          <w:rFonts w:ascii="Arial" w:hAnsi="Arial" w:cs="Arial"/>
        </w:rPr>
        <w:t>Ride</w:t>
      </w:r>
      <w:proofErr w:type="spellEnd"/>
      <w:r>
        <w:rPr>
          <w:rFonts w:ascii="Arial" w:hAnsi="Arial" w:cs="Arial"/>
        </w:rPr>
        <w:t xml:space="preserve"> (P+R), Kiss &amp; </w:t>
      </w:r>
      <w:proofErr w:type="spellStart"/>
      <w:r>
        <w:rPr>
          <w:rFonts w:ascii="Arial" w:hAnsi="Arial" w:cs="Arial"/>
        </w:rPr>
        <w:t>Ride</w:t>
      </w:r>
      <w:proofErr w:type="spellEnd"/>
      <w:r>
        <w:rPr>
          <w:rFonts w:ascii="Arial" w:hAnsi="Arial" w:cs="Arial"/>
        </w:rPr>
        <w:t xml:space="preserve"> (K+R), </w:t>
      </w:r>
      <w:proofErr w:type="spellStart"/>
      <w:r>
        <w:rPr>
          <w:rFonts w:ascii="Arial" w:hAnsi="Arial" w:cs="Arial"/>
        </w:rPr>
        <w:t>Bike</w:t>
      </w:r>
      <w:proofErr w:type="spellEnd"/>
      <w:r>
        <w:rPr>
          <w:rFonts w:ascii="Arial" w:hAnsi="Arial" w:cs="Arial"/>
        </w:rPr>
        <w:t xml:space="preserve"> &amp; </w:t>
      </w:r>
      <w:proofErr w:type="spellStart"/>
      <w:r>
        <w:rPr>
          <w:rFonts w:ascii="Arial" w:hAnsi="Arial" w:cs="Arial"/>
        </w:rPr>
        <w:t>Ride</w:t>
      </w:r>
      <w:proofErr w:type="spellEnd"/>
      <w:r>
        <w:rPr>
          <w:rFonts w:ascii="Arial" w:hAnsi="Arial" w:cs="Arial"/>
        </w:rPr>
        <w:t xml:space="preserve"> (B+R)</w:t>
      </w:r>
      <w:r>
        <w:rPr>
          <w:rStyle w:val="Odkaznapoznmkupodiarou"/>
          <w:rFonts w:ascii="Arial" w:hAnsi="Arial" w:cs="Arial"/>
        </w:rPr>
        <w:footnoteReference w:id="41"/>
      </w:r>
      <w:r>
        <w:rPr>
          <w:rFonts w:ascii="Arial" w:hAnsi="Arial" w:cs="Arial"/>
        </w:rPr>
        <w:t>;</w:t>
      </w:r>
    </w:p>
    <w:p>
      <w:pPr>
        <w:pStyle w:val="Odsekzoznamu"/>
        <w:numPr>
          <w:ilvl w:val="0"/>
          <w:numId w:val="41"/>
        </w:numPr>
        <w:tabs>
          <w:tab w:val="left" w:pos="709"/>
        </w:tabs>
        <w:jc w:val="both"/>
        <w:rPr>
          <w:rFonts w:ascii="Arial" w:hAnsi="Arial" w:cs="Arial"/>
        </w:rPr>
      </w:pPr>
      <w:r>
        <w:rPr>
          <w:rFonts w:ascii="Arial" w:hAnsi="Arial" w:cs="Arial"/>
        </w:rPr>
        <w:lastRenderedPageBreak/>
        <w:t>zavádzanie opatrení preferencie verejnej osobnej dopravy;</w:t>
      </w:r>
    </w:p>
    <w:p>
      <w:pPr>
        <w:pStyle w:val="Odsekzoznamu"/>
        <w:numPr>
          <w:ilvl w:val="0"/>
          <w:numId w:val="41"/>
        </w:numPr>
        <w:tabs>
          <w:tab w:val="left" w:pos="709"/>
        </w:tabs>
        <w:jc w:val="both"/>
        <w:rPr>
          <w:rFonts w:ascii="Arial" w:hAnsi="Arial" w:cs="Arial"/>
        </w:rPr>
      </w:pPr>
      <w:r>
        <w:rPr>
          <w:rFonts w:ascii="Arial" w:hAnsi="Arial" w:cs="Arial"/>
        </w:rPr>
        <w:t xml:space="preserve">modernizácia existujúcich a zavádzanie nových integrovaných dopravných systémov  - technická podpora softvérového zabezpečenia (napr. tarifné a informačné systémy, dispečerské systémy) ako aj hardvérového vybavenia (označovače lístkov, predajné automaty, </w:t>
      </w:r>
      <w:proofErr w:type="spellStart"/>
      <w:r>
        <w:rPr>
          <w:rFonts w:ascii="Arial" w:hAnsi="Arial" w:cs="Arial"/>
        </w:rPr>
        <w:t>zastávkové</w:t>
      </w:r>
      <w:proofErr w:type="spellEnd"/>
      <w:r>
        <w:rPr>
          <w:rFonts w:ascii="Arial" w:hAnsi="Arial" w:cs="Arial"/>
        </w:rPr>
        <w:t xml:space="preserve"> informačné systémy a pod.);</w:t>
      </w:r>
    </w:p>
    <w:p>
      <w:pPr>
        <w:pStyle w:val="Odsekzoznamu"/>
        <w:numPr>
          <w:ilvl w:val="0"/>
          <w:numId w:val="41"/>
        </w:numPr>
        <w:tabs>
          <w:tab w:val="left" w:pos="709"/>
        </w:tabs>
        <w:jc w:val="both"/>
        <w:rPr>
          <w:rFonts w:ascii="Arial" w:hAnsi="Arial" w:cs="Arial"/>
        </w:rPr>
      </w:pPr>
      <w:r>
        <w:rPr>
          <w:rFonts w:ascii="Arial" w:hAnsi="Arial" w:cs="Arial"/>
        </w:rPr>
        <w:t>zavádzanie doplnkových služieb verejnej osobnej dopravy (napr. preprava bicyklov, lyží, internetové pripojenie a pod.);</w:t>
      </w:r>
    </w:p>
    <w:p>
      <w:pPr>
        <w:pStyle w:val="Odsekzoznamu"/>
        <w:numPr>
          <w:ilvl w:val="0"/>
          <w:numId w:val="41"/>
        </w:numPr>
        <w:tabs>
          <w:tab w:val="left" w:pos="709"/>
        </w:tabs>
        <w:jc w:val="both"/>
        <w:rPr>
          <w:rFonts w:ascii="Arial" w:hAnsi="Arial" w:cs="Arial"/>
        </w:rPr>
      </w:pPr>
      <w:r>
        <w:rPr>
          <w:rFonts w:ascii="Arial" w:hAnsi="Arial" w:cs="Arial"/>
        </w:rPr>
        <w:t>podpora informovanosti verejnosti s cieľom zvyšovania atraktivity verejnej osobnej dopravy (napr. webové portály a mobilné aplikácie).</w:t>
      </w:r>
    </w:p>
    <w:p>
      <w:pPr>
        <w:jc w:val="both"/>
        <w:rPr>
          <w:rFonts w:ascii="Arial" w:hAnsi="Arial" w:cs="Arial"/>
        </w:rPr>
      </w:pPr>
      <w:r>
        <w:rPr>
          <w:rFonts w:ascii="Arial" w:hAnsi="Arial" w:cs="Arial"/>
        </w:rPr>
        <w:t xml:space="preserve">V procese tvorby stratégií pre VOD bude potrebné zabezpečiť vypracovanie základných strategických dokumentov na mestskej a regionálnej úrovni: </w:t>
      </w:r>
    </w:p>
    <w:p>
      <w:pPr>
        <w:pStyle w:val="Odsekzoznamu"/>
        <w:numPr>
          <w:ilvl w:val="0"/>
          <w:numId w:val="2"/>
        </w:numPr>
        <w:tabs>
          <w:tab w:val="clear" w:pos="360"/>
          <w:tab w:val="num" w:pos="720"/>
        </w:tabs>
        <w:ind w:left="720"/>
        <w:jc w:val="both"/>
        <w:rPr>
          <w:rFonts w:ascii="Arial" w:hAnsi="Arial" w:cs="Arial"/>
        </w:rPr>
      </w:pPr>
      <w:r>
        <w:rPr>
          <w:rFonts w:ascii="Arial" w:hAnsi="Arial" w:cs="Arial"/>
          <w:b/>
        </w:rPr>
        <w:t>plánu udržateľnej mestskej mobility</w:t>
      </w:r>
      <w:r>
        <w:rPr>
          <w:rFonts w:ascii="Arial" w:hAnsi="Arial" w:cs="Arial"/>
        </w:rPr>
        <w:t>, ktorý predstavuje strategický plán navrhnutý pre uspokojovanie mobilných potrieb ľudí a podnikateľov v obciach a mestách a pre zvýšenie kvality ich života</w:t>
      </w:r>
      <w:r>
        <w:rPr>
          <w:rStyle w:val="Odkaznapoznmkupodiarou"/>
          <w:rFonts w:ascii="Arial" w:hAnsi="Arial" w:cs="Arial"/>
        </w:rPr>
        <w:footnoteReference w:id="42"/>
      </w:r>
      <w:r>
        <w:rPr>
          <w:rFonts w:ascii="Arial" w:hAnsi="Arial" w:cs="Arial"/>
        </w:rPr>
        <w:t>,</w:t>
      </w:r>
    </w:p>
    <w:p>
      <w:pPr>
        <w:pStyle w:val="Odsekzoznamu"/>
        <w:numPr>
          <w:ilvl w:val="0"/>
          <w:numId w:val="2"/>
        </w:numPr>
        <w:tabs>
          <w:tab w:val="clear" w:pos="360"/>
          <w:tab w:val="num" w:pos="720"/>
        </w:tabs>
        <w:ind w:left="720"/>
        <w:jc w:val="both"/>
        <w:rPr>
          <w:rFonts w:ascii="Arial" w:hAnsi="Arial" w:cs="Arial"/>
        </w:rPr>
      </w:pPr>
      <w:r>
        <w:rPr>
          <w:rFonts w:ascii="Arial" w:hAnsi="Arial" w:cs="Arial"/>
          <w:b/>
        </w:rPr>
        <w:t>plánu dopravnej obsluhy regiónu s dopravnou a tarifnou integráciou všetkých subsystémov mestskej a regionálnej verejnej osobnej dopravy</w:t>
      </w:r>
      <w:r>
        <w:rPr>
          <w:rFonts w:ascii="Arial" w:hAnsi="Arial" w:cs="Arial"/>
        </w:rPr>
        <w:t>, ktorý predstavuje návrh efektívnej dopravnej technológie verejnej osobnej dopravy so zohľadnením štandardov kvality a dopravnej obsluhy a faktorov vplývajúcich na dopyt po preprave a prepravnú ponuku.</w:t>
      </w:r>
    </w:p>
    <w:p>
      <w:pPr>
        <w:jc w:val="both"/>
        <w:rPr>
          <w:rFonts w:ascii="Arial" w:hAnsi="Arial" w:cs="Arial"/>
        </w:rPr>
      </w:pPr>
      <w:r>
        <w:rPr>
          <w:rFonts w:ascii="Arial" w:hAnsi="Arial" w:cs="Arial"/>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Spektrum aktivít v IROP bude zamerané na budovanie infraštruktúry mestskej a prímestskej dopravy (zastávky, prestupné terminály, záchytné parkoviská, a pod.), nákup environmentálnych autobusov pre mestskú aj prímestskú dopravu v rámci integrovaných dopravných systémov a podporu zavádzania jednotných tarifných systémov. V rámci OP II bude podporovaná obnova mobilného parku pre mestskú dráhovú dopravu, t. j. nákup električiek a trolejbusov, rekonštrukcia električkových tratí v Bratislave a Košiciach, výstavba (rozširovanie) trolejbusových tratí, výstavba a modernizácia infraštruktúry pre integrované dopravné systémy, obnova mobilných prostriedkov zabezpečujúcich železničnú osobnú prímestskú a regionálnu dopravu, výstavba prestupných terminálov  osobnej dopravy v nadväznosti na dráhovú dopravu, výstavba veľkokapacitných záchytných parkovísk s väzbou na dráhovú verejnú osobnú dopravu. Obnova vozidlového parku pre MHD bude prostredníctvom OP II nasmerovaná do miest Bratislava, Košice, Prešov, Žilina a Banská Bystrica. </w:t>
      </w:r>
    </w:p>
    <w:p>
      <w:pPr>
        <w:jc w:val="both"/>
        <w:rPr>
          <w:rFonts w:ascii="Arial" w:hAnsi="Arial" w:cs="Arial"/>
        </w:rPr>
      </w:pPr>
      <w:r>
        <w:rPr>
          <w:rFonts w:ascii="Arial" w:hAnsi="Arial" w:cs="Arial"/>
        </w:rPr>
        <w:lastRenderedPageBreak/>
        <w:t xml:space="preserve">Oprávnení prijímatelia: </w:t>
      </w:r>
    </w:p>
    <w:p>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široká verejnosť.</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jc w:val="both"/>
        <w:rPr>
          <w:rFonts w:ascii="Arial" w:hAnsi="Arial" w:cs="Arial"/>
          <w:b/>
        </w:rPr>
      </w:pPr>
      <w:r>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pPr>
        <w:jc w:val="both"/>
        <w:rPr>
          <w:rFonts w:ascii="Arial" w:hAnsi="Arial" w:cs="Arial"/>
          <w:b/>
        </w:rPr>
      </w:pPr>
    </w:p>
    <w:p>
      <w:pPr>
        <w:jc w:val="both"/>
        <w:rPr>
          <w:rFonts w:ascii="Arial" w:hAnsi="Arial" w:cs="Arial"/>
        </w:rPr>
      </w:pPr>
      <w:r>
        <w:rPr>
          <w:rFonts w:ascii="Arial" w:hAnsi="Arial" w:cs="Arial"/>
          <w:b/>
        </w:rPr>
        <w:t>Špecifický cieľ č. 1.2.2</w:t>
      </w:r>
      <w:r>
        <w:rPr>
          <w:rFonts w:ascii="Arial" w:hAnsi="Arial" w:cs="Arial"/>
        </w:rPr>
        <w:t xml:space="preserve"> sa dosiahne realizáciou nasledovných aktivít:</w:t>
      </w:r>
    </w:p>
    <w:p>
      <w:pPr>
        <w:pStyle w:val="Odsekzoznamu"/>
        <w:numPr>
          <w:ilvl w:val="0"/>
          <w:numId w:val="2"/>
        </w:numPr>
        <w:tabs>
          <w:tab w:val="clear" w:pos="360"/>
          <w:tab w:val="num" w:pos="709"/>
        </w:tabs>
        <w:ind w:left="709"/>
        <w:jc w:val="both"/>
        <w:rPr>
          <w:rFonts w:ascii="Arial" w:hAnsi="Arial" w:cs="Arial"/>
        </w:rPr>
      </w:pPr>
      <w:r>
        <w:rPr>
          <w:rFonts w:ascii="Arial" w:hAnsi="Arial" w:cs="Arial"/>
        </w:rPr>
        <w:t>spracovanie strategických dokumentov a územnoplánovacích podkladov;</w:t>
      </w:r>
    </w:p>
    <w:p>
      <w:pPr>
        <w:pStyle w:val="Odsekzoznamu"/>
        <w:numPr>
          <w:ilvl w:val="0"/>
          <w:numId w:val="2"/>
        </w:numPr>
        <w:tabs>
          <w:tab w:val="clear" w:pos="360"/>
          <w:tab w:val="num" w:pos="709"/>
        </w:tabs>
        <w:ind w:left="709"/>
        <w:jc w:val="both"/>
        <w:rPr>
          <w:rFonts w:ascii="Arial" w:hAnsi="Arial" w:cs="Arial"/>
        </w:rPr>
      </w:pPr>
      <w:r>
        <w:rPr>
          <w:rFonts w:ascii="Arial" w:hAnsi="Arial" w:cs="Arial"/>
        </w:rPr>
        <w:t>budovanie cyklistickej infraštruktúry (</w:t>
      </w:r>
      <w:proofErr w:type="spellStart"/>
      <w:r>
        <w:rPr>
          <w:rFonts w:ascii="Arial" w:hAnsi="Arial" w:cs="Arial"/>
        </w:rPr>
        <w:t>cyklodopravné</w:t>
      </w:r>
      <w:proofErr w:type="spellEnd"/>
      <w:r>
        <w:rPr>
          <w:rFonts w:ascii="Arial" w:hAnsi="Arial" w:cs="Arial"/>
        </w:rPr>
        <w:t xml:space="preserve"> účely): </w:t>
      </w:r>
    </w:p>
    <w:p>
      <w:pPr>
        <w:pStyle w:val="Odsekzoznamu"/>
        <w:numPr>
          <w:ilvl w:val="1"/>
          <w:numId w:val="2"/>
        </w:numPr>
        <w:tabs>
          <w:tab w:val="clear" w:pos="1080"/>
          <w:tab w:val="left" w:pos="709"/>
          <w:tab w:val="num" w:pos="1276"/>
        </w:tabs>
        <w:ind w:left="1276"/>
        <w:jc w:val="both"/>
        <w:rPr>
          <w:rFonts w:ascii="Arial" w:hAnsi="Arial" w:cs="Arial"/>
        </w:rPr>
      </w:pPr>
      <w:r>
        <w:rPr>
          <w:rFonts w:ascii="Arial" w:hAnsi="Arial" w:cs="Arial"/>
        </w:rPr>
        <w:t xml:space="preserve">komunikácie - obnova a rekonštrukcia už existujúcich cyklistických komunikácií, budovanie nových cyklistických komunikácií, </w:t>
      </w:r>
      <w:proofErr w:type="spellStart"/>
      <w:r>
        <w:rPr>
          <w:rFonts w:ascii="Arial" w:hAnsi="Arial" w:cs="Arial"/>
        </w:rPr>
        <w:t>cyklokoridorov</w:t>
      </w:r>
      <w:proofErr w:type="spellEnd"/>
      <w:r>
        <w:rPr>
          <w:rFonts w:ascii="Arial" w:hAnsi="Arial" w:cs="Arial"/>
        </w:rPr>
        <w:t xml:space="preserve"> na existujúcich miestnych komunikáciách, </w:t>
      </w:r>
    </w:p>
    <w:p>
      <w:pPr>
        <w:pStyle w:val="Odsekzoznamu"/>
        <w:numPr>
          <w:ilvl w:val="1"/>
          <w:numId w:val="2"/>
        </w:numPr>
        <w:tabs>
          <w:tab w:val="clear" w:pos="1080"/>
          <w:tab w:val="left" w:pos="709"/>
          <w:tab w:val="num" w:pos="1276"/>
        </w:tabs>
        <w:ind w:left="1276"/>
        <w:jc w:val="both"/>
        <w:rPr>
          <w:rFonts w:ascii="Arial" w:hAnsi="Arial" w:cs="Arial"/>
        </w:rPr>
      </w:pPr>
      <w:r>
        <w:rPr>
          <w:rFonts w:ascii="Arial" w:hAnsi="Arial" w:cs="Arial"/>
        </w:rPr>
        <w:t xml:space="preserve">doplnková infraštruktúra (napr. chránené parkoviská pre bicykle, </w:t>
      </w:r>
      <w:proofErr w:type="spellStart"/>
      <w:r>
        <w:rPr>
          <w:rFonts w:ascii="Arial" w:hAnsi="Arial" w:cs="Arial"/>
        </w:rPr>
        <w:t>cyklostojany</w:t>
      </w:r>
      <w:proofErr w:type="spellEnd"/>
      <w:r>
        <w:rPr>
          <w:rFonts w:ascii="Arial" w:hAnsi="Arial" w:cs="Arial"/>
        </w:rPr>
        <w:t xml:space="preserve">, nabíjacie stanice pre </w:t>
      </w:r>
      <w:proofErr w:type="spellStart"/>
      <w:r>
        <w:rPr>
          <w:rFonts w:ascii="Arial" w:hAnsi="Arial" w:cs="Arial"/>
        </w:rPr>
        <w:t>elektrobicykle</w:t>
      </w:r>
      <w:proofErr w:type="spellEnd"/>
      <w:r>
        <w:rPr>
          <w:rFonts w:ascii="Arial" w:hAnsi="Arial" w:cs="Arial"/>
        </w:rPr>
        <w:t>, systémy automatickej požičovne bicyklov a pod.);</w:t>
      </w:r>
    </w:p>
    <w:p>
      <w:pPr>
        <w:pStyle w:val="Odsekzoznamu"/>
        <w:numPr>
          <w:ilvl w:val="0"/>
          <w:numId w:val="2"/>
        </w:numPr>
        <w:tabs>
          <w:tab w:val="clear" w:pos="360"/>
          <w:tab w:val="num" w:pos="709"/>
        </w:tabs>
        <w:ind w:left="709"/>
        <w:jc w:val="both"/>
        <w:rPr>
          <w:rFonts w:ascii="Arial" w:hAnsi="Arial" w:cs="Arial"/>
        </w:rPr>
      </w:pPr>
      <w:r>
        <w:rPr>
          <w:rFonts w:ascii="Arial" w:hAnsi="Arial" w:cs="Arial"/>
        </w:rPr>
        <w:t xml:space="preserve">budovanie prvkov upokojovania dopravy (pešie zóny, </w:t>
      </w:r>
      <w:proofErr w:type="spellStart"/>
      <w:r>
        <w:rPr>
          <w:rFonts w:ascii="Arial" w:hAnsi="Arial" w:cs="Arial"/>
        </w:rPr>
        <w:t>shared</w:t>
      </w:r>
      <w:proofErr w:type="spellEnd"/>
      <w:r>
        <w:rPr>
          <w:rFonts w:ascii="Arial" w:hAnsi="Arial" w:cs="Arial"/>
        </w:rPr>
        <w:t xml:space="preserve"> </w:t>
      </w:r>
      <w:proofErr w:type="spellStart"/>
      <w:r>
        <w:rPr>
          <w:rFonts w:ascii="Arial" w:hAnsi="Arial" w:cs="Arial"/>
        </w:rPr>
        <w:t>space</w:t>
      </w:r>
      <w:proofErr w:type="spellEnd"/>
      <w:r>
        <w:footnoteReference w:id="43"/>
      </w:r>
      <w:r>
        <w:rPr>
          <w:rFonts w:ascii="Arial" w:hAnsi="Arial" w:cs="Arial"/>
        </w:rPr>
        <w:t>, vylúčenie dopravy z ulíc okrem mestskej hromadnej dopravy a cyklistov, a pod.);</w:t>
      </w:r>
    </w:p>
    <w:p>
      <w:pPr>
        <w:pStyle w:val="Odsekzoznamu"/>
        <w:numPr>
          <w:ilvl w:val="0"/>
          <w:numId w:val="2"/>
        </w:numPr>
        <w:tabs>
          <w:tab w:val="clear" w:pos="360"/>
          <w:tab w:val="num" w:pos="709"/>
        </w:tabs>
        <w:ind w:left="709"/>
        <w:jc w:val="both"/>
        <w:rPr>
          <w:rFonts w:ascii="Arial" w:hAnsi="Arial" w:cs="Arial"/>
        </w:rPr>
      </w:pPr>
      <w:r>
        <w:rPr>
          <w:rFonts w:ascii="Arial" w:hAnsi="Arial" w:cs="Arial"/>
        </w:rPr>
        <w:t>revitalizácia verejných priestorov s cieľom uprednostnenia verejnej osobnej dopravy a nemotorovej dopravy v kontexte komplexnosti poskytovaných dopravných služieb a väzieb na funkcie územia;</w:t>
      </w:r>
    </w:p>
    <w:p>
      <w:pPr>
        <w:pStyle w:val="Odsekzoznamu"/>
        <w:numPr>
          <w:ilvl w:val="0"/>
          <w:numId w:val="2"/>
        </w:numPr>
        <w:tabs>
          <w:tab w:val="clear" w:pos="360"/>
          <w:tab w:val="num" w:pos="709"/>
        </w:tabs>
        <w:ind w:left="709"/>
        <w:jc w:val="both"/>
        <w:rPr>
          <w:rFonts w:ascii="Arial" w:hAnsi="Arial" w:cs="Arial"/>
        </w:rPr>
      </w:pPr>
      <w:r>
        <w:rPr>
          <w:rFonts w:ascii="Arial" w:hAnsi="Arial" w:cs="Arial"/>
        </w:rPr>
        <w:t>zvyšovanie bezpečnosti zraniteľných účastníkov cestnej premávky, odstraňovanie úzkych miest v pešej doprave, odstraňovanie bariér pri prestupovaní, a pod.;</w:t>
      </w:r>
    </w:p>
    <w:p>
      <w:pPr>
        <w:pStyle w:val="Odsekzoznamu"/>
        <w:numPr>
          <w:ilvl w:val="0"/>
          <w:numId w:val="2"/>
        </w:numPr>
        <w:tabs>
          <w:tab w:val="clear" w:pos="360"/>
          <w:tab w:val="num" w:pos="709"/>
        </w:tabs>
        <w:ind w:left="709"/>
        <w:jc w:val="both"/>
        <w:rPr>
          <w:rFonts w:ascii="Arial" w:hAnsi="Arial" w:cs="Arial"/>
        </w:rPr>
      </w:pPr>
      <w:r>
        <w:rPr>
          <w:rFonts w:ascii="Arial" w:hAnsi="Arial" w:cs="Arial"/>
        </w:rPr>
        <w:t>propagácia a zvyšovanie atraktivity cyklistickej dopravy vo verejnosti.</w:t>
      </w:r>
    </w:p>
    <w:p>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pPr>
        <w:jc w:val="both"/>
        <w:rPr>
          <w:rFonts w:ascii="Arial" w:hAnsi="Arial" w:cs="Arial"/>
        </w:rPr>
      </w:pPr>
    </w:p>
    <w:p>
      <w:pPr>
        <w:jc w:val="both"/>
        <w:rPr>
          <w:rFonts w:ascii="Arial" w:hAnsi="Arial" w:cs="Arial"/>
        </w:rPr>
      </w:pPr>
      <w:r>
        <w:rPr>
          <w:rFonts w:ascii="Arial" w:hAnsi="Arial" w:cs="Arial"/>
        </w:rPr>
        <w:lastRenderedPageBreak/>
        <w:t xml:space="preserve">Oprávnení prijímatelia: </w:t>
      </w:r>
    </w:p>
    <w:p>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široká verejnosť.</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celé územie SR.</w:t>
      </w:r>
    </w:p>
    <w:p>
      <w:pPr>
        <w:jc w:val="both"/>
        <w:rPr>
          <w:rFonts w:ascii="Arial" w:hAnsi="Arial" w:cs="Arial"/>
        </w:rPr>
      </w:pPr>
      <w:r>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pPr>
        <w:pStyle w:val="Nadpis6"/>
        <w:rPr>
          <w:rFonts w:ascii="Arial" w:hAnsi="Arial" w:cs="Arial"/>
        </w:rPr>
      </w:pPr>
      <w:bookmarkStart w:id="18" w:name="_Toc387651799"/>
      <w:r>
        <w:rPr>
          <w:rFonts w:ascii="Arial" w:hAnsi="Arial" w:cs="Arial"/>
        </w:rPr>
        <w:t>2.1.2.2. Hlavné zásady výberu operácií</w:t>
      </w:r>
      <w:bookmarkEnd w:id="18"/>
    </w:p>
    <w:p>
      <w:pPr>
        <w:spacing w:line="240" w:lineRule="auto"/>
        <w:jc w:val="both"/>
        <w:rPr>
          <w:rFonts w:ascii="Arial" w:hAnsi="Arial" w:cs="Arial"/>
        </w:rPr>
      </w:pPr>
    </w:p>
    <w:p>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investičnej priority 1.2.</w:t>
      </w:r>
      <w:r>
        <w:rPr>
          <w:rFonts w:ascii="Arial" w:hAnsi="Arial" w:cs="Arial"/>
        </w:rPr>
        <w:t xml:space="preserve"> a dosiahnutie stanovených výsledkov navrhované operácie/projekty rešpektujú nasledovné princípy:</w:t>
      </w:r>
    </w:p>
    <w:p>
      <w:pPr>
        <w:pStyle w:val="Odsekzoznamu"/>
        <w:numPr>
          <w:ilvl w:val="0"/>
          <w:numId w:val="71"/>
        </w:numPr>
        <w:jc w:val="both"/>
        <w:rPr>
          <w:rFonts w:ascii="Arial" w:hAnsi="Arial" w:cs="Arial"/>
        </w:rPr>
      </w:pPr>
      <w:r>
        <w:rPr>
          <w:rFonts w:ascii="Arial" w:hAnsi="Arial" w:cs="Arial"/>
        </w:rPr>
        <w:t>financovanie infraštruktúry pre regionálnu VOD je možné len pre plne funkčné integrované dopravné systémy , ktoré sú v súlade s Bielou knihou o doprave EK,</w:t>
      </w:r>
    </w:p>
    <w:p>
      <w:pPr>
        <w:pStyle w:val="Odsekzoznamu"/>
        <w:numPr>
          <w:ilvl w:val="0"/>
          <w:numId w:val="71"/>
        </w:numPr>
        <w:jc w:val="both"/>
        <w:rPr>
          <w:rFonts w:ascii="Arial" w:hAnsi="Arial" w:cs="Arial"/>
        </w:rPr>
      </w:pPr>
      <w:r>
        <w:rPr>
          <w:rFonts w:ascii="Arial" w:hAnsi="Arial" w:cs="Arial"/>
        </w:rPr>
        <w:t>opatrenia v rámci investičnej priority do regionálnej VOD sú podmienené existenciou plánu dopravnej obsluhy regiónu, v prípade mestskej VOD vypracovaním plánu udržateľnej mestskej mobility,</w:t>
      </w:r>
    </w:p>
    <w:p>
      <w:pPr>
        <w:pStyle w:val="Odsekzoznamu"/>
        <w:numPr>
          <w:ilvl w:val="0"/>
          <w:numId w:val="71"/>
        </w:numPr>
        <w:jc w:val="both"/>
        <w:rPr>
          <w:rFonts w:ascii="Arial" w:hAnsi="Arial" w:cs="Arial"/>
        </w:rPr>
      </w:pPr>
      <w:r>
        <w:rPr>
          <w:rFonts w:ascii="Arial" w:hAnsi="Arial" w:cs="Arial"/>
        </w:rPr>
        <w:t xml:space="preserve">projekt prispieva k zvýšeniu  bezpečnosti, </w:t>
      </w:r>
    </w:p>
    <w:p>
      <w:pPr>
        <w:pStyle w:val="Odsekzoznamu"/>
        <w:numPr>
          <w:ilvl w:val="0"/>
          <w:numId w:val="71"/>
        </w:numPr>
        <w:jc w:val="both"/>
        <w:rPr>
          <w:rFonts w:ascii="Arial" w:hAnsi="Arial" w:cs="Arial"/>
        </w:rPr>
      </w:pPr>
      <w:r>
        <w:rPr>
          <w:rFonts w:ascii="Arial" w:hAnsi="Arial" w:cs="Arial"/>
        </w:rPr>
        <w:t xml:space="preserve">projekt obsahuje prvky pre elimináciu negatívnych vplyvov dopravy na životné prostredie s dôrazom na chránené územia a územia NATURA 2000, </w:t>
      </w:r>
    </w:p>
    <w:p>
      <w:pPr>
        <w:pStyle w:val="Odsekzoznamu"/>
        <w:numPr>
          <w:ilvl w:val="0"/>
          <w:numId w:val="71"/>
        </w:numPr>
        <w:jc w:val="both"/>
        <w:rPr>
          <w:rFonts w:ascii="Arial" w:hAnsi="Arial" w:cs="Arial"/>
        </w:rPr>
      </w:pPr>
      <w:r>
        <w:rPr>
          <w:rFonts w:ascii="Arial" w:hAnsi="Arial" w:cs="Arial"/>
        </w:rPr>
        <w:t>projekt je výsledkom analýzy dopytu, posúdenia variant a analýzy nákladov a prínosov, projekt prispieva k zvýšeniu kvality verejnej osobnej dopravy,</w:t>
      </w:r>
    </w:p>
    <w:p>
      <w:pPr>
        <w:pStyle w:val="Odsekzoznamu"/>
        <w:numPr>
          <w:ilvl w:val="0"/>
          <w:numId w:val="71"/>
        </w:numPr>
        <w:jc w:val="both"/>
        <w:rPr>
          <w:rFonts w:ascii="Arial" w:hAnsi="Arial" w:cs="Arial"/>
        </w:rPr>
      </w:pPr>
      <w:r>
        <w:rPr>
          <w:rFonts w:ascii="Arial" w:hAnsi="Arial" w:cs="Arial"/>
        </w:rPr>
        <w:t xml:space="preserve">projekt znižuje prevádzkové náklady verejnej dopravy, </w:t>
      </w:r>
    </w:p>
    <w:p>
      <w:pPr>
        <w:pStyle w:val="Odsekzoznamu"/>
        <w:numPr>
          <w:ilvl w:val="0"/>
          <w:numId w:val="71"/>
        </w:numPr>
        <w:jc w:val="both"/>
        <w:rPr>
          <w:rFonts w:ascii="Arial" w:hAnsi="Arial" w:cs="Arial"/>
        </w:rPr>
      </w:pPr>
      <w:r>
        <w:rPr>
          <w:rFonts w:ascii="Arial" w:hAnsi="Arial" w:cs="Arial"/>
        </w:rPr>
        <w:t xml:space="preserve">projekt prispieva k integrácii a previazanosti služieb vo verejnej doprave, </w:t>
      </w:r>
    </w:p>
    <w:p>
      <w:pPr>
        <w:pStyle w:val="Odsekzoznamu"/>
        <w:numPr>
          <w:ilvl w:val="0"/>
          <w:numId w:val="71"/>
        </w:numPr>
        <w:jc w:val="both"/>
        <w:rPr>
          <w:rFonts w:ascii="Arial" w:hAnsi="Arial" w:cs="Arial"/>
        </w:rPr>
      </w:pPr>
      <w:r>
        <w:rPr>
          <w:rFonts w:ascii="Arial" w:hAnsi="Arial" w:cs="Arial"/>
        </w:rPr>
        <w:t xml:space="preserve">projekt využíva moderné IKT vo väzbe na potreby cestujúcich, </w:t>
      </w:r>
    </w:p>
    <w:p>
      <w:pPr>
        <w:pStyle w:val="Odsekzoznamu"/>
        <w:numPr>
          <w:ilvl w:val="0"/>
          <w:numId w:val="71"/>
        </w:numPr>
        <w:jc w:val="both"/>
        <w:rPr>
          <w:rFonts w:ascii="Arial" w:hAnsi="Arial" w:cs="Arial"/>
        </w:rPr>
      </w:pPr>
      <w:r>
        <w:rPr>
          <w:rFonts w:ascii="Arial" w:hAnsi="Arial" w:cs="Arial"/>
        </w:rPr>
        <w:t xml:space="preserve">projekt prispieva k rozvoju </w:t>
      </w:r>
      <w:proofErr w:type="spellStart"/>
      <w:r>
        <w:rPr>
          <w:rFonts w:ascii="Arial" w:hAnsi="Arial" w:cs="Arial"/>
        </w:rPr>
        <w:t>multimodality</w:t>
      </w:r>
      <w:proofErr w:type="spellEnd"/>
      <w:r>
        <w:rPr>
          <w:rFonts w:ascii="Arial" w:hAnsi="Arial" w:cs="Arial"/>
        </w:rPr>
        <w:t xml:space="preserve"> v osobnej doprave, </w:t>
      </w:r>
    </w:p>
    <w:p>
      <w:pPr>
        <w:pStyle w:val="Odsekzoznamu"/>
        <w:numPr>
          <w:ilvl w:val="0"/>
          <w:numId w:val="71"/>
        </w:numPr>
        <w:jc w:val="both"/>
        <w:rPr>
          <w:rFonts w:ascii="Arial" w:hAnsi="Arial" w:cs="Arial"/>
        </w:rPr>
      </w:pPr>
      <w:r>
        <w:rPr>
          <w:rFonts w:ascii="Arial" w:hAnsi="Arial" w:cs="Arial"/>
        </w:rPr>
        <w:t xml:space="preserve">projekt reaguje na potreby osôb so špecifickými potrebami, </w:t>
      </w:r>
    </w:p>
    <w:p>
      <w:pPr>
        <w:pStyle w:val="Odsekzoznamu"/>
        <w:numPr>
          <w:ilvl w:val="0"/>
          <w:numId w:val="71"/>
        </w:numPr>
        <w:jc w:val="both"/>
        <w:rPr>
          <w:rFonts w:ascii="Arial" w:hAnsi="Arial" w:cs="Arial"/>
        </w:rPr>
      </w:pPr>
      <w:r>
        <w:rPr>
          <w:rFonts w:ascii="Arial" w:hAnsi="Arial" w:cs="Arial"/>
        </w:rPr>
        <w:t xml:space="preserve">projekt prispieva k zvýšeniu bezpečnosti zraniteľných účastníkov cestnej premávky, </w:t>
      </w:r>
    </w:p>
    <w:p>
      <w:pPr>
        <w:pStyle w:val="Odsekzoznamu"/>
        <w:numPr>
          <w:ilvl w:val="0"/>
          <w:numId w:val="71"/>
        </w:numPr>
        <w:jc w:val="both"/>
        <w:rPr>
          <w:rFonts w:ascii="Arial" w:hAnsi="Arial" w:cs="Arial"/>
        </w:rPr>
      </w:pPr>
      <w:r>
        <w:rPr>
          <w:rFonts w:ascii="Arial" w:hAnsi="Arial" w:cs="Arial"/>
        </w:rPr>
        <w:t xml:space="preserve">projekt prispieva  k segregácii cestnej dopravy  a </w:t>
      </w:r>
      <w:proofErr w:type="spellStart"/>
      <w:r>
        <w:rPr>
          <w:rFonts w:ascii="Arial" w:hAnsi="Arial" w:cs="Arial"/>
        </w:rPr>
        <w:t>cyklodopravy</w:t>
      </w:r>
      <w:proofErr w:type="spellEnd"/>
      <w:r>
        <w:rPr>
          <w:rFonts w:ascii="Arial" w:hAnsi="Arial" w:cs="Arial"/>
        </w:rPr>
        <w:t>,</w:t>
      </w:r>
    </w:p>
    <w:p>
      <w:pPr>
        <w:pStyle w:val="Odsekzoznamu"/>
        <w:numPr>
          <w:ilvl w:val="0"/>
          <w:numId w:val="71"/>
        </w:numPr>
        <w:jc w:val="both"/>
        <w:rPr>
          <w:rFonts w:ascii="Arial" w:hAnsi="Arial" w:cs="Arial"/>
        </w:rPr>
      </w:pPr>
      <w:r>
        <w:rPr>
          <w:rFonts w:ascii="Arial" w:hAnsi="Arial" w:cs="Arial"/>
        </w:rPr>
        <w:t xml:space="preserve">pre projekty preukazujúce </w:t>
      </w:r>
      <w:proofErr w:type="spellStart"/>
      <w:r>
        <w:rPr>
          <w:rFonts w:ascii="Arial" w:hAnsi="Arial" w:cs="Arial"/>
        </w:rPr>
        <w:t>napojenosť</w:t>
      </w:r>
      <w:proofErr w:type="spellEnd"/>
      <w:r>
        <w:rPr>
          <w:rFonts w:ascii="Arial" w:hAnsi="Arial" w:cs="Arial"/>
        </w:rPr>
        <w:t xml:space="preserve"> cyklistickej infraštruktúry na verejnú osobnú dopravu bude platiť efektívna bonifikácia, </w:t>
      </w:r>
    </w:p>
    <w:p>
      <w:pPr>
        <w:pStyle w:val="Odsekzoznamu"/>
        <w:numPr>
          <w:ilvl w:val="0"/>
          <w:numId w:val="71"/>
        </w:numPr>
        <w:jc w:val="both"/>
        <w:rPr>
          <w:rFonts w:ascii="Arial" w:hAnsi="Arial" w:cs="Arial"/>
        </w:rPr>
      </w:pPr>
      <w:r>
        <w:rPr>
          <w:rFonts w:ascii="Arial" w:hAnsi="Arial" w:cs="Arial"/>
        </w:rPr>
        <w:t xml:space="preserve">nové prestupné terminály a integrované zastávky nadväzujú na projekty budovania BID cez OP Integrovaná infraštruktúra, </w:t>
      </w:r>
    </w:p>
    <w:p>
      <w:pPr>
        <w:pStyle w:val="Odsekzoznamu"/>
        <w:numPr>
          <w:ilvl w:val="0"/>
          <w:numId w:val="71"/>
        </w:numPr>
        <w:jc w:val="both"/>
        <w:rPr>
          <w:rFonts w:ascii="Arial" w:hAnsi="Arial" w:cs="Arial"/>
        </w:rPr>
      </w:pPr>
      <w:r>
        <w:rPr>
          <w:rFonts w:ascii="Arial" w:hAnsi="Arial" w:cs="Arial"/>
        </w:rPr>
        <w:t xml:space="preserve">prestupné terminály a integrované zastávky integrujú regionálnu verejnú osobnú dopravu a nosnú koľajovú sieť BID, </w:t>
      </w:r>
    </w:p>
    <w:p>
      <w:pPr>
        <w:pStyle w:val="Odsekzoznamu"/>
        <w:numPr>
          <w:ilvl w:val="0"/>
          <w:numId w:val="71"/>
        </w:numPr>
        <w:jc w:val="both"/>
        <w:rPr>
          <w:rFonts w:ascii="Arial" w:hAnsi="Arial" w:cs="Arial"/>
        </w:rPr>
      </w:pPr>
      <w:r>
        <w:rPr>
          <w:rFonts w:ascii="Arial" w:hAnsi="Arial" w:cs="Arial"/>
        </w:rPr>
        <w:lastRenderedPageBreak/>
        <w:t xml:space="preserve">prestupné terminály a integrované zastávky integrujú regionálnu verejnú osobnú dopravu a mestskú hromadnú dopravu, </w:t>
      </w:r>
    </w:p>
    <w:p>
      <w:pPr>
        <w:pStyle w:val="Odsekzoznamu"/>
        <w:numPr>
          <w:ilvl w:val="0"/>
          <w:numId w:val="71"/>
        </w:numPr>
        <w:jc w:val="both"/>
        <w:rPr>
          <w:rFonts w:ascii="Arial" w:hAnsi="Arial" w:cs="Arial"/>
          <w:i/>
        </w:rPr>
      </w:pPr>
      <w:proofErr w:type="spellStart"/>
      <w:r>
        <w:rPr>
          <w:rFonts w:ascii="Arial" w:hAnsi="Arial" w:cs="Arial"/>
        </w:rPr>
        <w:t>zastávkový</w:t>
      </w:r>
      <w:proofErr w:type="spellEnd"/>
      <w:r>
        <w:rPr>
          <w:rFonts w:ascii="Arial" w:hAnsi="Arial" w:cs="Arial"/>
        </w:rPr>
        <w:t xml:space="preserve"> informačný systém je napojený na dispečerský systém vybudovaný v programovom období 2007-2013,</w:t>
      </w:r>
    </w:p>
    <w:p>
      <w:pPr>
        <w:pStyle w:val="Odsekzoznamu"/>
        <w:numPr>
          <w:ilvl w:val="0"/>
          <w:numId w:val="71"/>
        </w:numPr>
        <w:jc w:val="both"/>
        <w:rPr>
          <w:rFonts w:ascii="Arial" w:hAnsi="Arial" w:cs="Arial"/>
          <w:i/>
        </w:rPr>
      </w:pPr>
      <w:r>
        <w:rPr>
          <w:rFonts w:ascii="Arial" w:hAnsi="Arial" w:cs="Arial"/>
        </w:rPr>
        <w:t>projekt uplatňuje zásadu „znečisťovateľ platí“.</w:t>
      </w:r>
    </w:p>
    <w:p>
      <w:pPr>
        <w:rPr>
          <w:rFonts w:ascii="Arial" w:hAnsi="Arial" w:cs="Arial"/>
        </w:rPr>
      </w:pPr>
      <w:r>
        <w:rPr>
          <w:rFonts w:ascii="Arial" w:hAnsi="Arial" w:cs="Arial"/>
        </w:rPr>
        <w:t>Uvedené princípy sa uplatňujú v závislosti od  typu a charakteru projektu.</w:t>
      </w:r>
    </w:p>
    <w:p>
      <w:pPr>
        <w:jc w:val="both"/>
        <w:rPr>
          <w:rFonts w:ascii="Arial" w:hAnsi="Arial" w:cs="Arial"/>
          <w:i/>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pPr>
        <w:pStyle w:val="Nadpis6"/>
        <w:rPr>
          <w:rFonts w:ascii="Arial" w:hAnsi="Arial" w:cs="Arial"/>
        </w:rPr>
      </w:pPr>
      <w:bookmarkStart w:id="19" w:name="_Toc387651800"/>
      <w:r>
        <w:rPr>
          <w:rFonts w:ascii="Arial" w:hAnsi="Arial" w:cs="Arial"/>
        </w:rPr>
        <w:t>2.1.2.3. Plánované využitie finančných nástrojov</w:t>
      </w:r>
      <w:bookmarkEnd w:id="19"/>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20" w:name="_Toc387651801"/>
      <w:r>
        <w:rPr>
          <w:rFonts w:ascii="Arial" w:hAnsi="Arial" w:cs="Arial"/>
        </w:rPr>
        <w:t>2.1.2.4  Plánované využitie veľkých  projektov</w:t>
      </w:r>
      <w:bookmarkEnd w:id="20"/>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jc w:val="both"/>
        <w:rPr>
          <w:rFonts w:ascii="Arial" w:hAnsi="Arial" w:cs="Arial"/>
        </w:rPr>
      </w:pPr>
    </w:p>
    <w:p>
      <w:pPr>
        <w:jc w:val="both"/>
        <w:rPr>
          <w:rFonts w:ascii="Arial" w:hAnsi="Arial" w:cs="Arial"/>
        </w:rPr>
      </w:pPr>
    </w:p>
    <w:p>
      <w:pPr>
        <w:pStyle w:val="Nadpis6"/>
        <w:rPr>
          <w:rFonts w:ascii="Arial" w:hAnsi="Arial" w:cs="Arial"/>
        </w:rPr>
      </w:pPr>
      <w:bookmarkStart w:id="21" w:name="_Toc387651802"/>
      <w:r>
        <w:rPr>
          <w:rFonts w:ascii="Arial" w:hAnsi="Arial" w:cs="Arial"/>
        </w:rPr>
        <w:lastRenderedPageBreak/>
        <w:t>2.1.2.5. Ukazovatele výstupov podľa investičnej priority a ak je to vhodné, podľa kategórie regiónu</w:t>
      </w:r>
      <w:bookmarkEnd w:id="21"/>
    </w:p>
    <w:p>
      <w:pPr>
        <w:spacing w:before="120"/>
        <w:rPr>
          <w:rFonts w:ascii="Arial" w:hAnsi="Arial" w:cs="Arial"/>
        </w:rPr>
      </w:pPr>
      <w:r>
        <w:rPr>
          <w:rStyle w:val="Siln"/>
          <w:rFonts w:ascii="Arial" w:hAnsi="Arial" w:cs="Arial"/>
        </w:rPr>
        <w:t>Tabuľka č. 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604"/>
        <w:gridCol w:w="1100"/>
        <w:gridCol w:w="1088"/>
        <w:gridCol w:w="982"/>
        <w:gridCol w:w="544"/>
        <w:gridCol w:w="544"/>
        <w:gridCol w:w="911"/>
        <w:gridCol w:w="949"/>
        <w:gridCol w:w="1190"/>
      </w:tblGrid>
      <w:tr>
        <w:trPr>
          <w:trHeight w:val="278"/>
        </w:trPr>
        <w:tc>
          <w:tcPr>
            <w:tcW w:w="3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0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8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8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99"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4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90"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0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8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8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4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91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roofErr w:type="spellStart"/>
            <w:r>
              <w:rPr>
                <w:rFonts w:ascii="Arial" w:eastAsia="Times New Roman" w:hAnsi="Arial" w:cs="Arial"/>
                <w:b/>
                <w:bCs/>
                <w:sz w:val="16"/>
                <w:szCs w:val="16"/>
              </w:rPr>
              <w:t>MaZ</w:t>
            </w:r>
            <w:proofErr w:type="spellEnd"/>
          </w:p>
        </w:tc>
        <w:tc>
          <w:tcPr>
            <w:tcW w:w="94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90"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MHD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MHD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nahradených autobusov prímestskej dopravy</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Vozidlo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štandardizovaných terminálov (veľkosť, štandard)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Terminál typu X</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štandardizovaných terminálov (veľkosť, štandard)</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Terminál typu X</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Integrovaná zastávka</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Integrovaná zastávka</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Informačný systém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Informačný systém</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9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pStyle w:val="Nadpis5"/>
        <w:shd w:val="clear" w:color="auto" w:fill="B8C1E9"/>
        <w:rPr>
          <w:rFonts w:ascii="Arial" w:hAnsi="Arial" w:cs="Arial"/>
        </w:rPr>
      </w:pPr>
      <w:bookmarkStart w:id="22" w:name="_Toc383369278"/>
      <w:bookmarkStart w:id="23" w:name="_Toc387651803"/>
      <w:r>
        <w:rPr>
          <w:rFonts w:ascii="Arial" w:hAnsi="Arial" w:cs="Arial"/>
        </w:rPr>
        <w:lastRenderedPageBreak/>
        <w:t>Výkonnostný rámec</w:t>
      </w:r>
      <w:bookmarkEnd w:id="22"/>
      <w:bookmarkEnd w:id="23"/>
    </w:p>
    <w:p>
      <w:pPr>
        <w:rPr>
          <w:rFonts w:ascii="Arial" w:hAnsi="Arial" w:cs="Arial"/>
        </w:rPr>
      </w:pPr>
    </w:p>
    <w:p>
      <w:pPr>
        <w:rPr>
          <w:rFonts w:ascii="Arial" w:hAnsi="Arial" w:cs="Arial"/>
        </w:rPr>
      </w:pPr>
      <w:r>
        <w:rPr>
          <w:rStyle w:val="Siln"/>
          <w:rFonts w:ascii="Arial" w:hAnsi="Arial" w:cs="Arial"/>
        </w:rPr>
        <w:t>Tabuľka č. 8</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992"/>
        <w:gridCol w:w="283"/>
        <w:gridCol w:w="284"/>
        <w:gridCol w:w="930"/>
        <w:gridCol w:w="629"/>
        <w:gridCol w:w="992"/>
      </w:tblGrid>
      <w:tr>
        <w:trPr>
          <w:trHeight w:val="646"/>
        </w:trPr>
        <w:tc>
          <w:tcPr>
            <w:tcW w:w="6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97"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6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MaŽ</w:t>
            </w:r>
            <w:proofErr w:type="spellEnd"/>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120 000 </w:t>
            </w:r>
            <w:proofErr w:type="spellStart"/>
            <w:r>
              <w:rPr>
                <w:rFonts w:ascii="Arial" w:hAnsi="Arial" w:cs="Arial"/>
                <w:sz w:val="14"/>
                <w:szCs w:val="14"/>
              </w:rPr>
              <w:t>000</w:t>
            </w:r>
            <w:proofErr w:type="spellEnd"/>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400 000 </w:t>
            </w:r>
            <w:proofErr w:type="spellStart"/>
            <w:r>
              <w:rPr>
                <w:rFonts w:ascii="Arial" w:hAnsi="Arial" w:cs="Arial"/>
                <w:sz w:val="14"/>
                <w:szCs w:val="14"/>
              </w:rPr>
              <w:t>000</w:t>
            </w:r>
            <w:proofErr w:type="spellEnd"/>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6 300 000</w:t>
            </w: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21 000 </w:t>
            </w:r>
            <w:proofErr w:type="spellStart"/>
            <w:r>
              <w:rPr>
                <w:rFonts w:ascii="Arial" w:hAnsi="Arial" w:cs="Arial"/>
                <w:sz w:val="14"/>
                <w:szCs w:val="14"/>
              </w:rPr>
              <w:t>000</w:t>
            </w:r>
            <w:proofErr w:type="spellEnd"/>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Dĺžka nových úsekov cyklistických komunikácií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Dĺžka nových úsekov cyklistických komunikácií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nahradených autobusov MHD</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Vozidlo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nahradených autobusov MHD</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Vozidlo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Počet štandardizovaných terminálov (veľkosť, štandard)</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Terminál typu X</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Počet štandardizovaných terminálov (veľkosť, štandard)</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Terminál typu X</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3"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2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pStyle w:val="Nadpis5"/>
        <w:shd w:val="clear" w:color="auto" w:fill="B8C1E9"/>
        <w:rPr>
          <w:rFonts w:ascii="Arial" w:hAnsi="Arial" w:cs="Arial"/>
        </w:rPr>
      </w:pPr>
      <w:bookmarkStart w:id="24" w:name="_Toc383369279"/>
      <w:bookmarkStart w:id="25" w:name="_Toc387651804"/>
      <w:r>
        <w:rPr>
          <w:rFonts w:ascii="Arial" w:hAnsi="Arial" w:cs="Arial"/>
        </w:rPr>
        <w:lastRenderedPageBreak/>
        <w:t>Kategórie intervencie</w:t>
      </w:r>
      <w:bookmarkEnd w:id="24"/>
      <w:bookmarkEnd w:id="25"/>
    </w:p>
    <w:p>
      <w:pPr>
        <w:rPr>
          <w:rFonts w:ascii="Arial" w:hAnsi="Arial" w:cs="Arial"/>
        </w:rPr>
      </w:pPr>
    </w:p>
    <w:p>
      <w:pPr>
        <w:rPr>
          <w:rStyle w:val="Zvraznenie"/>
          <w:rFonts w:ascii="Arial" w:hAnsi="Arial" w:cs="Arial"/>
        </w:rPr>
      </w:pPr>
      <w:r>
        <w:rPr>
          <w:rStyle w:val="Siln"/>
          <w:rFonts w:ascii="Arial" w:hAnsi="Arial" w:cs="Arial"/>
        </w:rPr>
        <w:t>Tabuľka č. 9</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70 000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210 000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65 000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32 000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23 000 </w:t>
            </w:r>
            <w:proofErr w:type="spellStart"/>
            <w:r>
              <w:rPr>
                <w:rFonts w:ascii="Arial" w:eastAsia="Times New Roman" w:hAnsi="Arial" w:cs="Arial"/>
                <w:bCs/>
                <w:iCs/>
                <w:sz w:val="16"/>
                <w:szCs w:val="16"/>
              </w:rPr>
              <w:t>000</w:t>
            </w:r>
            <w:proofErr w:type="spellEnd"/>
          </w:p>
        </w:tc>
      </w:tr>
    </w:tbl>
    <w:p>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400 000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68 000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24 000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5 000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iCs/>
                <w:sz w:val="16"/>
                <w:szCs w:val="16"/>
              </w:rPr>
            </w:pPr>
            <w:r>
              <w:rPr>
                <w:rFonts w:ascii="Arial" w:hAnsi="Arial" w:cs="Arial"/>
                <w:b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303 000 </w:t>
            </w:r>
            <w:proofErr w:type="spellStart"/>
            <w:r>
              <w:rPr>
                <w:rFonts w:ascii="Arial" w:eastAsia="Times New Roman" w:hAnsi="Arial" w:cs="Arial"/>
                <w:bCs/>
                <w:iCs/>
                <w:sz w:val="16"/>
                <w:szCs w:val="16"/>
              </w:rPr>
              <w:t>000</w:t>
            </w:r>
            <w:proofErr w:type="spellEnd"/>
          </w:p>
        </w:tc>
      </w:tr>
    </w:tbl>
    <w:p>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90 000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310 000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sz w:val="16"/>
                <w:szCs w:val="16"/>
              </w:rPr>
              <w:t xml:space="preserve">Tabuľka 7: </w:t>
            </w: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14 000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21 000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p>
      <w:pPr>
        <w:rPr>
          <w:rStyle w:val="Zvraznenie"/>
          <w:rFonts w:ascii="Arial" w:hAnsi="Arial" w:cs="Arial"/>
        </w:rPr>
      </w:pPr>
    </w:p>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750 000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250 000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iCs/>
                <w:sz w:val="16"/>
                <w:szCs w:val="16"/>
              </w:rPr>
            </w:pPr>
            <w:r>
              <w:rPr>
                <w:rFonts w:ascii="Arial" w:hAnsi="Arial" w:cs="Arial"/>
                <w:b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19 000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19 000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p>
      <w:pPr>
        <w:pStyle w:val="Nadpis5"/>
        <w:shd w:val="clear" w:color="auto" w:fill="B8C1E9"/>
        <w:jc w:val="both"/>
        <w:rPr>
          <w:rFonts w:ascii="Arial" w:hAnsi="Arial" w:cs="Arial"/>
        </w:rPr>
      </w:pPr>
      <w:bookmarkStart w:id="26" w:name="_Toc383369280"/>
      <w:bookmarkStart w:id="27" w:name="_Toc387651805"/>
      <w:r>
        <w:rPr>
          <w:rFonts w:ascii="Arial" w:hAnsi="Arial" w:cs="Arial"/>
        </w:rPr>
        <w:t>Súhrn plánovaného využitia technickej pomoci vrátane, ak je to vhodné, akcií na posilnenie administratívnej spôsobilosti orgánov zapojených do riadenia a kontroly programu a príjemcov</w:t>
      </w:r>
      <w:bookmarkEnd w:id="26"/>
      <w:bookmarkEnd w:id="27"/>
      <w:r>
        <w:rPr>
          <w:rFonts w:ascii="Arial" w:hAnsi="Arial" w:cs="Arial"/>
        </w:rPr>
        <w:t xml:space="preserve"> </w:t>
      </w:r>
    </w:p>
    <w:p>
      <w:pPr>
        <w:spacing w:after="0" w:line="240" w:lineRule="auto"/>
        <w:jc w:val="both"/>
        <w:rPr>
          <w:rFonts w:ascii="Arial" w:hAnsi="Arial" w:cs="Arial"/>
          <w:color w:val="000000"/>
          <w:lang w:eastAsia="sk-SK"/>
        </w:rPr>
      </w:pPr>
    </w:p>
    <w:p>
      <w:pPr>
        <w:spacing w:after="0" w:line="240" w:lineRule="auto"/>
        <w:jc w:val="both"/>
        <w:rPr>
          <w:rFonts w:ascii="Arial" w:hAnsi="Arial" w:cs="Arial"/>
          <w:color w:val="000000"/>
          <w:lang w:eastAsia="sk-SK"/>
        </w:rPr>
      </w:pPr>
      <w:r>
        <w:rPr>
          <w:rFonts w:ascii="Arial" w:hAnsi="Arial" w:cs="Arial"/>
          <w:color w:val="000000"/>
          <w:lang w:eastAsia="sk-SK"/>
        </w:rPr>
        <w:t>N/A</w:t>
      </w:r>
    </w:p>
    <w:p>
      <w:pPr>
        <w:pStyle w:val="Nadpis3"/>
        <w:shd w:val="clear" w:color="auto" w:fill="21306A"/>
        <w:rPr>
          <w:rFonts w:ascii="Arial" w:hAnsi="Arial" w:cs="Arial"/>
          <w:color w:val="FFFFFF"/>
          <w:sz w:val="28"/>
          <w:szCs w:val="28"/>
        </w:rPr>
        <w:sectPr>
          <w:pgSz w:w="11906" w:h="16838"/>
          <w:pgMar w:top="1417" w:right="1417" w:bottom="1417" w:left="1417" w:header="708" w:footer="708" w:gutter="0"/>
          <w:cols w:space="708"/>
          <w:docGrid w:linePitch="360"/>
        </w:sectPr>
      </w:pPr>
    </w:p>
    <w:p>
      <w:pPr>
        <w:pStyle w:val="Nadpis3"/>
        <w:shd w:val="clear" w:color="auto" w:fill="21306A"/>
        <w:rPr>
          <w:rFonts w:ascii="Arial" w:hAnsi="Arial" w:cs="Arial"/>
          <w:color w:val="FFFFFF"/>
          <w:sz w:val="28"/>
          <w:szCs w:val="28"/>
        </w:rPr>
      </w:pPr>
      <w:bookmarkStart w:id="28" w:name="_Toc387651806"/>
      <w:r>
        <w:rPr>
          <w:rFonts w:ascii="Arial" w:hAnsi="Arial" w:cs="Arial"/>
          <w:color w:val="FFFFFF"/>
          <w:sz w:val="28"/>
          <w:szCs w:val="28"/>
        </w:rPr>
        <w:lastRenderedPageBreak/>
        <w:t>2.2.Prioritná os č. 2: Ľahší prístup k efektívnym a kvalitnejším verejným službám</w:t>
      </w:r>
      <w:bookmarkEnd w:id="28"/>
    </w:p>
    <w:p>
      <w:pPr>
        <w:rPr>
          <w:rFonts w:ascii="Arial" w:hAnsi="Arial" w:cs="Arial"/>
        </w:rPr>
      </w:pPr>
    </w:p>
    <w:p>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w:t>
      </w:r>
      <w:proofErr w:type="spellStart"/>
      <w:r>
        <w:rPr>
          <w:rFonts w:ascii="Arial" w:hAnsi="Arial" w:cs="Arial"/>
        </w:rPr>
        <w:t>predprimárne</w:t>
      </w:r>
      <w:proofErr w:type="spellEnd"/>
      <w:r>
        <w:rPr>
          <w:rFonts w:ascii="Arial" w:hAnsi="Arial" w:cs="Arial"/>
        </w:rPr>
        <w:t xml:space="preserv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w:t>
      </w:r>
      <w:proofErr w:type="spellStart"/>
      <w:r>
        <w:rPr>
          <w:rFonts w:ascii="Arial" w:hAnsi="Arial" w:cs="Arial"/>
        </w:rPr>
        <w:t>exklúzie</w:t>
      </w:r>
      <w:proofErr w:type="spellEnd"/>
      <w:r>
        <w:rPr>
          <w:rFonts w:ascii="Arial" w:hAnsi="Arial" w:cs="Arial"/>
        </w:rPr>
        <w:t xml:space="preserv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w:t>
      </w:r>
      <w:proofErr w:type="spellStart"/>
      <w:r>
        <w:rPr>
          <w:rFonts w:ascii="Arial" w:hAnsi="Arial" w:cs="Arial"/>
        </w:rPr>
        <w:t>inkluzívnemu</w:t>
      </w:r>
      <w:proofErr w:type="spellEnd"/>
      <w:r>
        <w:rPr>
          <w:rFonts w:ascii="Arial" w:hAnsi="Arial" w:cs="Arial"/>
        </w:rPr>
        <w:t xml:space="preserve"> rastu.</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b/>
        </w:rPr>
      </w:pPr>
    </w:p>
    <w:p>
      <w:pPr>
        <w:jc w:val="both"/>
        <w:rPr>
          <w:rFonts w:ascii="Arial" w:hAnsi="Arial" w:cs="Arial"/>
          <w:b/>
        </w:rPr>
      </w:pPr>
    </w:p>
    <w:p>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854 117 658</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63 826 396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
      <w:pPr>
        <w:pStyle w:val="Nadpis4"/>
        <w:shd w:val="clear" w:color="auto" w:fill="21306A"/>
        <w:jc w:val="both"/>
        <w:rPr>
          <w:rFonts w:ascii="Arial" w:hAnsi="Arial" w:cs="Arial"/>
          <w:color w:val="FFFFFF"/>
        </w:rPr>
      </w:pPr>
      <w:bookmarkStart w:id="29" w:name="_Toc387651807"/>
      <w:r>
        <w:rPr>
          <w:rFonts w:ascii="Arial" w:hAnsi="Arial" w:cs="Arial"/>
          <w:color w:val="FFFFFF"/>
        </w:rPr>
        <w:t xml:space="preserve">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w:t>
      </w:r>
      <w:proofErr w:type="spellStart"/>
      <w:r>
        <w:rPr>
          <w:rFonts w:ascii="Arial" w:hAnsi="Arial" w:cs="Arial"/>
          <w:color w:val="FFFFFF"/>
        </w:rPr>
        <w:t>komunitné</w:t>
      </w:r>
      <w:bookmarkEnd w:id="29"/>
      <w:proofErr w:type="spellEnd"/>
    </w:p>
    <w:p>
      <w:pPr>
        <w:rPr>
          <w:rFonts w:ascii="Arial" w:hAnsi="Arial" w:cs="Arial"/>
        </w:rPr>
      </w:pPr>
    </w:p>
    <w:p>
      <w:pPr>
        <w:rPr>
          <w:rFonts w:ascii="Arial" w:hAnsi="Arial" w:cs="Arial"/>
          <w:i/>
          <w:color w:val="4EACF3"/>
        </w:rPr>
      </w:pPr>
      <w:r>
        <w:rPr>
          <w:rFonts w:ascii="Arial" w:hAnsi="Arial" w:cs="Arial"/>
          <w:b/>
        </w:rPr>
        <w:t>Špecifický cieľ č. 2.1.1:</w:t>
      </w:r>
      <w:r>
        <w:rPr>
          <w:rFonts w:ascii="Arial" w:hAnsi="Arial" w:cs="Arial"/>
        </w:rPr>
        <w:t xml:space="preserve"> </w:t>
      </w:r>
    </w:p>
    <w:p>
      <w:pPr>
        <w:shd w:val="clear" w:color="auto" w:fill="D9D9D9"/>
        <w:jc w:val="both"/>
        <w:rPr>
          <w:rStyle w:val="Zvraznenie"/>
          <w:rFonts w:ascii="Arial" w:hAnsi="Arial" w:cs="Arial"/>
        </w:rPr>
      </w:pPr>
      <w:r>
        <w:rPr>
          <w:rStyle w:val="Zvraznenie"/>
          <w:rFonts w:ascii="Arial" w:hAnsi="Arial" w:cs="Arial"/>
        </w:rPr>
        <w:t xml:space="preserve">Podporiť prechod poskytovania sociálnych služieb a zabezpečenia výkonu opatrení sociálnoprávnej ochrany detí a sociálnej kurately v zariadení z inštitucionálnej formy na </w:t>
      </w:r>
      <w:proofErr w:type="spellStart"/>
      <w:r>
        <w:rPr>
          <w:rStyle w:val="Zvraznenie"/>
          <w:rFonts w:ascii="Arial" w:hAnsi="Arial" w:cs="Arial"/>
        </w:rPr>
        <w:t>komunitnú</w:t>
      </w:r>
      <w:proofErr w:type="spellEnd"/>
      <w:r>
        <w:rPr>
          <w:rStyle w:val="Zvraznenie"/>
          <w:rFonts w:ascii="Arial" w:hAnsi="Arial" w:cs="Arial"/>
        </w:rPr>
        <w:t xml:space="preserve"> (poskytovanú na </w:t>
      </w:r>
      <w:proofErr w:type="spellStart"/>
      <w:r>
        <w:rPr>
          <w:rStyle w:val="Zvraznenie"/>
          <w:rFonts w:ascii="Arial" w:hAnsi="Arial" w:cs="Arial"/>
        </w:rPr>
        <w:t>komunitnej</w:t>
      </w:r>
      <w:proofErr w:type="spellEnd"/>
      <w:r>
        <w:rPr>
          <w:rStyle w:val="Zvraznenie"/>
          <w:rFonts w:ascii="Arial" w:hAnsi="Arial" w:cs="Arial"/>
        </w:rPr>
        <w:t xml:space="preserve"> úrovni) </w:t>
      </w:r>
    </w:p>
    <w:p>
      <w:pPr>
        <w:jc w:val="both"/>
        <w:rPr>
          <w:rFonts w:ascii="Arial" w:hAnsi="Arial" w:cs="Arial"/>
        </w:rPr>
      </w:pPr>
      <w:r>
        <w:rPr>
          <w:rFonts w:ascii="Arial" w:hAnsi="Arial" w:cs="Arial"/>
        </w:rPr>
        <w:t xml:space="preserve">Proces prechodu poskytovania sociálnych služieb z inštitucionálnej formy na </w:t>
      </w:r>
      <w:proofErr w:type="spellStart"/>
      <w:r>
        <w:rPr>
          <w:rFonts w:ascii="Arial" w:hAnsi="Arial" w:cs="Arial"/>
        </w:rPr>
        <w:t>komunitnú</w:t>
      </w:r>
      <w:proofErr w:type="spellEnd"/>
      <w:r>
        <w:rPr>
          <w:rFonts w:ascii="Arial" w:hAnsi="Arial" w:cs="Arial"/>
        </w:rPr>
        <w:t xml:space="preserve"> a výkonu </w:t>
      </w:r>
      <w:r>
        <w:rPr>
          <w:rStyle w:val="Zvraznenie"/>
          <w:rFonts w:ascii="Arial" w:hAnsi="Arial" w:cs="Arial"/>
          <w:i w:val="0"/>
        </w:rPr>
        <w:t>opatrení sociálnoprávnej ochrany detí a sociálnej kurately (ďalej aj „</w:t>
      </w:r>
      <w:proofErr w:type="spellStart"/>
      <w:r>
        <w:rPr>
          <w:rStyle w:val="Zvraznenie"/>
          <w:rFonts w:ascii="Arial" w:hAnsi="Arial" w:cs="Arial"/>
          <w:i w:val="0"/>
        </w:rPr>
        <w:t>SPOaSK</w:t>
      </w:r>
      <w:proofErr w:type="spellEnd"/>
      <w:r>
        <w:rPr>
          <w:rStyle w:val="Zvraznenie"/>
          <w:rFonts w:ascii="Arial" w:hAnsi="Arial" w:cs="Arial"/>
          <w:i w:val="0"/>
        </w:rPr>
        <w:t>“) v zariadení</w:t>
      </w:r>
      <w:r>
        <w:rPr>
          <w:rFonts w:ascii="Arial" w:hAnsi="Arial" w:cs="Arial"/>
          <w:i/>
        </w:rPr>
        <w:t xml:space="preserve"> </w:t>
      </w:r>
      <w:r>
        <w:rPr>
          <w:rFonts w:ascii="Arial" w:hAnsi="Arial" w:cs="Arial"/>
        </w:rPr>
        <w:t xml:space="preserve">na </w:t>
      </w:r>
      <w:proofErr w:type="spellStart"/>
      <w:r>
        <w:rPr>
          <w:rFonts w:ascii="Arial" w:hAnsi="Arial" w:cs="Arial"/>
        </w:rPr>
        <w:t>komunitnej</w:t>
      </w:r>
      <w:proofErr w:type="spellEnd"/>
      <w:r>
        <w:rPr>
          <w:rFonts w:ascii="Arial" w:hAnsi="Arial" w:cs="Arial"/>
        </w:rPr>
        <w:t xml:space="preserve"> úrovni je spojený nielen s opatreniami na zlepšovanie kvality služieb a opatrení vrátane vzdelávania zamestnancov, prípravy prijímateľov alebo prípravy komunity, ale aj s riešením priestorových podmienok, v ktorých sa poskytuje alebo zabezpečuje príslušná starostlivosť. Proces deinštitucionalizácie predpokladá uprednostnenie transformačného procesu zariadení poskytujúcich služby pre deti, mládež a dospelých so zdravotným postihnutím a duševnou poruchou a zariadení pre deti v </w:t>
      </w:r>
      <w:proofErr w:type="spellStart"/>
      <w:r>
        <w:rPr>
          <w:rFonts w:ascii="Arial" w:hAnsi="Arial" w:cs="Arial"/>
        </w:rPr>
        <w:t>SPOaSK</w:t>
      </w:r>
      <w:proofErr w:type="spellEnd"/>
      <w:r>
        <w:rPr>
          <w:rFonts w:ascii="Arial" w:hAnsi="Arial" w:cs="Arial"/>
        </w:rPr>
        <w:t xml:space="preserve"> pred zariadeniami pre seniorov. </w:t>
      </w:r>
      <w:r>
        <w:rPr>
          <w:rFonts w:ascii="Arial" w:hAnsi="Arial" w:cs="Arial"/>
          <w:b/>
        </w:rPr>
        <w:t xml:space="preserve">IROP bude investične podporovať vytváranie vhodných priestorových podmienok (vhodného fyzického prostredia) pre poskytovanie sociálnych služieb a zabezpečovanie výkonu </w:t>
      </w:r>
      <w:proofErr w:type="spellStart"/>
      <w:r>
        <w:rPr>
          <w:rFonts w:ascii="Arial" w:hAnsi="Arial" w:cs="Arial"/>
          <w:b/>
        </w:rPr>
        <w:t>SPOaSK</w:t>
      </w:r>
      <w:proofErr w:type="spellEnd"/>
      <w:r>
        <w:rPr>
          <w:rFonts w:ascii="Arial" w:hAnsi="Arial" w:cs="Arial"/>
          <w:b/>
        </w:rPr>
        <w:t xml:space="preserve"> v zariadení, ktoré sú v súlade so zásadami starostlivosti na </w:t>
      </w:r>
      <w:proofErr w:type="spellStart"/>
      <w:r>
        <w:rPr>
          <w:rFonts w:ascii="Arial" w:hAnsi="Arial" w:cs="Arial"/>
          <w:b/>
        </w:rPr>
        <w:t>komunitnej</w:t>
      </w:r>
      <w:proofErr w:type="spellEnd"/>
      <w:r>
        <w:rPr>
          <w:rFonts w:ascii="Arial" w:hAnsi="Arial" w:cs="Arial"/>
          <w:b/>
        </w:rPr>
        <w:t xml:space="preserve"> báze</w:t>
      </w:r>
      <w:r>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„mäkkých“ aktivít financovaných z OP ĽZ. Úlohou OP ĽZ je vytvárať také podmienky, ktoré zabezpečia pri poskytovaní sociálnych služieb a výkonu </w:t>
      </w:r>
      <w:proofErr w:type="spellStart"/>
      <w:r>
        <w:rPr>
          <w:rStyle w:val="Zvraznenie"/>
          <w:rFonts w:ascii="Arial" w:hAnsi="Arial" w:cs="Arial"/>
          <w:i w:val="0"/>
        </w:rPr>
        <w:t>SPOaSK</w:t>
      </w:r>
      <w:proofErr w:type="spellEnd"/>
      <w:r>
        <w:rPr>
          <w:rFonts w:ascii="Arial" w:hAnsi="Arial" w:cs="Arial"/>
        </w:rPr>
        <w:t xml:space="preserve"> zotrvanie osôb v ich domácom rodinnom prostredí alebo v komunite.  V prípade, že daná osoba nie je schopná, resp. nemôže zotrvať vo svojom domácom rodinnom prostredí,  sociálne služby, resp. </w:t>
      </w:r>
      <w:proofErr w:type="spellStart"/>
      <w:r>
        <w:rPr>
          <w:rStyle w:val="Zvraznenie"/>
          <w:rFonts w:ascii="Arial" w:hAnsi="Arial" w:cs="Arial"/>
          <w:i w:val="0"/>
        </w:rPr>
        <w:t>SPOaSK</w:t>
      </w:r>
      <w:proofErr w:type="spellEnd"/>
      <w:r>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Prostredníctvom IROP sa budú podporovať takéto </w:t>
      </w:r>
      <w:proofErr w:type="spellStart"/>
      <w:r>
        <w:rPr>
          <w:rFonts w:ascii="Arial" w:hAnsi="Arial" w:cs="Arial"/>
        </w:rPr>
        <w:t>komunitné</w:t>
      </w:r>
      <w:proofErr w:type="spellEnd"/>
      <w:r>
        <w:rPr>
          <w:rFonts w:ascii="Arial" w:hAnsi="Arial" w:cs="Arial"/>
        </w:rPr>
        <w:t xml:space="preserve"> zariadenia umožňujúce </w:t>
      </w:r>
      <w:r>
        <w:rPr>
          <w:rFonts w:ascii="Arial" w:hAnsi="Arial" w:cs="Arial"/>
        </w:rPr>
        <w:lastRenderedPageBreak/>
        <w:t xml:space="preserve">nezávislý individuálny život za predpokladu posilnenia fungovania a variability </w:t>
      </w:r>
      <w:proofErr w:type="spellStart"/>
      <w:r>
        <w:rPr>
          <w:rFonts w:ascii="Arial" w:hAnsi="Arial" w:cs="Arial"/>
        </w:rPr>
        <w:t>komunitných</w:t>
      </w:r>
      <w:proofErr w:type="spellEnd"/>
      <w:r>
        <w:rPr>
          <w:rFonts w:ascii="Arial" w:hAnsi="Arial" w:cs="Arial"/>
        </w:rPr>
        <w:t xml:space="preserve"> služieb a rôznych preventívnych opatrení zo strany OP ĽZ.</w:t>
      </w:r>
    </w:p>
    <w:p>
      <w:pPr>
        <w:jc w:val="both"/>
        <w:rPr>
          <w:rFonts w:ascii="Arial" w:hAnsi="Arial" w:cs="Arial"/>
        </w:rPr>
      </w:pPr>
      <w:r>
        <w:rPr>
          <w:rFonts w:ascii="Arial" w:hAnsi="Arial" w:cs="Arial"/>
        </w:rPr>
        <w:t xml:space="preserve">Vo vzťahu k existujúcim zariadeniam sociálnych služieb s celoročným pobytom je nevyhnutné postupne znižovať počet tradičných veľkokapacitných zariadení sociálnych služieb, prevádzkovať zariadenia s nízkou kapacitou (zariadenia </w:t>
      </w:r>
      <w:proofErr w:type="spellStart"/>
      <w:r>
        <w:rPr>
          <w:rFonts w:ascii="Arial" w:hAnsi="Arial" w:cs="Arial"/>
        </w:rPr>
        <w:t>komunitnej</w:t>
      </w:r>
      <w:proofErr w:type="spellEnd"/>
      <w:r>
        <w:rPr>
          <w:rFonts w:ascii="Arial" w:hAnsi="Arial" w:cs="Arial"/>
        </w:rPr>
        <w:t xml:space="preserve"> starostlivosti) a podporovať terénne a ambulantné sociálne služby a sociálne služby v zariadeniach s týždenným pobytom.</w:t>
      </w:r>
    </w:p>
    <w:p>
      <w:pPr>
        <w:jc w:val="both"/>
        <w:rPr>
          <w:rFonts w:ascii="Arial" w:hAnsi="Arial" w:cs="Arial"/>
          <w:b/>
        </w:rPr>
      </w:pPr>
      <w:r>
        <w:rPr>
          <w:rFonts w:ascii="Arial" w:hAnsi="Arial" w:cs="Arial"/>
          <w:b/>
        </w:rPr>
        <w:t>Výsledok podpory IROP:</w:t>
      </w:r>
    </w:p>
    <w:p>
      <w:pPr>
        <w:pStyle w:val="Odsekzoznamu"/>
        <w:numPr>
          <w:ilvl w:val="0"/>
          <w:numId w:val="2"/>
        </w:numPr>
        <w:jc w:val="both"/>
        <w:rPr>
          <w:rFonts w:ascii="Arial" w:hAnsi="Arial" w:cs="Arial"/>
        </w:rPr>
      </w:pPr>
      <w:r>
        <w:rPr>
          <w:rFonts w:ascii="Arial" w:hAnsi="Arial" w:cs="Arial"/>
        </w:rPr>
        <w:t>transformácia a </w:t>
      </w:r>
      <w:proofErr w:type="spellStart"/>
      <w:r>
        <w:rPr>
          <w:rFonts w:ascii="Arial" w:hAnsi="Arial" w:cs="Arial"/>
        </w:rPr>
        <w:t>deinštitucionalizácia</w:t>
      </w:r>
      <w:proofErr w:type="spellEnd"/>
      <w:r>
        <w:rPr>
          <w:rFonts w:ascii="Arial" w:hAnsi="Arial" w:cs="Arial"/>
        </w:rPr>
        <w:t xml:space="preserve"> existujúcich zariadení s celoročným pobytom/pobytového charakteru na zariadenia poskytujúce sociálne služby a zabezpečujúce výkon opatrení </w:t>
      </w:r>
      <w:proofErr w:type="spellStart"/>
      <w:r>
        <w:rPr>
          <w:rStyle w:val="Zvraznenie"/>
          <w:rFonts w:ascii="Arial" w:hAnsi="Arial" w:cs="Arial"/>
          <w:i w:val="0"/>
        </w:rPr>
        <w:t>SPOaSK</w:t>
      </w:r>
      <w:proofErr w:type="spellEnd"/>
      <w:r>
        <w:rPr>
          <w:rFonts w:ascii="Arial" w:hAnsi="Arial" w:cs="Arial"/>
        </w:rPr>
        <w:t xml:space="preserve">  na </w:t>
      </w:r>
      <w:proofErr w:type="spellStart"/>
      <w:r>
        <w:rPr>
          <w:rFonts w:ascii="Arial" w:hAnsi="Arial" w:cs="Arial"/>
        </w:rPr>
        <w:t>komunitnej</w:t>
      </w:r>
      <w:proofErr w:type="spellEnd"/>
      <w:r>
        <w:rPr>
          <w:rFonts w:ascii="Arial" w:hAnsi="Arial" w:cs="Arial"/>
        </w:rPr>
        <w:t xml:space="preserve"> báze, t.j. v prirodzenom sociálnom prostredí alebo v prirodzených spoločenstvách organizačne a kultúrne čo najviac podobných bežnej rodine;</w:t>
      </w:r>
    </w:p>
    <w:p>
      <w:pPr>
        <w:pStyle w:val="Odsekzoznamu"/>
        <w:numPr>
          <w:ilvl w:val="0"/>
          <w:numId w:val="2"/>
        </w:numPr>
        <w:jc w:val="both"/>
      </w:pPr>
      <w:r>
        <w:rPr>
          <w:rFonts w:ascii="Arial" w:hAnsi="Arial" w:cs="Arial"/>
        </w:rPr>
        <w:t xml:space="preserve">skvalitnenie a rozšírenie ponuky existujúcich sociálnych služieb a opatrení </w:t>
      </w:r>
      <w:proofErr w:type="spellStart"/>
      <w:r>
        <w:rPr>
          <w:rStyle w:val="Zvraznenie"/>
          <w:rFonts w:ascii="Arial" w:hAnsi="Arial" w:cs="Arial"/>
          <w:i w:val="0"/>
        </w:rPr>
        <w:t>SPOaSK</w:t>
      </w:r>
      <w:proofErr w:type="spellEnd"/>
      <w:r>
        <w:rPr>
          <w:rFonts w:ascii="Arial" w:hAnsi="Arial" w:cs="Arial"/>
        </w:rPr>
        <w:t xml:space="preserve">, ktoré sa poskytujú/vykonávajú na </w:t>
      </w:r>
      <w:proofErr w:type="spellStart"/>
      <w:r>
        <w:rPr>
          <w:rFonts w:ascii="Arial" w:hAnsi="Arial" w:cs="Arial"/>
        </w:rPr>
        <w:t>komunitnej</w:t>
      </w:r>
      <w:proofErr w:type="spellEnd"/>
      <w:r>
        <w:rPr>
          <w:rFonts w:ascii="Arial" w:hAnsi="Arial" w:cs="Arial"/>
        </w:rPr>
        <w:t xml:space="preserve"> báze, v prirodzenom rodinnom prostredí, resp. náhradnom rodinnom prostredí, vrátane inovatívnych služieb </w:t>
      </w:r>
      <w:proofErr w:type="spellStart"/>
      <w:r>
        <w:rPr>
          <w:rFonts w:ascii="Arial" w:hAnsi="Arial" w:cs="Arial"/>
        </w:rPr>
        <w:t>komunitnej</w:t>
      </w:r>
      <w:proofErr w:type="spellEnd"/>
      <w:r>
        <w:rPr>
          <w:rFonts w:ascii="Arial" w:hAnsi="Arial" w:cs="Arial"/>
        </w:rPr>
        <w:t xml:space="preserve"> starostlivosti a inovatívnych opatrení;</w:t>
      </w:r>
    </w:p>
    <w:p>
      <w:pPr>
        <w:pStyle w:val="Odsekzoznamu"/>
        <w:numPr>
          <w:ilvl w:val="0"/>
          <w:numId w:val="2"/>
        </w:numPr>
        <w:jc w:val="both"/>
      </w:pPr>
      <w:r>
        <w:rPr>
          <w:rFonts w:ascii="Arial" w:hAnsi="Arial" w:cs="Arial"/>
        </w:rPr>
        <w:t>vybudovanie siete zariadení starostlivosti o detí do troch rokov veku za účelom podpory zosúladenia rodinného a pracovného života rodičov a zvýšenia zamestnanosti žien;</w:t>
      </w:r>
    </w:p>
    <w:p>
      <w:pPr>
        <w:pStyle w:val="Odsekzoznamu"/>
        <w:numPr>
          <w:ilvl w:val="0"/>
          <w:numId w:val="2"/>
        </w:numPr>
        <w:jc w:val="both"/>
      </w:pPr>
      <w:r>
        <w:rPr>
          <w:rFonts w:ascii="Arial" w:hAnsi="Arial" w:cs="Arial"/>
        </w:rPr>
        <w:t xml:space="preserve">zabezpečenie nových sociálnych služieb a opatrení </w:t>
      </w:r>
      <w:proofErr w:type="spellStart"/>
      <w:r>
        <w:rPr>
          <w:rStyle w:val="Zvraznenie"/>
          <w:rFonts w:ascii="Arial" w:hAnsi="Arial" w:cs="Arial"/>
          <w:i w:val="0"/>
        </w:rPr>
        <w:t>SPOaSK</w:t>
      </w:r>
      <w:proofErr w:type="spellEnd"/>
      <w:r>
        <w:rPr>
          <w:rFonts w:ascii="Arial" w:hAnsi="Arial" w:cs="Arial"/>
        </w:rPr>
        <w:t xml:space="preserve">, ktoré sa poskytujú/vykonávajú na </w:t>
      </w:r>
      <w:proofErr w:type="spellStart"/>
      <w:r>
        <w:rPr>
          <w:rFonts w:ascii="Arial" w:hAnsi="Arial" w:cs="Arial"/>
        </w:rPr>
        <w:t>komunitnej</w:t>
      </w:r>
      <w:proofErr w:type="spellEnd"/>
      <w:r>
        <w:rPr>
          <w:rFonts w:ascii="Arial" w:hAnsi="Arial" w:cs="Arial"/>
        </w:rPr>
        <w:t xml:space="preserve"> báze, vrátane inovatívnych služieb a opatrení </w:t>
      </w:r>
      <w:proofErr w:type="spellStart"/>
      <w:r>
        <w:rPr>
          <w:rFonts w:ascii="Arial" w:hAnsi="Arial" w:cs="Arial"/>
        </w:rPr>
        <w:t>komunitnej</w:t>
      </w:r>
      <w:proofErr w:type="spellEnd"/>
      <w:r>
        <w:rPr>
          <w:rFonts w:ascii="Arial" w:hAnsi="Arial" w:cs="Arial"/>
        </w:rPr>
        <w:t xml:space="preserve"> starostlivosti;</w:t>
      </w:r>
    </w:p>
    <w:p>
      <w:pPr>
        <w:pStyle w:val="Odsekzoznamu"/>
        <w:numPr>
          <w:ilvl w:val="0"/>
          <w:numId w:val="2"/>
        </w:numPr>
        <w:jc w:val="both"/>
      </w:pPr>
      <w:r>
        <w:rPr>
          <w:rFonts w:ascii="Arial" w:hAnsi="Arial" w:cs="Arial"/>
        </w:rPr>
        <w:t>dostupnosť rôznych foriem podpory rodičom a iným osobám zodpovedným za starostlivosť o dieťa.</w:t>
      </w:r>
    </w:p>
    <w:p>
      <w:pPr>
        <w:rPr>
          <w:rStyle w:val="Zvraznenie"/>
          <w:rFonts w:ascii="Arial" w:hAnsi="Arial" w:cs="Arial"/>
        </w:rPr>
      </w:pPr>
      <w:r>
        <w:rPr>
          <w:rStyle w:val="Siln"/>
          <w:rFonts w:ascii="Arial" w:hAnsi="Arial" w:cs="Arial"/>
        </w:rPr>
        <w:t>Tabuľka č. 10</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tc>
          <w:tcPr>
            <w:tcW w:w="40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w:t>
            </w:r>
            <w:proofErr w:type="spellStart"/>
            <w:r>
              <w:rPr>
                <w:rFonts w:ascii="Arial" w:hAnsi="Arial" w:cs="Arial"/>
                <w:sz w:val="16"/>
                <w:szCs w:val="16"/>
              </w:rPr>
              <w:t>komunitnej</w:t>
            </w:r>
            <w:proofErr w:type="spellEnd"/>
            <w:r>
              <w:rPr>
                <w:rFonts w:ascii="Arial" w:hAnsi="Arial" w:cs="Arial"/>
                <w:sz w:val="16"/>
                <w:szCs w:val="16"/>
              </w:rPr>
              <w:t xml:space="preserve">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w:t>
            </w:r>
            <w:r>
              <w:rPr>
                <w:rFonts w:ascii="Arial" w:hAnsi="Arial" w:cs="Arial"/>
                <w:sz w:val="16"/>
                <w:szCs w:val="16"/>
              </w:rPr>
              <w:lastRenderedPageBreak/>
              <w:t xml:space="preserve">seniorov), ktorým je poskytovaná sociálna služba na </w:t>
            </w:r>
            <w:proofErr w:type="spellStart"/>
            <w:r>
              <w:rPr>
                <w:rFonts w:ascii="Arial" w:hAnsi="Arial" w:cs="Arial"/>
                <w:sz w:val="16"/>
                <w:szCs w:val="16"/>
              </w:rPr>
              <w:t>komunitnej</w:t>
            </w:r>
            <w:proofErr w:type="spellEnd"/>
            <w:r>
              <w:rPr>
                <w:rFonts w:ascii="Arial" w:hAnsi="Arial" w:cs="Arial"/>
                <w:sz w:val="16"/>
                <w:szCs w:val="16"/>
              </w:rPr>
              <w:t xml:space="preserve"> úrovni 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Štatistické výkazy MPSVR SR,</w:t>
            </w:r>
          </w:p>
          <w:p>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40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Štatistické výkazy MPSVR SR,</w:t>
            </w:r>
          </w:p>
          <w:p>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jc w:val="both"/>
        <w:rPr>
          <w:rFonts w:ascii="Arial" w:hAnsi="Arial" w:cs="Arial"/>
          <w:b/>
        </w:rPr>
      </w:pPr>
      <w:r>
        <w:rPr>
          <w:rFonts w:ascii="Arial" w:hAnsi="Arial" w:cs="Arial"/>
          <w:b/>
        </w:rPr>
        <w:t>Špecifický cieľ č. 2.1.2:</w:t>
      </w:r>
    </w:p>
    <w:p>
      <w:pPr>
        <w:shd w:val="clear" w:color="auto" w:fill="D9D9D9"/>
        <w:jc w:val="both"/>
        <w:rPr>
          <w:rFonts w:ascii="Arial" w:hAnsi="Arial" w:cs="Arial"/>
        </w:rPr>
      </w:pPr>
      <w:r>
        <w:rPr>
          <w:rStyle w:val="Zvraznenie"/>
          <w:rFonts w:ascii="Arial" w:hAnsi="Arial" w:cs="Arial"/>
        </w:rPr>
        <w:t>Modernizovať zdravotnícku infraštruktúru za účelom zlepšenia dostupnosti ku kvalitným  službám v integrovanej primárnej zdravotnej starostlivosti</w:t>
      </w:r>
    </w:p>
    <w:p>
      <w:pPr>
        <w:spacing w:before="120"/>
        <w:jc w:val="both"/>
        <w:rPr>
          <w:rFonts w:ascii="Arial" w:eastAsiaTheme="minorHAnsi" w:hAnsi="Arial" w:cs="Arial"/>
        </w:rPr>
      </w:pPr>
      <w:r>
        <w:rPr>
          <w:rFonts w:ascii="Arial" w:eastAsiaTheme="minorHAnsi" w:hAnsi="Arial" w:cs="Arial"/>
        </w:rPr>
        <w:t>Nízka úroveň a záchyt chronických ochorení v ranom štádiu a neefektívny manažment pacienta v primárnej ambulantnej a následnej zdravotnej starostlivosti zvyšuje nároky na špecializovanú starostlivosť ako aj hospitalizácie a zhoršuje zdravotný stav obyvateľstva SR, čím hlavne starších obyvateľov v produktívnom veku znevýhodňuje na trhu práce a prispieva k sociálnemu vylúčeniu.</w:t>
      </w:r>
    </w:p>
    <w:p>
      <w:pPr>
        <w:jc w:val="both"/>
        <w:rPr>
          <w:rFonts w:ascii="Arial" w:hAnsi="Arial" w:cs="Arial"/>
          <w:color w:val="222222"/>
          <w:sz w:val="24"/>
          <w:szCs w:val="24"/>
        </w:rPr>
      </w:pPr>
      <w:r>
        <w:rPr>
          <w:rFonts w:ascii="Arial" w:hAnsi="Arial" w:cs="Arial"/>
        </w:rPr>
        <w:t xml:space="preserve">Jedna z príčin tejto skutočnosti je nízka integrácia poskytovateľov zdravotnej starostlivosti, ktorú dokazuje vysoká rozdrobenosť poskytovateľov primárnej zdravotnej starostlivosti v rámci územia Slovenska, kde v 623 územných jednotkách (obciach) je 1774 kontaktných miest </w:t>
      </w:r>
      <w:r>
        <w:rPr>
          <w:rStyle w:val="hps"/>
          <w:rFonts w:ascii="Arial" w:hAnsi="Arial" w:cs="Arial"/>
        </w:rPr>
        <w:t xml:space="preserve">(adresa zdravotníckeho zariadenia) </w:t>
      </w:r>
      <w:r>
        <w:rPr>
          <w:rFonts w:ascii="Arial" w:hAnsi="Arial" w:cs="Arial"/>
        </w:rPr>
        <w:t xml:space="preserve">s celkovým počtom 2893 lekárov primárneho kontaktu (všeobecní lekári pre dospelých a všeobecní lekári pre deti a dorast). </w:t>
      </w:r>
      <w:r>
        <w:rPr>
          <w:rStyle w:val="hps"/>
          <w:rFonts w:ascii="Arial" w:hAnsi="Arial" w:cs="Arial"/>
        </w:rPr>
        <w:t xml:space="preserve">V súčasnosti pripadá na jedno kontaktné miesto  iba 1,63 plného úväzku všeobecného lekára primárneho kontaktu. </w:t>
      </w:r>
      <w:r>
        <w:rPr>
          <w:rFonts w:ascii="Arial" w:hAnsi="Arial" w:cs="Arial"/>
        </w:rPr>
        <w:t xml:space="preserve">Zo skúseností z iných krajín je evidentné, že systémy zdravotnej starostlivosti, kde funguje skupinová spolupráca lekárov primárnej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 </w:t>
      </w:r>
    </w:p>
    <w:p>
      <w:pPr>
        <w:jc w:val="both"/>
        <w:rPr>
          <w:rFonts w:ascii="Arial" w:hAnsi="Arial" w:cs="Arial"/>
          <w:color w:val="222222"/>
          <w:sz w:val="24"/>
          <w:szCs w:val="24"/>
        </w:rPr>
      </w:pPr>
      <w:r>
        <w:rPr>
          <w:rStyle w:val="hps"/>
          <w:rFonts w:ascii="Arial" w:hAnsi="Arial" w:cs="Arial"/>
        </w:rPr>
        <w:t>Primárna</w:t>
      </w:r>
      <w:r>
        <w:rPr>
          <w:rFonts w:ascii="Arial" w:hAnsi="Arial" w:cs="Arial"/>
        </w:rPr>
        <w:t xml:space="preserve"> </w:t>
      </w:r>
      <w:r>
        <w:rPr>
          <w:rStyle w:val="hps"/>
          <w:rFonts w:ascii="Arial" w:hAnsi="Arial" w:cs="Arial"/>
        </w:rPr>
        <w:t>zdravotná starostlivosť</w:t>
      </w:r>
      <w:r>
        <w:rPr>
          <w:rFonts w:ascii="Arial" w:hAnsi="Arial" w:cs="Arial"/>
        </w:rPr>
        <w:t xml:space="preserve"> je základným pilierom zdravotnej starostlivosti a je dôležité ju prispôsobiť súčasným a budúcim požiadavkám a trendom ako sú </w:t>
      </w:r>
      <w:r>
        <w:rPr>
          <w:rStyle w:val="hps"/>
          <w:rFonts w:ascii="Arial" w:hAnsi="Arial" w:cs="Arial"/>
        </w:rPr>
        <w:t>zvyšujúca</w:t>
      </w:r>
      <w:r>
        <w:rPr>
          <w:rFonts w:ascii="Arial" w:hAnsi="Arial" w:cs="Arial"/>
        </w:rPr>
        <w:t xml:space="preserve"> </w:t>
      </w:r>
      <w:r>
        <w:rPr>
          <w:rStyle w:val="hps"/>
          <w:rFonts w:ascii="Arial" w:hAnsi="Arial" w:cs="Arial"/>
        </w:rPr>
        <w:t>sa</w:t>
      </w:r>
      <w:r>
        <w:rPr>
          <w:rFonts w:ascii="Arial" w:hAnsi="Arial" w:cs="Arial"/>
        </w:rPr>
        <w:t xml:space="preserve"> </w:t>
      </w:r>
      <w:proofErr w:type="spellStart"/>
      <w:r>
        <w:rPr>
          <w:rFonts w:ascii="Arial" w:hAnsi="Arial" w:cs="Arial"/>
        </w:rPr>
        <w:t>prevalencia</w:t>
      </w:r>
      <w:proofErr w:type="spellEnd"/>
      <w:r>
        <w:rPr>
          <w:rFonts w:ascii="Arial" w:hAnsi="Arial" w:cs="Arial"/>
        </w:rPr>
        <w:t xml:space="preserve"> </w:t>
      </w:r>
      <w:r>
        <w:rPr>
          <w:rStyle w:val="hps"/>
          <w:rFonts w:ascii="Arial" w:hAnsi="Arial" w:cs="Arial"/>
        </w:rPr>
        <w:t xml:space="preserve">chronických ochorení, </w:t>
      </w:r>
      <w:r>
        <w:rPr>
          <w:rFonts w:ascii="Arial" w:hAnsi="Arial" w:cs="Arial"/>
        </w:rPr>
        <w:t>znižovanie počtu hospitalizácií,</w:t>
      </w:r>
      <w:r>
        <w:rPr>
          <w:rStyle w:val="hps"/>
          <w:rFonts w:ascii="Arial" w:hAnsi="Arial" w:cs="Arial"/>
        </w:rPr>
        <w:t xml:space="preserve"> dopyt po</w:t>
      </w:r>
      <w:r>
        <w:rPr>
          <w:rFonts w:ascii="Arial" w:hAnsi="Arial" w:cs="Arial"/>
        </w:rPr>
        <w:t xml:space="preserve"> </w:t>
      </w:r>
      <w:r>
        <w:rPr>
          <w:rStyle w:val="hps"/>
          <w:rFonts w:ascii="Arial" w:hAnsi="Arial" w:cs="Arial"/>
        </w:rPr>
        <w:t>klinickej</w:t>
      </w:r>
      <w:r>
        <w:rPr>
          <w:rFonts w:ascii="Arial" w:hAnsi="Arial" w:cs="Arial"/>
        </w:rPr>
        <w:t xml:space="preserve"> </w:t>
      </w:r>
      <w:r>
        <w:rPr>
          <w:rStyle w:val="hps"/>
          <w:rFonts w:ascii="Arial" w:hAnsi="Arial" w:cs="Arial"/>
        </w:rPr>
        <w:t>praxi</w:t>
      </w:r>
      <w:r>
        <w:rPr>
          <w:rFonts w:ascii="Arial" w:hAnsi="Arial" w:cs="Arial"/>
        </w:rPr>
        <w:t xml:space="preserve"> </w:t>
      </w:r>
      <w:r>
        <w:rPr>
          <w:rStyle w:val="hps"/>
          <w:rFonts w:ascii="Arial" w:hAnsi="Arial" w:cs="Arial"/>
        </w:rPr>
        <w:t>a</w:t>
      </w:r>
      <w:r>
        <w:rPr>
          <w:rFonts w:ascii="Arial" w:hAnsi="Arial" w:cs="Arial"/>
        </w:rPr>
        <w:t xml:space="preserve"> </w:t>
      </w:r>
      <w:r>
        <w:rPr>
          <w:rStyle w:val="hps"/>
          <w:rFonts w:ascii="Arial" w:hAnsi="Arial" w:cs="Arial"/>
        </w:rPr>
        <w:t>školiacich</w:t>
      </w:r>
      <w:r>
        <w:rPr>
          <w:rFonts w:ascii="Arial" w:hAnsi="Arial" w:cs="Arial"/>
        </w:rPr>
        <w:t xml:space="preserve"> </w:t>
      </w:r>
      <w:r>
        <w:rPr>
          <w:rStyle w:val="hps"/>
          <w:rFonts w:ascii="Arial" w:hAnsi="Arial" w:cs="Arial"/>
        </w:rPr>
        <w:t>zariadeniach</w:t>
      </w:r>
      <w:r>
        <w:rPr>
          <w:rFonts w:ascii="Arial" w:hAnsi="Arial" w:cs="Arial"/>
        </w:rPr>
        <w:t xml:space="preserve"> </w:t>
      </w:r>
      <w:r>
        <w:rPr>
          <w:rStyle w:val="hps"/>
          <w:rFonts w:ascii="Arial" w:hAnsi="Arial" w:cs="Arial"/>
        </w:rPr>
        <w:t>pre</w:t>
      </w:r>
      <w:r>
        <w:rPr>
          <w:rFonts w:ascii="Arial" w:hAnsi="Arial" w:cs="Arial"/>
        </w:rPr>
        <w:t xml:space="preserve"> </w:t>
      </w:r>
      <w:r>
        <w:rPr>
          <w:rStyle w:val="hps"/>
          <w:rFonts w:ascii="Arial" w:hAnsi="Arial" w:cs="Arial"/>
        </w:rPr>
        <w:t>primárnu</w:t>
      </w:r>
      <w:r>
        <w:rPr>
          <w:rFonts w:ascii="Arial" w:hAnsi="Arial" w:cs="Arial"/>
        </w:rPr>
        <w:t xml:space="preserve"> </w:t>
      </w:r>
      <w:r>
        <w:rPr>
          <w:rStyle w:val="hps"/>
          <w:rFonts w:ascii="Arial" w:hAnsi="Arial" w:cs="Arial"/>
        </w:rPr>
        <w:t>zdravotnú starostlivosť, ako aj starnutie obyvateľstva.</w:t>
      </w:r>
    </w:p>
    <w:p>
      <w:pPr>
        <w:jc w:val="both"/>
        <w:rPr>
          <w:rFonts w:ascii="Arial" w:hAnsi="Arial" w:cs="Arial"/>
        </w:rPr>
      </w:pPr>
      <w:r>
        <w:rPr>
          <w:rFonts w:ascii="Arial" w:hAnsi="Arial" w:cs="Arial"/>
        </w:rPr>
        <w:t xml:space="preserve"> </w:t>
      </w:r>
    </w:p>
    <w:p>
      <w:pPr>
        <w:jc w:val="both"/>
        <w:rPr>
          <w:rFonts w:ascii="Arial" w:hAnsi="Arial" w:cs="Arial"/>
        </w:rPr>
      </w:pPr>
      <w:r>
        <w:rPr>
          <w:rFonts w:ascii="Arial" w:hAnsi="Arial" w:cs="Arial"/>
          <w:b/>
        </w:rPr>
        <w:lastRenderedPageBreak/>
        <w:t>Výsledok podpory IROP:</w:t>
      </w:r>
    </w:p>
    <w:p>
      <w:pPr>
        <w:jc w:val="both"/>
        <w:rPr>
          <w:rFonts w:ascii="Arial" w:hAnsi="Arial" w:cs="Arial"/>
          <w:lang w:eastAsia="sk-SK"/>
        </w:rPr>
      </w:pPr>
      <w:r>
        <w:rPr>
          <w:rFonts w:ascii="Arial" w:hAnsi="Arial" w:cs="Arial"/>
        </w:rPr>
        <w:t xml:space="preserve">Prostredníctvom koordinovaných </w:t>
      </w:r>
      <w:proofErr w:type="spellStart"/>
      <w:r>
        <w:rPr>
          <w:rFonts w:ascii="Arial" w:hAnsi="Arial" w:cs="Arial"/>
        </w:rPr>
        <w:t>multifondových</w:t>
      </w:r>
      <w:proofErr w:type="spellEnd"/>
      <w:r>
        <w:rPr>
          <w:rFonts w:ascii="Arial" w:hAnsi="Arial" w:cs="Arial"/>
        </w:rPr>
        <w:t xml:space="preserve"> štrukturálnych intervencií do infraštruktúry a kapacít poskytovateľov zdravotnej starostlivosti dosiahnuté reformné zmeny v štruktúre služieb v prospech zvýšenia podielu primárnej ambulantnej starostlivosti oproti akútnej ústavnej starostlivosti a zvýšenia úrovne jej regionálnej integrácie s ústavnou a sociálnou starostlivosťou. </w:t>
      </w:r>
    </w:p>
    <w:p>
      <w:pPr>
        <w:jc w:val="both"/>
        <w:rPr>
          <w:rFonts w:ascii="Arial" w:hAnsi="Arial" w:cs="Arial"/>
          <w:lang w:eastAsia="sk-SK"/>
        </w:rPr>
      </w:pPr>
      <w:r>
        <w:rPr>
          <w:rFonts w:ascii="Arial" w:hAnsi="Arial" w:cs="Arial"/>
          <w:lang w:eastAsia="sk-SK"/>
        </w:rPr>
        <w:t>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zdravotnej starostlivosti ako hlavných manažérov pacienta („</w:t>
      </w:r>
      <w:r>
        <w:rPr>
          <w:rFonts w:ascii="Arial" w:hAnsi="Arial" w:cs="Arial"/>
          <w:i/>
          <w:lang w:eastAsia="sk-SK"/>
        </w:rPr>
        <w:t xml:space="preserve">gate </w:t>
      </w:r>
      <w:proofErr w:type="spellStart"/>
      <w:r>
        <w:rPr>
          <w:rFonts w:ascii="Arial" w:hAnsi="Arial" w:cs="Arial"/>
          <w:i/>
          <w:lang w:eastAsia="sk-SK"/>
        </w:rPr>
        <w:t>keeper</w:t>
      </w:r>
      <w:proofErr w:type="spellEnd"/>
      <w:r>
        <w:rPr>
          <w:rFonts w:ascii="Arial" w:hAnsi="Arial" w:cs="Arial"/>
          <w:lang w:eastAsia="sk-SK"/>
        </w:rPr>
        <w:t xml:space="preserve">“) (synergia s aktivitami tvorby a zavedenia nových a inovovaných klinických postupov a postupov pre výkon prevencie financovaných z OP Ľudské zdroje), znížia sa prevádzkové náklady (koncentrácia poskytovateľov na jednom mieste, administratíva, </w:t>
      </w:r>
      <w:proofErr w:type="spellStart"/>
      <w:r>
        <w:rPr>
          <w:rFonts w:ascii="Arial" w:hAnsi="Arial" w:cs="Arial"/>
          <w:lang w:eastAsia="sk-SK"/>
        </w:rPr>
        <w:t>zdieľanie</w:t>
      </w:r>
      <w:proofErr w:type="spellEnd"/>
      <w:r>
        <w:rPr>
          <w:rFonts w:ascii="Arial" w:hAnsi="Arial" w:cs="Arial"/>
          <w:lang w:eastAsia="sk-SK"/>
        </w:rPr>
        <w:t xml:space="preserve"> prístrojového vybavenia, atď.), zefektívni sa komunikácia a spolupráca lekárov prvého kontaktu („</w:t>
      </w:r>
      <w:proofErr w:type="spellStart"/>
      <w:r>
        <w:rPr>
          <w:rFonts w:ascii="Arial" w:hAnsi="Arial" w:cs="Arial"/>
          <w:i/>
          <w:lang w:eastAsia="sk-SK"/>
        </w:rPr>
        <w:t>sharing</w:t>
      </w:r>
      <w:proofErr w:type="spellEnd"/>
      <w:r>
        <w:rPr>
          <w:rFonts w:ascii="Arial" w:hAnsi="Arial" w:cs="Arial"/>
          <w:i/>
          <w:lang w:eastAsia="sk-SK"/>
        </w:rPr>
        <w:t xml:space="preserve"> </w:t>
      </w:r>
      <w:proofErr w:type="spellStart"/>
      <w:r>
        <w:rPr>
          <w:rFonts w:ascii="Arial" w:hAnsi="Arial" w:cs="Arial"/>
          <w:i/>
          <w:lang w:eastAsia="sk-SK"/>
        </w:rPr>
        <w:t>best</w:t>
      </w:r>
      <w:proofErr w:type="spellEnd"/>
      <w:r>
        <w:rPr>
          <w:rFonts w:ascii="Arial" w:hAnsi="Arial" w:cs="Arial"/>
          <w:i/>
          <w:lang w:eastAsia="sk-SK"/>
        </w:rPr>
        <w:t xml:space="preserve"> </w:t>
      </w:r>
      <w:proofErr w:type="spellStart"/>
      <w:r>
        <w:rPr>
          <w:rFonts w:ascii="Arial" w:hAnsi="Arial" w:cs="Arial"/>
          <w:i/>
          <w:lang w:eastAsia="sk-SK"/>
        </w:rPr>
        <w:t>practices</w:t>
      </w:r>
      <w:proofErr w:type="spellEnd"/>
      <w:r>
        <w:rPr>
          <w:rFonts w:ascii="Arial" w:hAnsi="Arial" w:cs="Arial"/>
          <w:lang w:eastAsia="sk-SK"/>
        </w:rPr>
        <w:t xml:space="preserve">“) za možnej účasti konziliárnej starostlivosti poskytovateľov špecializovanej ambulantnej zdravotnej starostlivosti. Správna organizácia primárnej zdravotnej starostlivosti prináša významné šetrenie verejných zdrojov. Zároveň sa vytvoria podmienky pre zatraktívnenie a udržanie mladých lekárov v oblasti primárnej zdravotnej starostlivosti. </w:t>
      </w:r>
    </w:p>
    <w:p>
      <w:pPr>
        <w:jc w:val="both"/>
        <w:rPr>
          <w:rFonts w:ascii="Arial" w:hAnsi="Arial" w:cs="Arial"/>
          <w:lang w:eastAsia="sk-SK"/>
        </w:rPr>
      </w:pPr>
      <w:proofErr w:type="spellStart"/>
      <w:r>
        <w:rPr>
          <w:rFonts w:ascii="Arial" w:hAnsi="Arial" w:cs="Arial"/>
          <w:lang w:eastAsia="sk-SK"/>
        </w:rPr>
        <w:t>Sumarizácia</w:t>
      </w:r>
      <w:proofErr w:type="spellEnd"/>
      <w:r>
        <w:rPr>
          <w:rFonts w:ascii="Arial" w:hAnsi="Arial" w:cs="Arial"/>
          <w:lang w:eastAsia="sk-SK"/>
        </w:rPr>
        <w:t xml:space="preserve"> hlavných očakávaných výsledkov:</w:t>
      </w:r>
    </w:p>
    <w:p>
      <w:pPr>
        <w:pStyle w:val="Odsekzoznamu"/>
        <w:numPr>
          <w:ilvl w:val="0"/>
          <w:numId w:val="51"/>
        </w:numPr>
        <w:jc w:val="both"/>
        <w:rPr>
          <w:rFonts w:ascii="Arial" w:hAnsi="Arial" w:cs="Arial"/>
          <w:lang w:eastAsia="sk-SK"/>
        </w:rPr>
      </w:pPr>
      <w:r>
        <w:rPr>
          <w:rFonts w:ascii="Arial" w:hAnsi="Arial" w:cs="Arial"/>
          <w:lang w:eastAsia="sk-SK"/>
        </w:rPr>
        <w:t>zvýšenie počtu lekárov primárneho kontaktu na jedno kontaktné miesto</w:t>
      </w:r>
    </w:p>
    <w:p>
      <w:pPr>
        <w:pStyle w:val="Odsekzoznamu"/>
        <w:numPr>
          <w:ilvl w:val="0"/>
          <w:numId w:val="51"/>
        </w:numPr>
        <w:jc w:val="both"/>
        <w:rPr>
          <w:rFonts w:ascii="Arial" w:hAnsi="Arial" w:cs="Arial"/>
          <w:lang w:eastAsia="sk-SK"/>
        </w:rPr>
      </w:pPr>
      <w:r>
        <w:rPr>
          <w:rFonts w:ascii="Arial" w:hAnsi="Arial" w:cs="Arial"/>
          <w:lang w:eastAsia="sk-SK"/>
        </w:rPr>
        <w:t>zníženie priemerného počtu návštev u lekára (na pacienta).</w:t>
      </w:r>
    </w:p>
    <w:p>
      <w:pPr>
        <w:rPr>
          <w:rStyle w:val="Zvraznenie"/>
          <w:rFonts w:ascii="Arial" w:hAnsi="Arial" w:cs="Arial"/>
        </w:rPr>
      </w:pPr>
      <w:r>
        <w:rPr>
          <w:rStyle w:val="Siln"/>
          <w:rFonts w:ascii="Arial" w:hAnsi="Arial" w:cs="Arial"/>
        </w:rPr>
        <w:t>Tabuľka č. 11</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tc>
          <w:tcPr>
            <w:tcW w:w="5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Lekár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1,63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8,00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jc w:val="both"/>
        <w:rPr>
          <w:rFonts w:ascii="Arial" w:hAnsi="Arial" w:cs="Arial"/>
          <w:b/>
        </w:rPr>
      </w:pPr>
      <w:r>
        <w:rPr>
          <w:rFonts w:ascii="Arial" w:hAnsi="Arial" w:cs="Arial"/>
          <w:b/>
        </w:rPr>
        <w:t xml:space="preserve">Špecifický cieľ 2.1.3: </w:t>
      </w:r>
    </w:p>
    <w:p>
      <w:pPr>
        <w:shd w:val="clear" w:color="auto" w:fill="D9D9D9"/>
        <w:jc w:val="both"/>
        <w:rPr>
          <w:rFonts w:ascii="Arial" w:hAnsi="Arial" w:cs="Arial"/>
        </w:rPr>
      </w:pPr>
      <w:r>
        <w:rPr>
          <w:rStyle w:val="Zvraznenie"/>
          <w:rFonts w:ascii="Arial" w:hAnsi="Arial" w:cs="Arial"/>
        </w:rPr>
        <w:t>Modernizovať infraštruktúru ústavných zariadení poskytujúcich akútnu zdravotnú starostlivosť, za účelom zvýšenia produktivity a zlepšenia dostupnosti ku kvalitným zdravotníckym službám</w:t>
      </w:r>
    </w:p>
    <w:p>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Pr>
          <w:rStyle w:val="Odkaznapoznmkupodiarou"/>
          <w:rFonts w:ascii="Arial" w:eastAsiaTheme="minorHAnsi" w:hAnsi="Arial" w:cs="Arial"/>
        </w:rPr>
        <w:footnoteReference w:id="44"/>
      </w:r>
      <w:r>
        <w:rPr>
          <w:rFonts w:ascii="Arial" w:eastAsiaTheme="minorHAnsi" w:hAnsi="Arial" w:cs="Arial"/>
        </w:rPr>
        <w:t xml:space="preserve"> a neefektívny manažment pacienta v následnej zdravotnej starostlivosti sú jedny z hlavných príčin </w:t>
      </w:r>
      <w:r>
        <w:rPr>
          <w:rFonts w:ascii="Arial" w:eastAsiaTheme="minorHAnsi" w:hAnsi="Arial" w:cs="Arial"/>
        </w:rPr>
        <w:lastRenderedPageBreak/>
        <w:t>nákladovej neefektívnosti, zadlžovania a nedostatočnej kvality poskytovania akútnej ústavnej zdravotnej starostlivosti. Služby akútnej ústavnej zdravotnej starostlivosti v aktuálnej štruktúre jej poskytovateľov neprispievajú k zlepšovaniu zlého zdravotného stavu obyvateľstva SR, ktorý hlavne starších obyvateľov v produktívnom veku znevýhodňuje na trhu práce a prispieva k sociálnemu vylúčeniu.</w:t>
      </w:r>
    </w:p>
    <w:p>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w:t>
      </w:r>
      <w:proofErr w:type="spellStart"/>
      <w:r>
        <w:rPr>
          <w:rFonts w:ascii="Arial" w:hAnsi="Arial" w:cs="Arial"/>
        </w:rPr>
        <w:t>obložnosť</w:t>
      </w:r>
      <w:proofErr w:type="spellEnd"/>
      <w:r>
        <w:rPr>
          <w:rFonts w:ascii="Arial" w:hAnsi="Arial" w:cs="Arial"/>
        </w:rPr>
        <w:t xml:space="preserve">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w:t>
      </w:r>
      <w:proofErr w:type="spellStart"/>
      <w:r>
        <w:rPr>
          <w:rFonts w:ascii="Arial" w:hAnsi="Arial" w:cs="Arial"/>
        </w:rPr>
        <w:t>hospitalizovanosť</w:t>
      </w:r>
      <w:proofErr w:type="spellEnd"/>
      <w:r>
        <w:rPr>
          <w:rFonts w:ascii="Arial" w:hAnsi="Arial" w:cs="Arial"/>
        </w:rPr>
        <w:t xml:space="preserve"> pacientov (približne 21 000 hospitalizácií na 100 000 obyvateľov, pričom priemer OECD je približne 16 500 hospitalizácií). Strategickým cieľom MZ SR je do roku 2030 znížiť počet nemocníc poskytujúcich akútnu zdravotnú starostlivosť o 50%, dosiahnuť </w:t>
      </w:r>
      <w:proofErr w:type="spellStart"/>
      <w:r>
        <w:rPr>
          <w:rFonts w:ascii="Arial" w:hAnsi="Arial" w:cs="Arial"/>
        </w:rPr>
        <w:t>obložnosť</w:t>
      </w:r>
      <w:proofErr w:type="spellEnd"/>
      <w:r>
        <w:rPr>
          <w:rFonts w:ascii="Arial" w:hAnsi="Arial" w:cs="Arial"/>
        </w:rPr>
        <w:t xml:space="preserve"> na úrovni 85%, počet akútnych lôžok znížiť na 2,5 lôžok na 1 000 obyvateľov a znížiť priemernú dĺžku akútnych hospitalizácií z  5,6 na 5 dní.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w:t>
      </w:r>
    </w:p>
    <w:p>
      <w:pPr>
        <w:jc w:val="both"/>
        <w:rPr>
          <w:rFonts w:ascii="Arial" w:hAnsi="Arial" w:cs="Arial"/>
        </w:rPr>
      </w:pPr>
      <w:r>
        <w:rPr>
          <w:rFonts w:ascii="Arial" w:hAnsi="Arial" w:cs="Arial"/>
          <w:b/>
        </w:rPr>
        <w:t>Výsledok podpory IROP:</w:t>
      </w:r>
    </w:p>
    <w:p>
      <w:pPr>
        <w:jc w:val="both"/>
        <w:rPr>
          <w:rFonts w:ascii="Arial" w:hAnsi="Arial" w:cs="Arial"/>
          <w:lang w:eastAsia="sk-SK"/>
        </w:rPr>
      </w:pPr>
      <w:r>
        <w:rPr>
          <w:rFonts w:ascii="Arial" w:hAnsi="Arial" w:cs="Arial"/>
          <w:lang w:eastAsia="sk-SK"/>
        </w:rPr>
        <w:t>Reformné intervencie do zredukovanej siete akútnych všeobecných nemocníc (</w:t>
      </w:r>
      <w:r>
        <w:rPr>
          <w:rFonts w:ascii="Arial" w:hAnsi="Arial" w:cs="Arial"/>
        </w:rPr>
        <w:t xml:space="preserve">prostredníctvom štrukturálnej optimalizácie kapacít poskytovateľov) sa </w:t>
      </w:r>
      <w:r>
        <w:rPr>
          <w:rFonts w:ascii="Arial" w:hAnsi="Arial" w:cs="Arial"/>
          <w:lang w:eastAsia="sk-SK"/>
        </w:rPr>
        <w:t xml:space="preserve">prejavia zmenami </w:t>
      </w:r>
      <w:r>
        <w:rPr>
          <w:rFonts w:ascii="Arial" w:hAnsi="Arial" w:cs="Arial"/>
        </w:rPr>
        <w:t xml:space="preserve">v štruktúre služieb, stratifikáciou, špecializáciou a koncentráciou kapacít u menšieho množstva poskytovateľov akútnej ústavnej zdravotnej starostlivosti s dosiahnutím efektov </w:t>
      </w:r>
      <w:proofErr w:type="spellStart"/>
      <w:r>
        <w:rPr>
          <w:rFonts w:ascii="Arial" w:hAnsi="Arial" w:cs="Arial"/>
          <w:i/>
        </w:rPr>
        <w:t>economy</w:t>
      </w:r>
      <w:proofErr w:type="spellEnd"/>
      <w:r>
        <w:rPr>
          <w:rFonts w:ascii="Arial" w:hAnsi="Arial" w:cs="Arial"/>
          <w:i/>
        </w:rPr>
        <w:t xml:space="preserve"> </w:t>
      </w:r>
      <w:proofErr w:type="spellStart"/>
      <w:r>
        <w:rPr>
          <w:rFonts w:ascii="Arial" w:hAnsi="Arial" w:cs="Arial"/>
          <w:i/>
        </w:rPr>
        <w:t>of</w:t>
      </w:r>
      <w:proofErr w:type="spellEnd"/>
      <w:r>
        <w:rPr>
          <w:rFonts w:ascii="Arial" w:hAnsi="Arial" w:cs="Arial"/>
          <w:i/>
        </w:rPr>
        <w:t xml:space="preserve"> </w:t>
      </w:r>
      <w:proofErr w:type="spellStart"/>
      <w:r>
        <w:rPr>
          <w:rFonts w:ascii="Arial" w:hAnsi="Arial" w:cs="Arial"/>
          <w:i/>
        </w:rPr>
        <w:t>scale</w:t>
      </w:r>
      <w:proofErr w:type="spellEnd"/>
      <w:r>
        <w:rPr>
          <w:rFonts w:ascii="Arial" w:hAnsi="Arial" w:cs="Arial"/>
        </w:rPr>
        <w:t xml:space="preserve"> a </w:t>
      </w:r>
      <w:proofErr w:type="spellStart"/>
      <w:r>
        <w:rPr>
          <w:rFonts w:ascii="Arial" w:hAnsi="Arial" w:cs="Arial"/>
        </w:rPr>
        <w:t>excelentnosti</w:t>
      </w:r>
      <w:proofErr w:type="spellEnd"/>
      <w:r>
        <w:rPr>
          <w:rFonts w:ascii="Arial" w:hAnsi="Arial" w:cs="Arial"/>
        </w:rPr>
        <w:t xml:space="preserve"> a následných úspor z </w:t>
      </w:r>
      <w:proofErr w:type="spellStart"/>
      <w:r>
        <w:rPr>
          <w:rFonts w:ascii="Arial" w:hAnsi="Arial" w:cs="Arial"/>
        </w:rPr>
        <w:t>reprofilácie</w:t>
      </w:r>
      <w:proofErr w:type="spellEnd"/>
      <w:r>
        <w:rPr>
          <w:rFonts w:ascii="Arial" w:hAnsi="Arial" w:cs="Arial"/>
        </w:rPr>
        <w:t xml:space="preserv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 xml:space="preserve">V podporených všeobecných nemocniciach dôjde následkom týchto štrukturálnych zmien k zlepšeniu parametrov ako objem hospitalizácií, miera </w:t>
      </w:r>
      <w:proofErr w:type="spellStart"/>
      <w:r>
        <w:rPr>
          <w:rFonts w:ascii="Arial" w:hAnsi="Arial" w:cs="Arial"/>
        </w:rPr>
        <w:t>obložnosti</w:t>
      </w:r>
      <w:proofErr w:type="spellEnd"/>
      <w:r>
        <w:rPr>
          <w:rFonts w:ascii="Arial" w:hAnsi="Arial" w:cs="Arial"/>
        </w:rPr>
        <w:t>, k celkovému zvýšeniu produktivity a zníženiu zadlžovania.</w:t>
      </w:r>
    </w:p>
    <w:p>
      <w:pPr>
        <w:jc w:val="both"/>
        <w:rPr>
          <w:rFonts w:ascii="Arial" w:hAnsi="Arial" w:cs="Arial"/>
          <w:lang w:eastAsia="sk-SK"/>
        </w:rPr>
      </w:pPr>
      <w:proofErr w:type="spellStart"/>
      <w:r>
        <w:rPr>
          <w:rFonts w:ascii="Arial" w:hAnsi="Arial" w:cs="Arial"/>
          <w:lang w:eastAsia="sk-SK"/>
        </w:rPr>
        <w:t>Sumarizácia</w:t>
      </w:r>
      <w:proofErr w:type="spellEnd"/>
      <w:r>
        <w:rPr>
          <w:rFonts w:ascii="Arial" w:hAnsi="Arial" w:cs="Arial"/>
          <w:lang w:eastAsia="sk-SK"/>
        </w:rPr>
        <w:t xml:space="preserve"> hlavných očakávaných výsledkov:</w:t>
      </w:r>
    </w:p>
    <w:p>
      <w:pPr>
        <w:pStyle w:val="Odsekzoznamu"/>
        <w:numPr>
          <w:ilvl w:val="0"/>
          <w:numId w:val="51"/>
        </w:numPr>
        <w:jc w:val="both"/>
        <w:rPr>
          <w:rFonts w:ascii="Arial" w:hAnsi="Arial" w:cs="Arial"/>
          <w:lang w:eastAsia="sk-SK"/>
        </w:rPr>
      </w:pPr>
      <w:r>
        <w:rPr>
          <w:rFonts w:ascii="Arial" w:hAnsi="Arial" w:cs="Arial"/>
          <w:lang w:eastAsia="sk-SK"/>
        </w:rPr>
        <w:t xml:space="preserve">zvýšenie </w:t>
      </w:r>
      <w:proofErr w:type="spellStart"/>
      <w:r>
        <w:rPr>
          <w:rFonts w:ascii="Arial" w:hAnsi="Arial" w:cs="Arial"/>
          <w:lang w:eastAsia="sk-SK"/>
        </w:rPr>
        <w:t>obložnosti</w:t>
      </w:r>
      <w:proofErr w:type="spellEnd"/>
      <w:r>
        <w:rPr>
          <w:rFonts w:ascii="Arial" w:hAnsi="Arial" w:cs="Arial"/>
          <w:lang w:eastAsia="sk-SK"/>
        </w:rPr>
        <w:t xml:space="preserve"> akútnych lôžok</w:t>
      </w:r>
    </w:p>
    <w:p>
      <w:pPr>
        <w:pStyle w:val="Odsekzoznamu"/>
        <w:numPr>
          <w:ilvl w:val="0"/>
          <w:numId w:val="51"/>
        </w:numPr>
        <w:jc w:val="both"/>
        <w:rPr>
          <w:rFonts w:ascii="Arial" w:hAnsi="Arial" w:cs="Arial"/>
          <w:lang w:eastAsia="sk-SK"/>
        </w:rPr>
      </w:pPr>
      <w:r>
        <w:rPr>
          <w:rFonts w:ascii="Arial" w:hAnsi="Arial" w:cs="Arial"/>
          <w:lang w:eastAsia="sk-SK"/>
        </w:rPr>
        <w:t>skrátenie doby hospitalizácie</w:t>
      </w:r>
    </w:p>
    <w:p>
      <w:pPr>
        <w:pStyle w:val="Odsekzoznamu"/>
        <w:numPr>
          <w:ilvl w:val="0"/>
          <w:numId w:val="51"/>
        </w:numPr>
        <w:jc w:val="both"/>
        <w:rPr>
          <w:rFonts w:ascii="Arial" w:hAnsi="Arial" w:cs="Arial"/>
          <w:lang w:eastAsia="sk-SK"/>
        </w:rPr>
      </w:pPr>
      <w:r>
        <w:rPr>
          <w:rFonts w:ascii="Arial" w:hAnsi="Arial" w:cs="Arial"/>
          <w:lang w:eastAsia="sk-SK"/>
        </w:rPr>
        <w:t>zníženie počtu nemocníc s akútnymi lôžkami</w:t>
      </w:r>
    </w:p>
    <w:p>
      <w:pPr>
        <w:pStyle w:val="Odsekzoznamu"/>
        <w:numPr>
          <w:ilvl w:val="0"/>
          <w:numId w:val="51"/>
        </w:numPr>
        <w:jc w:val="both"/>
        <w:rPr>
          <w:rFonts w:ascii="Arial" w:hAnsi="Arial" w:cs="Arial"/>
          <w:lang w:eastAsia="sk-SK"/>
        </w:rPr>
      </w:pPr>
      <w:r>
        <w:rPr>
          <w:rFonts w:ascii="Arial" w:hAnsi="Arial" w:cs="Arial"/>
          <w:lang w:eastAsia="sk-SK"/>
        </w:rPr>
        <w:t>zvýšenie počtu akútnych výkonov v zostávajúcich akútnych nemocniciach.</w:t>
      </w: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Zvraznenie"/>
          <w:rFonts w:ascii="Arial" w:hAnsi="Arial" w:cs="Arial"/>
        </w:rPr>
      </w:pPr>
      <w:r>
        <w:rPr>
          <w:rStyle w:val="Siln"/>
          <w:rFonts w:ascii="Arial" w:hAnsi="Arial" w:cs="Arial"/>
        </w:rPr>
        <w:lastRenderedPageBreak/>
        <w:t>Tabuľka č. 12</w:t>
      </w:r>
      <w:r>
        <w:rPr>
          <w:rStyle w:val="Zvraznenie"/>
          <w:rFonts w:ascii="Arial" w:hAnsi="Arial" w:cs="Arial"/>
        </w:rPr>
        <w:t xml:space="preserve"> Špecifické ukazovatele výsledkov pre EFRR (podľa špecifického cieľa)</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76"/>
        <w:gridCol w:w="1177"/>
        <w:gridCol w:w="1184"/>
        <w:gridCol w:w="1083"/>
        <w:gridCol w:w="1293"/>
        <w:gridCol w:w="1293"/>
        <w:gridCol w:w="868"/>
        <w:gridCol w:w="961"/>
        <w:gridCol w:w="1053"/>
      </w:tblGrid>
      <w:tr>
        <w:tc>
          <w:tcPr>
            <w:tcW w:w="37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roofErr w:type="spellStart"/>
            <w:r>
              <w:rPr>
                <w:rFonts w:ascii="Arial" w:hAnsi="Arial" w:cs="Arial"/>
                <w:sz w:val="16"/>
                <w:szCs w:val="16"/>
              </w:rPr>
              <w:t>Obložnosť</w:t>
            </w:r>
            <w:proofErr w:type="spellEnd"/>
            <w:r>
              <w:rPr>
                <w:rFonts w:ascii="Arial" w:hAnsi="Arial" w:cs="Arial"/>
                <w:sz w:val="16"/>
                <w:szCs w:val="16"/>
              </w:rPr>
              <w:t xml:space="preserve">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5"/>
        <w:shd w:val="clear" w:color="auto" w:fill="B8C1E9"/>
        <w:rPr>
          <w:rFonts w:ascii="Arial" w:hAnsi="Arial" w:cs="Arial"/>
        </w:rPr>
      </w:pPr>
      <w:bookmarkStart w:id="30" w:name="_Toc387651808"/>
      <w:r>
        <w:rPr>
          <w:rFonts w:ascii="Arial" w:hAnsi="Arial" w:cs="Arial"/>
        </w:rPr>
        <w:t>Akcia, ktorá sa má podporiť v rámci investičnej priority</w:t>
      </w:r>
      <w:bookmarkEnd w:id="30"/>
    </w:p>
    <w:p>
      <w:pPr>
        <w:rPr>
          <w:rFonts w:ascii="Arial" w:hAnsi="Arial" w:cs="Arial"/>
        </w:rPr>
      </w:pPr>
    </w:p>
    <w:p>
      <w:pPr>
        <w:pStyle w:val="Nadpis6"/>
        <w:rPr>
          <w:rFonts w:ascii="Arial" w:hAnsi="Arial" w:cs="Arial"/>
        </w:rPr>
      </w:pPr>
      <w:bookmarkStart w:id="31" w:name="_Toc387651809"/>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31"/>
    </w:p>
    <w:p>
      <w:pPr>
        <w:spacing w:before="120"/>
        <w:jc w:val="both"/>
        <w:rPr>
          <w:rFonts w:ascii="Arial" w:hAnsi="Arial" w:cs="Arial"/>
          <w:color w:val="FF0000"/>
        </w:rPr>
      </w:pPr>
      <w:r>
        <w:rPr>
          <w:rFonts w:ascii="Arial" w:hAnsi="Arial" w:cs="Arial"/>
          <w:b/>
        </w:rPr>
        <w:t>Špecifický cieľ 2.1.1</w:t>
      </w:r>
      <w:r>
        <w:rPr>
          <w:rFonts w:ascii="Arial" w:hAnsi="Arial" w:cs="Arial"/>
        </w:rPr>
        <w:t xml:space="preserve"> sa dosiahne realizáciou nasledovných aktivít:</w:t>
      </w:r>
    </w:p>
    <w:p>
      <w:pPr>
        <w:pStyle w:val="Odsekzoznamu"/>
        <w:numPr>
          <w:ilvl w:val="0"/>
          <w:numId w:val="2"/>
        </w:numPr>
        <w:jc w:val="both"/>
        <w:rPr>
          <w:rFonts w:ascii="Arial" w:hAnsi="Arial" w:cs="Arial"/>
        </w:rPr>
      </w:pPr>
      <w:r>
        <w:rPr>
          <w:rFonts w:ascii="Arial" w:hAnsi="Arial" w:cs="Arial"/>
        </w:rPr>
        <w:t>príprava projektovej dokumentácie;</w:t>
      </w:r>
    </w:p>
    <w:p>
      <w:pPr>
        <w:pStyle w:val="Odsekzoznamu"/>
        <w:numPr>
          <w:ilvl w:val="0"/>
          <w:numId w:val="2"/>
        </w:numPr>
        <w:jc w:val="both"/>
        <w:rPr>
          <w:rFonts w:ascii="Arial" w:hAnsi="Arial" w:cs="Arial"/>
        </w:rPr>
      </w:pPr>
      <w:r>
        <w:rPr>
          <w:rFonts w:ascii="Arial" w:hAnsi="Arial" w:cs="Arial"/>
        </w:rPr>
        <w:t xml:space="preserve">rekonštrukcia (vrátane rozširovania) a modernizácia vhodných stavebných objektov tak, aby sa vytvorili priestorové podmienky pre poskytovanie a zabezpečenie </w:t>
      </w:r>
      <w:proofErr w:type="spellStart"/>
      <w:r>
        <w:rPr>
          <w:rFonts w:ascii="Arial" w:hAnsi="Arial" w:cs="Arial"/>
        </w:rPr>
        <w:t>komunitnej</w:t>
      </w:r>
      <w:proofErr w:type="spellEnd"/>
      <w:r>
        <w:rPr>
          <w:rFonts w:ascii="Arial" w:hAnsi="Arial" w:cs="Arial"/>
        </w:rPr>
        <w:t xml:space="preserve"> starostlivosti v súlade s princípmi deinštitucionalizácie;</w:t>
      </w:r>
    </w:p>
    <w:p>
      <w:pPr>
        <w:pStyle w:val="Odsekzoznamu"/>
        <w:numPr>
          <w:ilvl w:val="0"/>
          <w:numId w:val="2"/>
        </w:numPr>
        <w:jc w:val="both"/>
        <w:rPr>
          <w:rFonts w:ascii="Arial" w:hAnsi="Arial" w:cs="Arial"/>
        </w:rPr>
      </w:pPr>
      <w:r>
        <w:rPr>
          <w:rFonts w:ascii="Arial" w:hAnsi="Arial" w:cs="Arial"/>
        </w:rPr>
        <w:t xml:space="preserve">rekonštrukcia (vrátane rozširovania) a modernizácia stavebných objektov existujúcich zariadení, ktoré už poskytujú a zabezpečujú služby na </w:t>
      </w:r>
      <w:proofErr w:type="spellStart"/>
      <w:r>
        <w:rPr>
          <w:rFonts w:ascii="Arial" w:hAnsi="Arial" w:cs="Arial"/>
        </w:rPr>
        <w:t>komunitnej</w:t>
      </w:r>
      <w:proofErr w:type="spellEnd"/>
      <w:r>
        <w:rPr>
          <w:rFonts w:ascii="Arial" w:hAnsi="Arial" w:cs="Arial"/>
        </w:rPr>
        <w:t xml:space="preserve"> báze;</w:t>
      </w:r>
    </w:p>
    <w:p>
      <w:pPr>
        <w:pStyle w:val="Odsekzoznamu"/>
        <w:numPr>
          <w:ilvl w:val="0"/>
          <w:numId w:val="2"/>
        </w:numPr>
        <w:jc w:val="both"/>
        <w:rPr>
          <w:rFonts w:ascii="Arial" w:hAnsi="Arial" w:cs="Arial"/>
        </w:rPr>
      </w:pPr>
      <w:r>
        <w:rPr>
          <w:rFonts w:ascii="Arial" w:hAnsi="Arial" w:cs="Arial"/>
        </w:rPr>
        <w:t>zriaďovanie a výstavba nových stavebných objektov zariadení sociálnych služieb a sociálnoprávnej ochrany detí a sociálnej kurately (ďalej aj „</w:t>
      </w:r>
      <w:proofErr w:type="spellStart"/>
      <w:r>
        <w:rPr>
          <w:rFonts w:ascii="Arial" w:hAnsi="Arial" w:cs="Arial"/>
        </w:rPr>
        <w:t>SPOaSK</w:t>
      </w:r>
      <w:proofErr w:type="spellEnd"/>
      <w:r>
        <w:rPr>
          <w:rFonts w:ascii="Arial" w:hAnsi="Arial" w:cs="Arial"/>
        </w:rPr>
        <w:t xml:space="preserve">“) vrátane tých, ktoré poskytujú inovatívne formy </w:t>
      </w:r>
      <w:proofErr w:type="spellStart"/>
      <w:r>
        <w:rPr>
          <w:rFonts w:ascii="Arial" w:hAnsi="Arial" w:cs="Arial"/>
        </w:rPr>
        <w:t>komunitnej</w:t>
      </w:r>
      <w:proofErr w:type="spellEnd"/>
      <w:r>
        <w:rPr>
          <w:rFonts w:ascii="Arial" w:hAnsi="Arial" w:cs="Arial"/>
        </w:rPr>
        <w:t xml:space="preserve"> starostlivosti a opatrení na podporu zotrvania/návratu detí v prirodzenom rodinnom prostredí, resp. podporu náhradného rodinného prostredia;</w:t>
      </w:r>
    </w:p>
    <w:p>
      <w:pPr>
        <w:pStyle w:val="Odsekzoznamu"/>
        <w:numPr>
          <w:ilvl w:val="0"/>
          <w:numId w:val="2"/>
        </w:numPr>
        <w:jc w:val="both"/>
        <w:rPr>
          <w:rFonts w:ascii="Arial" w:hAnsi="Arial" w:cs="Arial"/>
        </w:rPr>
      </w:pPr>
      <w:r>
        <w:rPr>
          <w:rFonts w:ascii="Arial" w:hAnsi="Arial" w:cs="Arial"/>
        </w:rPr>
        <w:t>výstavba, rekonštrukcia a modernizácia zariadení na zosúladenie pracovného a súkromného života (jasle pre deti od 0 – 3 rokov);</w:t>
      </w:r>
    </w:p>
    <w:p>
      <w:pPr>
        <w:pStyle w:val="Odsekzoznamu"/>
        <w:numPr>
          <w:ilvl w:val="0"/>
          <w:numId w:val="2"/>
        </w:numPr>
        <w:jc w:val="both"/>
        <w:rPr>
          <w:rFonts w:ascii="Arial" w:hAnsi="Arial" w:cs="Arial"/>
        </w:rPr>
      </w:pPr>
      <w:r>
        <w:rPr>
          <w:rFonts w:ascii="Arial" w:hAnsi="Arial" w:cs="Arial"/>
        </w:rPr>
        <w:t xml:space="preserve">investovanie do materiálno-technického vybavenia zariadení vrátane motorových vozidiel pri zriaďovaní zázemia pre terénne služby a výkonu opatrení </w:t>
      </w:r>
      <w:proofErr w:type="spellStart"/>
      <w:r>
        <w:rPr>
          <w:rFonts w:ascii="Arial" w:hAnsi="Arial" w:cs="Arial"/>
        </w:rPr>
        <w:t>SPOaSK</w:t>
      </w:r>
      <w:proofErr w:type="spellEnd"/>
      <w:r>
        <w:rPr>
          <w:rFonts w:ascii="Arial" w:hAnsi="Arial" w:cs="Arial"/>
        </w:rPr>
        <w:t xml:space="preserve"> v prirodzenom rodinnom, náhradnom rodinnom prostredí a otvorenom prostredí;</w:t>
      </w:r>
    </w:p>
    <w:p>
      <w:pPr>
        <w:pStyle w:val="Odsekzoznamu"/>
        <w:numPr>
          <w:ilvl w:val="0"/>
          <w:numId w:val="2"/>
        </w:numPr>
        <w:jc w:val="both"/>
        <w:rPr>
          <w:rFonts w:ascii="Arial" w:hAnsi="Arial" w:cs="Arial"/>
        </w:rPr>
      </w:pPr>
      <w:r>
        <w:rPr>
          <w:rFonts w:ascii="Arial" w:hAnsi="Arial" w:cs="Arial"/>
        </w:rPr>
        <w:t>opatrenia na zvýšenie energetickej hospodárnosti budov.</w:t>
      </w:r>
    </w:p>
    <w:p>
      <w:pPr>
        <w:jc w:val="both"/>
        <w:rPr>
          <w:rFonts w:ascii="Arial" w:hAnsi="Arial" w:cs="Arial"/>
        </w:rPr>
      </w:pPr>
      <w:r>
        <w:rPr>
          <w:rFonts w:ascii="Arial" w:hAnsi="Arial" w:cs="Arial"/>
        </w:rPr>
        <w:t xml:space="preserve">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w:t>
      </w:r>
      <w:proofErr w:type="spellStart"/>
      <w:r>
        <w:rPr>
          <w:rFonts w:ascii="Arial" w:hAnsi="Arial" w:cs="Arial"/>
        </w:rPr>
        <w:t>SPOaSK</w:t>
      </w:r>
      <w:proofErr w:type="spellEnd"/>
      <w:r>
        <w:rPr>
          <w:rFonts w:ascii="Arial" w:hAnsi="Arial" w:cs="Arial"/>
        </w:rPr>
        <w:t xml:space="preserve"> budú paralelne sprevádzané opatreniami smerujúcimi k zmene spôsobu poskytovania sociálnych služieb a </w:t>
      </w:r>
      <w:proofErr w:type="spellStart"/>
      <w:r>
        <w:rPr>
          <w:rFonts w:ascii="Arial" w:hAnsi="Arial" w:cs="Arial"/>
        </w:rPr>
        <w:t>SPOaSK</w:t>
      </w:r>
      <w:proofErr w:type="spellEnd"/>
      <w:r>
        <w:rPr>
          <w:rFonts w:ascii="Arial" w:hAnsi="Arial" w:cs="Arial"/>
        </w:rPr>
        <w:t xml:space="preserve"> ako sú napr. rozvoj vybraných sociálnych služieb a vybraných opatrení; príprava a podpora vzdelávania zamestnancov a odborného personálu zabezpečujúceho poskytovanie sociálnych služieb a vykonávanie opatrení </w:t>
      </w:r>
      <w:proofErr w:type="spellStart"/>
      <w:r>
        <w:rPr>
          <w:rFonts w:ascii="Arial" w:hAnsi="Arial" w:cs="Arial"/>
        </w:rPr>
        <w:t>SPOaSK</w:t>
      </w:r>
      <w:proofErr w:type="spellEnd"/>
      <w:r>
        <w:rPr>
          <w:rFonts w:ascii="Arial" w:hAnsi="Arial" w:cs="Arial"/>
        </w:rPr>
        <w:t xml:space="preserve"> v podmienkach </w:t>
      </w:r>
      <w:proofErr w:type="spellStart"/>
      <w:r>
        <w:rPr>
          <w:rFonts w:ascii="Arial" w:hAnsi="Arial" w:cs="Arial"/>
        </w:rPr>
        <w:t>komunitnej</w:t>
      </w:r>
      <w:proofErr w:type="spellEnd"/>
      <w:r>
        <w:rPr>
          <w:rFonts w:ascii="Arial" w:hAnsi="Arial" w:cs="Arial"/>
        </w:rPr>
        <w:t xml:space="preserve">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w:t>
      </w:r>
      <w:proofErr w:type="spellStart"/>
      <w:r>
        <w:rPr>
          <w:rFonts w:ascii="Arial" w:hAnsi="Arial" w:cs="Arial"/>
        </w:rPr>
        <w:t>opatrenía</w:t>
      </w:r>
      <w:proofErr w:type="spellEnd"/>
      <w:r>
        <w:rPr>
          <w:rFonts w:ascii="Arial" w:hAnsi="Arial" w:cs="Arial"/>
        </w:rPr>
        <w:t xml:space="preserve"> </w:t>
      </w:r>
      <w:proofErr w:type="spellStart"/>
      <w:r>
        <w:rPr>
          <w:rFonts w:ascii="Arial" w:hAnsi="Arial" w:cs="Arial"/>
        </w:rPr>
        <w:t>SPOaSK</w:t>
      </w:r>
      <w:proofErr w:type="spellEnd"/>
      <w:r>
        <w:rPr>
          <w:rFonts w:ascii="Arial" w:hAnsi="Arial" w:cs="Arial"/>
        </w:rPr>
        <w:t xml:space="preserve"> v zariadení s cieľom eliminácie „syndrómu odporu“; príprava prijímateľov sociálnych služieb a osôb, pre ktoré sú  vykonávané opatrenia </w:t>
      </w:r>
      <w:proofErr w:type="spellStart"/>
      <w:r>
        <w:rPr>
          <w:rFonts w:ascii="Arial" w:hAnsi="Arial" w:cs="Arial"/>
        </w:rPr>
        <w:t>SPOaSK</w:t>
      </w:r>
      <w:proofErr w:type="spellEnd"/>
      <w:r>
        <w:rPr>
          <w:rFonts w:ascii="Arial" w:hAnsi="Arial" w:cs="Arial"/>
        </w:rPr>
        <w:t xml:space="preserve"> </w:t>
      </w:r>
      <w:r>
        <w:rPr>
          <w:rFonts w:ascii="Arial" w:hAnsi="Arial" w:cs="Arial"/>
        </w:rPr>
        <w:lastRenderedPageBreak/>
        <w:t xml:space="preserve">v zariadení, na podmienky nezávislého života v komunite. Zmena fyzického prostredia poskytovania sociálnych služieb alebo výkonu opatrení </w:t>
      </w:r>
      <w:proofErr w:type="spellStart"/>
      <w:r>
        <w:rPr>
          <w:rFonts w:ascii="Arial" w:hAnsi="Arial" w:cs="Arial"/>
        </w:rPr>
        <w:t>SPOaSK</w:t>
      </w:r>
      <w:proofErr w:type="spellEnd"/>
      <w:r>
        <w:rPr>
          <w:rFonts w:ascii="Arial" w:hAnsi="Arial" w:cs="Arial"/>
        </w:rPr>
        <w:t xml:space="preserve"> v zariadení predstavuje presun poskytovania sociálnych služieb alebo výkonu opatrení </w:t>
      </w:r>
      <w:proofErr w:type="spellStart"/>
      <w:r>
        <w:rPr>
          <w:rFonts w:ascii="Arial" w:hAnsi="Arial" w:cs="Arial"/>
        </w:rPr>
        <w:t>SPOaSK</w:t>
      </w:r>
      <w:proofErr w:type="spellEnd"/>
      <w:r>
        <w:rPr>
          <w:rFonts w:ascii="Arial" w:hAnsi="Arial" w:cs="Arial"/>
        </w:rPr>
        <w:t xml:space="preserve"> v zariadení z veľkokapacitného objektu do viacerých menších objektov s nižšou kapacitou prijímateľov alebo osôb (v súlade s platnou legislatívnou úpravou pre daný druh sociálnej služby a opatrenie </w:t>
      </w:r>
      <w:proofErr w:type="spellStart"/>
      <w:r>
        <w:rPr>
          <w:rFonts w:ascii="Arial" w:hAnsi="Arial" w:cs="Arial"/>
        </w:rPr>
        <w:t>SPOaSK</w:t>
      </w:r>
      <w:proofErr w:type="spellEnd"/>
      <w:r>
        <w:rPr>
          <w:rFonts w:ascii="Arial" w:hAnsi="Arial" w:cs="Arial"/>
        </w:rPr>
        <w:t xml:space="preserve"> v zariadení) </w:t>
      </w:r>
      <w:proofErr w:type="spellStart"/>
      <w:r>
        <w:rPr>
          <w:rFonts w:ascii="Arial" w:hAnsi="Arial" w:cs="Arial"/>
        </w:rPr>
        <w:t>komunitného</w:t>
      </w:r>
      <w:proofErr w:type="spellEnd"/>
      <w:r>
        <w:rPr>
          <w:rFonts w:ascii="Arial" w:hAnsi="Arial" w:cs="Arial"/>
        </w:rPr>
        <w:t xml:space="preserve">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proofErr w:type="spellStart"/>
      <w:r>
        <w:rPr>
          <w:rFonts w:ascii="Arial" w:hAnsi="Arial" w:cs="Arial"/>
          <w:i/>
        </w:rPr>
        <w:t>built</w:t>
      </w:r>
      <w:proofErr w:type="spellEnd"/>
      <w:r>
        <w:rPr>
          <w:rFonts w:ascii="Arial" w:hAnsi="Arial" w:cs="Arial"/>
          <w:i/>
        </w:rPr>
        <w:t xml:space="preserve"> </w:t>
      </w:r>
      <w:proofErr w:type="spellStart"/>
      <w:r>
        <w:rPr>
          <w:rFonts w:ascii="Arial" w:hAnsi="Arial" w:cs="Arial"/>
          <w:i/>
        </w:rPr>
        <w:t>environment</w:t>
      </w:r>
      <w:proofErr w:type="spellEnd"/>
      <w:r>
        <w:rPr>
          <w:rFonts w:ascii="Arial" w:hAnsi="Arial" w:cs="Arial"/>
        </w:rPr>
        <w:t xml:space="preserve">“),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w:t>
      </w:r>
      <w:proofErr w:type="spellStart"/>
      <w:r>
        <w:rPr>
          <w:rFonts w:ascii="Arial" w:hAnsi="Arial" w:cs="Arial"/>
        </w:rPr>
        <w:t>SPOaSK</w:t>
      </w:r>
      <w:proofErr w:type="spellEnd"/>
      <w:r>
        <w:rPr>
          <w:rFonts w:ascii="Arial" w:hAnsi="Arial" w:cs="Arial"/>
        </w:rPr>
        <w:t xml:space="preserve"> spočívajúce vo fakte, že jej podstatou je výkon súdneho rozhodnutia.</w:t>
      </w:r>
    </w:p>
    <w:p>
      <w:pPr>
        <w:jc w:val="both"/>
        <w:rPr>
          <w:rFonts w:ascii="Arial" w:hAnsi="Arial" w:cs="Arial"/>
        </w:rPr>
      </w:pPr>
      <w:r>
        <w:rPr>
          <w:rFonts w:ascii="Arial" w:hAnsi="Arial" w:cs="Arial"/>
        </w:rPr>
        <w:t xml:space="preserve">Keďže existujúce veľkokapacitné objekty zariadení nie sú vhodné pre poskytovanie sociálnych služieb a výkon opatrení </w:t>
      </w:r>
      <w:proofErr w:type="spellStart"/>
      <w:r>
        <w:rPr>
          <w:rFonts w:ascii="Arial" w:hAnsi="Arial" w:cs="Arial"/>
        </w:rPr>
        <w:t>SPOaSK</w:t>
      </w:r>
      <w:proofErr w:type="spellEnd"/>
      <w:r>
        <w:rPr>
          <w:rFonts w:ascii="Arial" w:hAnsi="Arial" w:cs="Arial"/>
        </w:rPr>
        <w:t xml:space="preserve"> v zariadení na </w:t>
      </w:r>
      <w:proofErr w:type="spellStart"/>
      <w:r>
        <w:rPr>
          <w:rFonts w:ascii="Arial" w:hAnsi="Arial" w:cs="Arial"/>
        </w:rPr>
        <w:t>komunitnej</w:t>
      </w:r>
      <w:proofErr w:type="spellEnd"/>
      <w:r>
        <w:rPr>
          <w:rFonts w:ascii="Arial" w:hAnsi="Arial" w:cs="Arial"/>
        </w:rPr>
        <w:t xml:space="preserve"> báze, je potrebné zabezpečiť vhodné priestorové podmienky. Z toho dôvodu bude predmetom podpory z IROP aj obstaranie nehnuteľnosti (budovy – rodinný dom alebo bytovej jednotky v bytovom dome alebo pozemku</w:t>
      </w:r>
      <w:r>
        <w:rPr>
          <w:rStyle w:val="Odkaznapoznmkupodiarou"/>
          <w:rFonts w:ascii="Arial" w:hAnsi="Arial" w:cs="Arial"/>
        </w:rPr>
        <w:footnoteReference w:id="45"/>
      </w:r>
      <w:r>
        <w:rPr>
          <w:rFonts w:ascii="Arial" w:hAnsi="Arial" w:cs="Arial"/>
        </w:rPr>
        <w:t>) na účely výstavby alebo rekonštrukcie objektu.</w:t>
      </w:r>
    </w:p>
    <w:p>
      <w:pPr>
        <w:jc w:val="both"/>
        <w:rPr>
          <w:rFonts w:ascii="Arial" w:hAnsi="Arial" w:cs="Arial"/>
          <w:i/>
        </w:rPr>
      </w:pPr>
      <w:r>
        <w:rPr>
          <w:rFonts w:ascii="Arial" w:hAnsi="Arial" w:cs="Arial"/>
          <w:i/>
        </w:rPr>
        <w:t>Sociálne služby</w:t>
      </w:r>
    </w:p>
    <w:p>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 xml:space="preserve">Podpora z IROP je zameraná najmä na transformáciu veľkokapacitných zariadení s celoročným pobytom a rozvoj alternatívnych sociálnych služieb </w:t>
      </w:r>
      <w:proofErr w:type="spellStart"/>
      <w:r>
        <w:rPr>
          <w:rFonts w:ascii="Arial" w:hAnsi="Arial" w:cs="Arial"/>
          <w:b/>
        </w:rPr>
        <w:t>komunitného</w:t>
      </w:r>
      <w:proofErr w:type="spellEnd"/>
      <w:r>
        <w:rPr>
          <w:rFonts w:ascii="Arial" w:hAnsi="Arial" w:cs="Arial"/>
          <w:b/>
        </w:rPr>
        <w:t xml:space="preserve">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 xml:space="preserve">podporovaného bývania, domovov sociálnych služieb s týždenným pobytom, zariadení (všetky musia spĺňať podmienky </w:t>
      </w:r>
      <w:proofErr w:type="spellStart"/>
      <w:r>
        <w:rPr>
          <w:rFonts w:ascii="Arial" w:hAnsi="Arial" w:cs="Arial"/>
          <w:b/>
        </w:rPr>
        <w:t>komunitných</w:t>
      </w:r>
      <w:proofErr w:type="spellEnd"/>
      <w:r>
        <w:rPr>
          <w:rFonts w:ascii="Arial" w:hAnsi="Arial" w:cs="Arial"/>
          <w:b/>
        </w:rPr>
        <w:t xml:space="preserve"> služieb) a ďalších aj inovatívnych typov pobytových služieb na </w:t>
      </w:r>
      <w:proofErr w:type="spellStart"/>
      <w:r>
        <w:rPr>
          <w:rFonts w:ascii="Arial" w:hAnsi="Arial" w:cs="Arial"/>
          <w:b/>
        </w:rPr>
        <w:t>komunitnej</w:t>
      </w:r>
      <w:proofErr w:type="spellEnd"/>
      <w:r>
        <w:rPr>
          <w:rFonts w:ascii="Arial" w:hAnsi="Arial" w:cs="Arial"/>
          <w:b/>
        </w:rPr>
        <w:t xml:space="preserve">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r>
        <w:rPr>
          <w:rFonts w:ascii="Arial" w:hAnsi="Arial" w:cs="Arial"/>
          <w:b/>
        </w:rPr>
        <w:t>denné centrá, rehabilitačné centrá, služby včasnej intervencie, 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w:t>
      </w:r>
      <w:r>
        <w:rPr>
          <w:rFonts w:ascii="Arial" w:hAnsi="Arial" w:cs="Arial"/>
        </w:rPr>
        <w:lastRenderedPageBreak/>
        <w:t>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pPr>
        <w:jc w:val="both"/>
        <w:rPr>
          <w:rFonts w:ascii="Arial" w:hAnsi="Arial" w:cs="Arial"/>
        </w:rPr>
      </w:pPr>
      <w:r>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pPr>
        <w:jc w:val="both"/>
        <w:rPr>
          <w:rFonts w:ascii="Arial" w:hAnsi="Arial" w:cs="Arial"/>
          <w:i/>
        </w:rPr>
      </w:pPr>
      <w:r>
        <w:rPr>
          <w:rFonts w:ascii="Arial" w:hAnsi="Arial" w:cs="Arial"/>
          <w:i/>
        </w:rPr>
        <w:t>Sociálnoprávna ochrana detí a sociálna kuratela</w:t>
      </w:r>
    </w:p>
    <w:p>
      <w:pPr>
        <w:jc w:val="both"/>
        <w:rPr>
          <w:rFonts w:ascii="Arial" w:hAnsi="Arial" w:cs="Arial"/>
        </w:rPr>
      </w:pPr>
      <w:r>
        <w:rPr>
          <w:rFonts w:ascii="Arial" w:hAnsi="Arial" w:cs="Arial"/>
        </w:rPr>
        <w:t xml:space="preserve">Vo vzťahu k zariadeniam na výkon opatrení </w:t>
      </w:r>
      <w:proofErr w:type="spellStart"/>
      <w:r>
        <w:rPr>
          <w:rFonts w:ascii="Arial" w:hAnsi="Arial" w:cs="Arial"/>
          <w:i/>
        </w:rPr>
        <w:t>SPOaSK</w:t>
      </w:r>
      <w:proofErr w:type="spellEnd"/>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pPr>
        <w:jc w:val="both"/>
        <w:rPr>
          <w:rFonts w:ascii="Arial" w:hAnsi="Arial" w:cs="Arial"/>
        </w:rPr>
      </w:pPr>
      <w:r>
        <w:rPr>
          <w:rFonts w:ascii="Arial" w:hAnsi="Arial" w:cs="Arial"/>
        </w:rPr>
        <w:t xml:space="preserve">Podporované aktivity predstavujú najmä: </w:t>
      </w:r>
    </w:p>
    <w:p>
      <w:pPr>
        <w:pStyle w:val="Odsekzoznamu"/>
        <w:numPr>
          <w:ilvl w:val="0"/>
          <w:numId w:val="4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pPr>
        <w:pStyle w:val="Odsekzoznamu"/>
        <w:numPr>
          <w:ilvl w:val="0"/>
          <w:numId w:val="4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pPr>
        <w:pStyle w:val="Odsekzoznamu"/>
        <w:numPr>
          <w:ilvl w:val="0"/>
          <w:numId w:val="4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pPr>
        <w:pStyle w:val="Odsekzoznamu"/>
        <w:numPr>
          <w:ilvl w:val="0"/>
          <w:numId w:val="4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r>
        <w:rPr>
          <w:rFonts w:ascii="Arial" w:hAnsi="Arial" w:cs="Arial"/>
        </w:rPr>
        <w:lastRenderedPageBreak/>
        <w:t xml:space="preserve">Oprávnení prijímatelia: </w:t>
      </w:r>
    </w:p>
    <w:p>
      <w:pPr>
        <w:pStyle w:val="Odsekzoznamu"/>
        <w:numPr>
          <w:ilvl w:val="0"/>
          <w:numId w:val="2"/>
        </w:numPr>
        <w:jc w:val="both"/>
        <w:rPr>
          <w:rFonts w:ascii="Arial" w:hAnsi="Arial" w:cs="Arial"/>
        </w:rPr>
      </w:pPr>
      <w:r>
        <w:rPr>
          <w:rFonts w:ascii="Arial" w:hAnsi="Arial" w:cs="Arial"/>
        </w:rPr>
        <w:t>v sociálnych službách:</w:t>
      </w:r>
    </w:p>
    <w:p>
      <w:pPr>
        <w:pStyle w:val="Odsekzoznamu"/>
        <w:numPr>
          <w:ilvl w:val="1"/>
          <w:numId w:val="2"/>
        </w:numPr>
        <w:jc w:val="both"/>
        <w:rPr>
          <w:rFonts w:ascii="Arial" w:hAnsi="Arial" w:cs="Arial"/>
        </w:rPr>
      </w:pPr>
      <w:r>
        <w:rPr>
          <w:rFonts w:ascii="Arial" w:hAnsi="Arial" w:cs="Arial"/>
        </w:rPr>
        <w:t>obec,</w:t>
      </w:r>
    </w:p>
    <w:p>
      <w:pPr>
        <w:pStyle w:val="Odsekzoznamu"/>
        <w:numPr>
          <w:ilvl w:val="1"/>
          <w:numId w:val="2"/>
        </w:numPr>
        <w:jc w:val="both"/>
        <w:rPr>
          <w:rFonts w:ascii="Arial" w:hAnsi="Arial" w:cs="Arial"/>
        </w:rPr>
      </w:pPr>
      <w:r>
        <w:rPr>
          <w:rFonts w:ascii="Arial" w:hAnsi="Arial" w:cs="Arial"/>
        </w:rPr>
        <w:t>vyšší územný celok,</w:t>
      </w:r>
    </w:p>
    <w:p>
      <w:pPr>
        <w:pStyle w:val="Odsekzoznamu"/>
        <w:numPr>
          <w:ilvl w:val="1"/>
          <w:numId w:val="2"/>
        </w:numPr>
        <w:jc w:val="both"/>
        <w:rPr>
          <w:rFonts w:ascii="Arial" w:hAnsi="Arial" w:cs="Arial"/>
        </w:rPr>
      </w:pPr>
      <w:r>
        <w:rPr>
          <w:rFonts w:ascii="Arial" w:hAnsi="Arial" w:cs="Arial"/>
        </w:rPr>
        <w:t>právnická osoba zriadená obcou alebo založená obcou,</w:t>
      </w:r>
    </w:p>
    <w:p>
      <w:pPr>
        <w:pStyle w:val="Odsekzoznamu"/>
        <w:numPr>
          <w:ilvl w:val="1"/>
          <w:numId w:val="2"/>
        </w:numPr>
        <w:jc w:val="both"/>
        <w:rPr>
          <w:rFonts w:ascii="Arial" w:hAnsi="Arial" w:cs="Arial"/>
        </w:rPr>
      </w:pPr>
      <w:r>
        <w:rPr>
          <w:rFonts w:ascii="Arial" w:hAnsi="Arial" w:cs="Arial"/>
        </w:rPr>
        <w:t>právnická osoba zriadená vyšším územným celkom alebo založená vyšším územným celkom a</w:t>
      </w:r>
    </w:p>
    <w:p>
      <w:pPr>
        <w:pStyle w:val="Odsekzoznamu"/>
        <w:numPr>
          <w:ilvl w:val="1"/>
          <w:numId w:val="2"/>
        </w:numPr>
        <w:jc w:val="both"/>
        <w:rPr>
          <w:rFonts w:ascii="Arial" w:hAnsi="Arial" w:cs="Arial"/>
        </w:rPr>
      </w:pPr>
      <w:r>
        <w:rPr>
          <w:rFonts w:ascii="Arial" w:hAnsi="Arial" w:cs="Arial"/>
        </w:rPr>
        <w:t>iná osoba (neverejný poskytovateľ sociálnej služby, neverejný zriaďovateľ sociálnej služby),</w:t>
      </w:r>
    </w:p>
    <w:p>
      <w:pPr>
        <w:pStyle w:val="Odsekzoznamu"/>
        <w:numPr>
          <w:ilvl w:val="0"/>
          <w:numId w:val="2"/>
        </w:numPr>
        <w:jc w:val="both"/>
        <w:rPr>
          <w:rFonts w:ascii="Arial" w:hAnsi="Arial" w:cs="Arial"/>
        </w:rPr>
      </w:pPr>
      <w:r>
        <w:rPr>
          <w:rFonts w:ascii="Arial" w:hAnsi="Arial" w:cs="Arial"/>
        </w:rPr>
        <w:t>v sociálnoprávnej ochrane detí a sociálnej kuratele:</w:t>
      </w:r>
    </w:p>
    <w:p>
      <w:pPr>
        <w:pStyle w:val="Odsekzoznamu"/>
        <w:numPr>
          <w:ilvl w:val="1"/>
          <w:numId w:val="2"/>
        </w:numPr>
        <w:jc w:val="both"/>
        <w:rPr>
          <w:rFonts w:ascii="Arial" w:hAnsi="Arial" w:cs="Arial"/>
        </w:rPr>
      </w:pPr>
      <w:r>
        <w:rPr>
          <w:rFonts w:ascii="Arial" w:hAnsi="Arial" w:cs="Arial"/>
        </w:rPr>
        <w:t>zriaďovatelia zariadení na výkon opatrení sociálnoprávnej ochrany detí a sociálnej kurately:</w:t>
      </w:r>
    </w:p>
    <w:p>
      <w:pPr>
        <w:pStyle w:val="Odsekzoznamu"/>
        <w:numPr>
          <w:ilvl w:val="2"/>
          <w:numId w:val="2"/>
        </w:numPr>
        <w:jc w:val="both"/>
        <w:rPr>
          <w:rFonts w:ascii="Arial" w:hAnsi="Arial" w:cs="Arial"/>
        </w:rPr>
      </w:pPr>
      <w:r>
        <w:rPr>
          <w:rFonts w:ascii="Arial" w:hAnsi="Arial" w:cs="Arial"/>
        </w:rPr>
        <w:t>obec,</w:t>
      </w:r>
      <w:r>
        <w:rPr>
          <w:rFonts w:ascii="Arial" w:hAnsi="Arial" w:cs="Arial"/>
        </w:rPr>
        <w:tab/>
      </w:r>
    </w:p>
    <w:p>
      <w:pPr>
        <w:pStyle w:val="Odsekzoznamu"/>
        <w:numPr>
          <w:ilvl w:val="2"/>
          <w:numId w:val="2"/>
        </w:numPr>
        <w:jc w:val="both"/>
        <w:rPr>
          <w:rFonts w:ascii="Arial" w:hAnsi="Arial" w:cs="Arial"/>
        </w:rPr>
      </w:pPr>
      <w:r>
        <w:rPr>
          <w:rFonts w:ascii="Arial" w:hAnsi="Arial" w:cs="Arial"/>
        </w:rPr>
        <w:t>vyšší územný celok,</w:t>
      </w:r>
    </w:p>
    <w:p>
      <w:pPr>
        <w:pStyle w:val="Odsekzoznamu"/>
        <w:numPr>
          <w:ilvl w:val="2"/>
          <w:numId w:val="2"/>
        </w:numPr>
        <w:jc w:val="both"/>
        <w:rPr>
          <w:rFonts w:ascii="Arial" w:hAnsi="Arial" w:cs="Arial"/>
        </w:rPr>
      </w:pPr>
      <w:r>
        <w:rPr>
          <w:rFonts w:ascii="Arial" w:hAnsi="Arial" w:cs="Arial"/>
        </w:rPr>
        <w:t>Ústredie práce, sociálnych vecí a rodiny SR,</w:t>
      </w:r>
    </w:p>
    <w:p>
      <w:pPr>
        <w:pStyle w:val="Odsekzoznamu"/>
        <w:numPr>
          <w:ilvl w:val="2"/>
          <w:numId w:val="2"/>
        </w:numPr>
        <w:jc w:val="both"/>
        <w:rPr>
          <w:rFonts w:ascii="Arial" w:hAnsi="Arial" w:cs="Arial"/>
        </w:rPr>
      </w:pPr>
      <w:r>
        <w:rPr>
          <w:rFonts w:ascii="Arial" w:hAnsi="Arial" w:cs="Arial"/>
        </w:rPr>
        <w:t>akreditované fyzické a právnické osoby.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pPr>
        <w:pStyle w:val="Odsekzoznamu"/>
        <w:numPr>
          <w:ilvl w:val="0"/>
          <w:numId w:val="2"/>
        </w:numPr>
        <w:jc w:val="both"/>
        <w:rPr>
          <w:rFonts w:ascii="Arial" w:hAnsi="Arial" w:cs="Arial"/>
        </w:rPr>
      </w:pPr>
      <w:r>
        <w:rPr>
          <w:rFonts w:ascii="Arial" w:hAnsi="Arial" w:cs="Arial"/>
        </w:rPr>
        <w:t xml:space="preserve">deti, plnoleté fyzické osoby a rodiny, pre ktoré sa vykonávajú opatrenia </w:t>
      </w:r>
      <w:proofErr w:type="spellStart"/>
      <w:r>
        <w:rPr>
          <w:rFonts w:ascii="Arial" w:hAnsi="Arial" w:cs="Arial"/>
        </w:rPr>
        <w:t>SPOaSK</w:t>
      </w:r>
      <w:proofErr w:type="spellEnd"/>
      <w:r>
        <w:rPr>
          <w:rFonts w:ascii="Arial" w:hAnsi="Arial" w:cs="Arial"/>
        </w:rPr>
        <w:t>,</w:t>
      </w:r>
    </w:p>
    <w:p>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pPr>
        <w:pStyle w:val="Odsekzoznamu"/>
        <w:numPr>
          <w:ilvl w:val="0"/>
          <w:numId w:val="2"/>
        </w:numPr>
        <w:jc w:val="both"/>
        <w:rPr>
          <w:rFonts w:ascii="Arial" w:hAnsi="Arial" w:cs="Arial"/>
        </w:rPr>
      </w:pPr>
      <w:r>
        <w:rPr>
          <w:rFonts w:ascii="Arial" w:hAnsi="Arial" w:cs="Arial"/>
        </w:rPr>
        <w:t xml:space="preserve">zriaďovatelia poskytovateľov sociálnych služieb a subjektov vykonávajúcich opatrenia </w:t>
      </w:r>
      <w:proofErr w:type="spellStart"/>
      <w:r>
        <w:rPr>
          <w:rFonts w:ascii="Arial" w:hAnsi="Arial" w:cs="Arial"/>
        </w:rPr>
        <w:t>SPOaSK</w:t>
      </w:r>
      <w:proofErr w:type="spellEnd"/>
      <w:r>
        <w:rPr>
          <w:rFonts w:ascii="Arial" w:hAnsi="Arial" w:cs="Arial"/>
        </w:rPr>
        <w:t>,</w:t>
      </w:r>
    </w:p>
    <w:p>
      <w:pPr>
        <w:pStyle w:val="Odsekzoznamu"/>
        <w:numPr>
          <w:ilvl w:val="0"/>
          <w:numId w:val="2"/>
        </w:numPr>
        <w:tabs>
          <w:tab w:val="left" w:pos="8789"/>
        </w:tabs>
        <w:jc w:val="both"/>
        <w:rPr>
          <w:rFonts w:ascii="Arial" w:hAnsi="Arial" w:cs="Arial"/>
        </w:rPr>
      </w:pPr>
      <w:r>
        <w:rPr>
          <w:rFonts w:ascii="Arial" w:hAnsi="Arial" w:cs="Arial"/>
        </w:rPr>
        <w:t xml:space="preserve">subjekty vykonávajúce opatrenia </w:t>
      </w:r>
      <w:proofErr w:type="spellStart"/>
      <w:r>
        <w:rPr>
          <w:rFonts w:ascii="Arial" w:hAnsi="Arial" w:cs="Arial"/>
        </w:rPr>
        <w:t>SPOaSK</w:t>
      </w:r>
      <w:proofErr w:type="spellEnd"/>
      <w:r>
        <w:rPr>
          <w:rFonts w:ascii="Arial" w:hAnsi="Arial" w:cs="Arial"/>
        </w:rPr>
        <w:t xml:space="preserve"> a ich zamestnanci,</w:t>
      </w:r>
    </w:p>
    <w:p>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sz w:val="24"/>
          <w:szCs w:val="24"/>
        </w:rPr>
      </w:pPr>
      <w:r>
        <w:rPr>
          <w:rFonts w:ascii="Arial" w:hAnsi="Arial" w:cs="Arial"/>
        </w:rPr>
        <w:t>celé územie SR</w:t>
      </w:r>
    </w:p>
    <w:p>
      <w:pPr>
        <w:tabs>
          <w:tab w:val="left" w:pos="1425"/>
        </w:tabs>
        <w:jc w:val="both"/>
        <w:rPr>
          <w:rFonts w:ascii="Arial" w:hAnsi="Arial" w:cs="Arial"/>
          <w:b/>
        </w:rPr>
      </w:pPr>
    </w:p>
    <w:p>
      <w:pPr>
        <w:tabs>
          <w:tab w:val="left" w:pos="1425"/>
        </w:tabs>
        <w:jc w:val="both"/>
        <w:rPr>
          <w:rFonts w:ascii="Arial" w:hAnsi="Arial" w:cs="Arial"/>
        </w:rPr>
      </w:pPr>
      <w:r>
        <w:rPr>
          <w:rFonts w:ascii="Arial" w:hAnsi="Arial" w:cs="Arial"/>
          <w:b/>
        </w:rPr>
        <w:t>Špecifický cieľ č. 2.1.2</w:t>
      </w:r>
      <w:r>
        <w:rPr>
          <w:rFonts w:ascii="Arial" w:hAnsi="Arial" w:cs="Arial"/>
        </w:rPr>
        <w:t xml:space="preserve"> sa dosiahne realizáciou nasledovných aktivít.</w:t>
      </w:r>
    </w:p>
    <w:p>
      <w:pPr>
        <w:tabs>
          <w:tab w:val="left" w:pos="1425"/>
        </w:tabs>
        <w:jc w:val="both"/>
        <w:rPr>
          <w:rFonts w:ascii="Arial" w:hAnsi="Arial" w:cs="Arial"/>
        </w:rPr>
      </w:pPr>
      <w:r>
        <w:rPr>
          <w:rFonts w:ascii="Arial" w:hAnsi="Arial" w:cs="Arial"/>
        </w:rPr>
        <w:t>Budovanie infraštruktúry centier integrovanej zdravotnej starostlivosti:</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príprava projektovej dokumentácie,</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 modernizácia a rekonštrukcia budov,</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lastRenderedPageBreak/>
        <w:t>opatrenia na zvýšenie energetickej hospodárnosti budov.</w:t>
      </w:r>
    </w:p>
    <w:p>
      <w:pPr>
        <w:jc w:val="both"/>
        <w:rPr>
          <w:rStyle w:val="hps"/>
          <w:rFonts w:ascii="Arial" w:hAnsi="Arial" w:cs="Arial"/>
        </w:rPr>
      </w:pPr>
      <w:r>
        <w:rPr>
          <w:rStyle w:val="hps"/>
          <w:rFonts w:ascii="Arial" w:hAnsi="Arial" w:cs="Arial"/>
        </w:rPr>
        <w:t xml:space="preserve">V rámci špecifického cieľa bude </w:t>
      </w:r>
      <w:r>
        <w:rPr>
          <w:rFonts w:ascii="Arial" w:hAnsi="Arial" w:cs="Arial"/>
        </w:rPr>
        <w:t xml:space="preserve">vybudovaná infraštruktúra centier integrovanej zdravotnej starostlivosti (ďalej aj „CIZS“), pričom počet a lokalizácia CIZS bude daný MZ SR vo forme pevnej siete. Pevná sieť bude definovaná v rámci „implementačnej stratégie systému integrovanej zdravotnej starostlivosti“ v nadväznosti na schválený strategický rámec, ktorá bude vypracovaná MZ SR v spolupráci so všetkými samosprávnymi krajmi. </w:t>
      </w:r>
      <w:r>
        <w:rPr>
          <w:rStyle w:val="hps"/>
          <w:rFonts w:ascii="Arial" w:hAnsi="Arial" w:cs="Arial"/>
        </w:rPr>
        <w:t xml:space="preserve">Geografické rozmiestnenie a počet </w:t>
      </w:r>
      <w:r>
        <w:rPr>
          <w:rFonts w:ascii="Arial" w:hAnsi="Arial" w:cs="Arial"/>
        </w:rPr>
        <w:t>CIZS</w:t>
      </w:r>
      <w:r>
        <w:rPr>
          <w:rStyle w:val="hps"/>
          <w:rFonts w:ascii="Arial" w:hAnsi="Arial" w:cs="Arial"/>
        </w:rPr>
        <w:t xml:space="preserve"> bude prihliadať na analýzu súčasného stavu rozdrobenej primárnej ambulantnej zdravotnej starostlivosti vo všetkých regiónoch SR a geografické rozloženie primárnej ambulantnej zdravotnej starostlivosti v jednotlivých regiónoch. Súčasťou pevnej siete budú dva typy </w:t>
      </w:r>
      <w:r>
        <w:rPr>
          <w:rFonts w:ascii="Arial" w:hAnsi="Arial" w:cs="Arial"/>
        </w:rPr>
        <w:t>CIZS</w:t>
      </w:r>
      <w:r>
        <w:rPr>
          <w:rStyle w:val="hps"/>
          <w:rFonts w:ascii="Arial" w:hAnsi="Arial" w:cs="Arial"/>
        </w:rPr>
        <w:t xml:space="preserve"> (väčšie a menšie)  s vytvorenou kapacitou podľa počtu obyvateľov a špecifík regiónu. Pri každom kontaktom bode pevnej siete bude na projektovej úrovni posúdené, či v lokalite existuje vhodná infraštruktúra, ktorá by sa rekonštrukciou mohla prebudovať na </w:t>
      </w:r>
      <w:r>
        <w:rPr>
          <w:rFonts w:ascii="Arial" w:hAnsi="Arial" w:cs="Arial"/>
        </w:rPr>
        <w:t>CIZS</w:t>
      </w:r>
      <w:r>
        <w:rPr>
          <w:rStyle w:val="hps"/>
          <w:rFonts w:ascii="Arial" w:hAnsi="Arial" w:cs="Arial"/>
        </w:rPr>
        <w:t xml:space="preserve">, alebo na zriadenie </w:t>
      </w:r>
      <w:r>
        <w:rPr>
          <w:rFonts w:ascii="Arial" w:hAnsi="Arial" w:cs="Arial"/>
        </w:rPr>
        <w:t>CIZS</w:t>
      </w:r>
      <w:r>
        <w:rPr>
          <w:rStyle w:val="hps"/>
          <w:rFonts w:ascii="Arial" w:hAnsi="Arial" w:cs="Arial"/>
        </w:rPr>
        <w:t xml:space="preserve"> bude vhodnejšie vybudovanie novej infraštruktúry. Vo všetkých </w:t>
      </w:r>
      <w:r>
        <w:rPr>
          <w:rFonts w:ascii="Arial" w:hAnsi="Arial" w:cs="Arial"/>
        </w:rPr>
        <w:t>CIZS</w:t>
      </w:r>
      <w:r>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Všetky </w:t>
      </w:r>
      <w:r>
        <w:rPr>
          <w:rFonts w:ascii="Arial" w:hAnsi="Arial" w:cs="Arial"/>
        </w:rPr>
        <w:t>CIZS</w:t>
      </w:r>
      <w:r>
        <w:rPr>
          <w:rStyle w:val="hps"/>
          <w:rFonts w:ascii="Arial" w:hAnsi="Arial" w:cs="Arial"/>
        </w:rPr>
        <w:t xml:space="preserve"> budú vybavené modernou IT infraštruktúrou, ktorá umožní ľahší manažment pacienta a odbúra zbytočnú byrokraciu lekárom (viac času na vyšetrenia pacientov). Každé </w:t>
      </w:r>
      <w:r>
        <w:rPr>
          <w:rFonts w:ascii="Arial" w:hAnsi="Arial" w:cs="Arial"/>
        </w:rPr>
        <w:t>CIZS</w:t>
      </w:r>
      <w:r>
        <w:rPr>
          <w:rStyle w:val="hps"/>
          <w:rFonts w:ascii="Arial" w:hAnsi="Arial" w:cs="Arial"/>
        </w:rPr>
        <w:t xml:space="preserve"> bude vybavené spoločnými vyšetrovacími zariadeniami (EKG, </w:t>
      </w:r>
      <w:proofErr w:type="spellStart"/>
      <w:r>
        <w:rPr>
          <w:rStyle w:val="hps"/>
          <w:rFonts w:ascii="Arial" w:hAnsi="Arial" w:cs="Arial"/>
        </w:rPr>
        <w:t>Rtg</w:t>
      </w:r>
      <w:proofErr w:type="spellEnd"/>
      <w:r>
        <w:rPr>
          <w:rStyle w:val="hps"/>
          <w:rFonts w:ascii="Arial" w:hAnsi="Arial" w:cs="Arial"/>
        </w:rPr>
        <w:t>,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Pr>
          <w:rFonts w:ascii="Arial" w:hAnsi="Arial" w:cs="Arial"/>
        </w:rPr>
        <w:t>CIZS</w:t>
      </w:r>
      <w:r>
        <w:rPr>
          <w:rFonts w:ascii="Arial" w:hAnsi="Arial" w:cs="Arial"/>
          <w:lang w:eastAsia="sk-SK"/>
        </w:rPr>
        <w:t xml:space="preserve"> budú posilnené aktivity domácej ošetrovateľskej starostlivosti. </w:t>
      </w:r>
      <w:r>
        <w:rPr>
          <w:rStyle w:val="hps"/>
          <w:rFonts w:ascii="Arial" w:hAnsi="Arial" w:cs="Arial"/>
        </w:rPr>
        <w:t xml:space="preserve">Vybudované </w:t>
      </w:r>
      <w:r>
        <w:rPr>
          <w:rFonts w:ascii="Arial" w:hAnsi="Arial" w:cs="Arial"/>
        </w:rPr>
        <w:t>CIZS</w:t>
      </w:r>
      <w:r>
        <w:rPr>
          <w:rStyle w:val="hps"/>
          <w:rFonts w:ascii="Arial" w:hAnsi="Arial" w:cs="Arial"/>
        </w:rPr>
        <w:t xml:space="preserve"> získa povolenie na poskytovanie integrovanej ambulantnej zdravotnej starostlivosti pri podmienke personálneho obsadenia kapacity centra na minimálne 50%. V </w:t>
      </w:r>
      <w:r>
        <w:rPr>
          <w:rFonts w:ascii="Arial" w:hAnsi="Arial" w:cs="Arial"/>
        </w:rPr>
        <w:t>CIZS</w:t>
      </w:r>
      <w:r>
        <w:rPr>
          <w:rStyle w:val="hps"/>
          <w:rFonts w:ascii="Arial" w:hAnsi="Arial" w:cs="Arial"/>
        </w:rPr>
        <w:t xml:space="preserve"> budú poskytované služby hradené z verejného zdravotného poistenia, resp. iných verejných zdrojov.</w:t>
      </w:r>
    </w:p>
    <w:p>
      <w:pPr>
        <w:jc w:val="both"/>
        <w:rPr>
          <w:rFonts w:ascii="Arial" w:hAnsi="Arial" w:cs="Arial"/>
        </w:rPr>
      </w:pPr>
      <w:r>
        <w:rPr>
          <w:rFonts w:ascii="Arial" w:hAnsi="Arial" w:cs="Arial"/>
        </w:rPr>
        <w:t xml:space="preserve">Oprávnení prijímatelia: </w:t>
      </w:r>
    </w:p>
    <w:p>
      <w:pPr>
        <w:pStyle w:val="Odsekzoznamu"/>
        <w:numPr>
          <w:ilvl w:val="0"/>
          <w:numId w:val="2"/>
        </w:numPr>
        <w:jc w:val="both"/>
        <w:rPr>
          <w:rFonts w:ascii="Arial" w:hAnsi="Arial" w:cs="Arial"/>
        </w:rPr>
      </w:pPr>
      <w:r>
        <w:rPr>
          <w:rFonts w:ascii="Arial" w:hAnsi="Arial" w:cs="Arial"/>
        </w:rPr>
        <w:t>neziskové organizácie</w:t>
      </w:r>
      <w:r>
        <w:rPr>
          <w:rStyle w:val="Odkaznapoznmkupodiarou"/>
          <w:rFonts w:ascii="Arial" w:hAnsi="Arial" w:cs="Arial"/>
        </w:rPr>
        <w:footnoteReference w:id="46"/>
      </w:r>
      <w:r>
        <w:rPr>
          <w:rFonts w:ascii="Arial" w:hAnsi="Arial" w:cs="Arial"/>
        </w:rPr>
        <w:t xml:space="preserve"> zriadené MZ SR v spolupráci so samosprávnymi krajmi a obcami, ktoré sú vlastníkmi alebo dlhodobými nájomcami pozemkov (v prípade výstavby novej infraštruktúry), resp. vlastníkmi alebo dlhodobými nájomcami existujúcej infraštruktúry zdravotníckych zariadení (v prípade modernizácie existujúcej infraštruktúry).</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obyvatelia SR.</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sz w:val="24"/>
          <w:szCs w:val="24"/>
        </w:rPr>
      </w:pPr>
      <w:r>
        <w:rPr>
          <w:rFonts w:ascii="Arial" w:hAnsi="Arial" w:cs="Arial"/>
        </w:rPr>
        <w:t>celé územie SR, okrem Bratislavského kraja.</w:t>
      </w:r>
    </w:p>
    <w:p>
      <w:pPr>
        <w:tabs>
          <w:tab w:val="left" w:pos="1425"/>
        </w:tabs>
        <w:jc w:val="both"/>
        <w:rPr>
          <w:rFonts w:ascii="Arial" w:hAnsi="Arial" w:cs="Arial"/>
          <w:b/>
        </w:rPr>
      </w:pPr>
    </w:p>
    <w:p>
      <w:pPr>
        <w:tabs>
          <w:tab w:val="left" w:pos="1425"/>
        </w:tabs>
        <w:jc w:val="both"/>
        <w:rPr>
          <w:rFonts w:ascii="Arial" w:hAnsi="Arial" w:cs="Arial"/>
          <w:b/>
        </w:rPr>
      </w:pPr>
    </w:p>
    <w:p>
      <w:pPr>
        <w:tabs>
          <w:tab w:val="left" w:pos="1425"/>
        </w:tabs>
        <w:jc w:val="both"/>
        <w:rPr>
          <w:rFonts w:ascii="Arial" w:hAnsi="Arial" w:cs="Arial"/>
        </w:rPr>
      </w:pPr>
      <w:r>
        <w:rPr>
          <w:rFonts w:ascii="Arial" w:hAnsi="Arial" w:cs="Arial"/>
          <w:b/>
        </w:rPr>
        <w:lastRenderedPageBreak/>
        <w:t>Špecifický cieľ č. 2.1.3</w:t>
      </w:r>
      <w:r>
        <w:rPr>
          <w:rFonts w:ascii="Arial" w:hAnsi="Arial" w:cs="Arial"/>
        </w:rPr>
        <w:t xml:space="preserve"> sa dosiahne realizáciou nasledovných aktivít:</w:t>
      </w:r>
    </w:p>
    <w:p>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vypracovanie transformačného plánu zdravotníckeho zariadenia,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príprava projektovej dokumentácie,</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 modernizácia a rekonštrukcia budov</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opatrenia na zvýšenie energetickej hospodárnosti budov.</w:t>
      </w:r>
    </w:p>
    <w:p>
      <w:pPr>
        <w:jc w:val="both"/>
        <w:rPr>
          <w:rStyle w:val="hps"/>
          <w:rFonts w:ascii="Arial" w:hAnsi="Arial" w:cs="Arial"/>
        </w:rPr>
      </w:pPr>
      <w:r>
        <w:rPr>
          <w:rStyle w:val="hps"/>
          <w:rFonts w:ascii="Arial" w:hAnsi="Arial" w:cs="Arial"/>
        </w:rPr>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rozloženie akútnej ústavnej zdravotnej starostlivosti v jednotlivých regiónoch pri rešpektovaní optimálnej </w:t>
      </w:r>
      <w:proofErr w:type="spellStart"/>
      <w:r>
        <w:rPr>
          <w:rStyle w:val="hps"/>
          <w:rFonts w:ascii="Arial" w:hAnsi="Arial" w:cs="Arial"/>
        </w:rPr>
        <w:t>spádovosti</w:t>
      </w:r>
      <w:proofErr w:type="spellEnd"/>
      <w:r>
        <w:rPr>
          <w:rStyle w:val="hps"/>
          <w:rFonts w:ascii="Arial" w:hAnsi="Arial" w:cs="Arial"/>
        </w:rPr>
        <w:t xml:space="preserve">.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pPr>
        <w:jc w:val="both"/>
        <w:rPr>
          <w:rFonts w:ascii="Arial" w:hAnsi="Arial" w:cs="Arial"/>
          <w:u w:val="single"/>
        </w:rPr>
      </w:pPr>
      <w:r>
        <w:rPr>
          <w:rFonts w:ascii="Arial" w:hAnsi="Arial" w:cs="Arial"/>
        </w:rPr>
        <w:t>Oprávnení prijímatelia:</w:t>
      </w:r>
      <w:r>
        <w:rPr>
          <w:rFonts w:ascii="Arial" w:hAnsi="Arial" w:cs="Arial"/>
          <w:u w:val="single"/>
        </w:rPr>
        <w:t xml:space="preserve"> </w:t>
      </w:r>
    </w:p>
    <w:p>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Pr>
          <w:rStyle w:val="Odkaznapoznmkupodiarou"/>
          <w:rFonts w:ascii="Arial" w:hAnsi="Arial" w:cs="Arial"/>
        </w:rPr>
        <w:footnoteReference w:id="47"/>
      </w:r>
      <w:r>
        <w:rPr>
          <w:rFonts w:ascii="Arial" w:hAnsi="Arial" w:cs="Arial"/>
        </w:rPr>
        <w:t xml:space="preserve"> – iba v rámci zracionalizovanej siete poskytovateľov akútnej ústavnej zdravotnej starostlivosti.</w:t>
      </w:r>
    </w:p>
    <w:p>
      <w:pPr>
        <w:jc w:val="both"/>
        <w:rPr>
          <w:rFonts w:ascii="Arial" w:hAnsi="Arial" w:cs="Arial"/>
          <w:u w:val="single"/>
        </w:rPr>
      </w:pPr>
      <w:r>
        <w:rPr>
          <w:rFonts w:ascii="Arial" w:hAnsi="Arial" w:cs="Arial"/>
        </w:rPr>
        <w:t>Cieľové skupiny:</w:t>
      </w:r>
    </w:p>
    <w:p>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pPr>
        <w:jc w:val="both"/>
        <w:rPr>
          <w:rFonts w:ascii="Arial" w:hAnsi="Arial" w:cs="Arial"/>
        </w:rPr>
      </w:pPr>
    </w:p>
    <w:p>
      <w:pPr>
        <w:jc w:val="both"/>
        <w:rPr>
          <w:rFonts w:ascii="Arial" w:hAnsi="Arial" w:cs="Arial"/>
        </w:rPr>
      </w:pPr>
      <w:r>
        <w:rPr>
          <w:rFonts w:ascii="Arial" w:hAnsi="Arial" w:cs="Arial"/>
        </w:rPr>
        <w:lastRenderedPageBreak/>
        <w:t>Cieľové územie:</w:t>
      </w:r>
    </w:p>
    <w:p>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pPr>
        <w:jc w:val="both"/>
        <w:rPr>
          <w:rFonts w:ascii="Arial" w:hAnsi="Arial" w:cs="Arial"/>
        </w:rPr>
      </w:pPr>
      <w:r>
        <w:rPr>
          <w:rFonts w:ascii="Arial" w:hAnsi="Arial" w:cs="Arial"/>
        </w:rPr>
        <w:t xml:space="preserve">V rámci špecifických cieľov 2.1.2 a 2.1.3 budú podporované aktivity zamerané na reformné a inovatívne budovanie a modernizáciu zdravotníckej infraštruktúry za účelom zlepšenia dostupnosti ku kvalitnej zdravotnej starostlivosti a zvýšenia produktivity práce. Aktivity budú priamo prispievať k procesu transformácie aktuálneho nemocnične orientovaného systému poskytovania zdravotnej starostlivosti na integrovaný model, ktorý presúva ťažisko z ústavnej starostlivosti do </w:t>
      </w:r>
      <w:proofErr w:type="spellStart"/>
      <w:r>
        <w:rPr>
          <w:rFonts w:ascii="Arial" w:hAnsi="Arial" w:cs="Arial"/>
        </w:rPr>
        <w:t>komunitnej</w:t>
      </w:r>
      <w:proofErr w:type="spellEnd"/>
      <w:r>
        <w:rPr>
          <w:rFonts w:ascii="Arial" w:hAnsi="Arial" w:cs="Arial"/>
        </w:rPr>
        <w:t xml:space="preserve"> ambulantnej primárnej a následnej zdravotnej starostlivosti s orientáciou na klienta a funkčne prepája exitujúce služby.</w:t>
      </w:r>
    </w:p>
    <w:p>
      <w:pPr>
        <w:jc w:val="both"/>
        <w:rPr>
          <w:rFonts w:ascii="Arial" w:hAnsi="Arial" w:cs="Arial"/>
        </w:rPr>
      </w:pPr>
      <w:r>
        <w:rPr>
          <w:rFonts w:ascii="Arial" w:hAnsi="Arial" w:cs="Arial"/>
        </w:rPr>
        <w:t>V rámci plnenie špecifického cieľa č. 2.1.1, 2.1.2 a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pPr>
        <w:jc w:val="both"/>
        <w:rPr>
          <w:rFonts w:ascii="Arial" w:hAnsi="Arial" w:cs="Arial"/>
        </w:rPr>
      </w:pPr>
    </w:p>
    <w:p>
      <w:pPr>
        <w:pStyle w:val="Nadpis6"/>
        <w:rPr>
          <w:rFonts w:ascii="Arial" w:hAnsi="Arial" w:cs="Arial"/>
        </w:rPr>
      </w:pPr>
      <w:bookmarkStart w:id="32" w:name="_Toc387651810"/>
      <w:r>
        <w:rPr>
          <w:rFonts w:ascii="Arial" w:hAnsi="Arial" w:cs="Arial"/>
        </w:rPr>
        <w:t>2.2.1.2.  Hlavné zásady výberu operácií</w:t>
      </w:r>
      <w:bookmarkEnd w:id="32"/>
    </w:p>
    <w:p>
      <w:pPr>
        <w:spacing w:after="0"/>
        <w:jc w:val="both"/>
        <w:rPr>
          <w:rFonts w:ascii="Arial" w:hAnsi="Arial" w:cs="Arial"/>
          <w:b/>
        </w:rPr>
      </w:pPr>
    </w:p>
    <w:p>
      <w:pPr>
        <w:jc w:val="both"/>
        <w:rPr>
          <w:rFonts w:ascii="Arial" w:hAnsi="Arial" w:cs="Arial"/>
        </w:rPr>
      </w:pPr>
      <w:r>
        <w:rPr>
          <w:rFonts w:ascii="Arial" w:hAnsi="Arial" w:cs="Arial"/>
          <w:b/>
        </w:rPr>
        <w:t>Špecifický cieľ 2.1.1</w:t>
      </w:r>
    </w:p>
    <w:p>
      <w:pPr>
        <w:pStyle w:val="Odsekzoznamu"/>
        <w:numPr>
          <w:ilvl w:val="0"/>
          <w:numId w:val="2"/>
        </w:numPr>
        <w:jc w:val="both"/>
        <w:rPr>
          <w:rFonts w:ascii="Arial" w:hAnsi="Arial" w:cs="Arial"/>
        </w:rPr>
      </w:pPr>
      <w:r>
        <w:rPr>
          <w:rFonts w:ascii="Arial" w:hAnsi="Arial" w:cs="Arial"/>
        </w:rPr>
        <w:t>projekt musí byť, v závislosti od oblasti, v súlade</w:t>
      </w:r>
    </w:p>
    <w:p>
      <w:pPr>
        <w:pStyle w:val="Odsekzoznamu"/>
        <w:numPr>
          <w:ilvl w:val="1"/>
          <w:numId w:val="2"/>
        </w:numPr>
        <w:jc w:val="both"/>
        <w:rPr>
          <w:rFonts w:ascii="Arial" w:hAnsi="Arial" w:cs="Arial"/>
        </w:rPr>
      </w:pPr>
      <w:r>
        <w:rPr>
          <w:rFonts w:ascii="Arial" w:hAnsi="Arial" w:cs="Arial"/>
        </w:rPr>
        <w:t xml:space="preserve">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pPr>
        <w:pStyle w:val="Odsekzoznamu"/>
        <w:numPr>
          <w:ilvl w:val="1"/>
          <w:numId w:val="2"/>
        </w:numPr>
        <w:jc w:val="both"/>
        <w:rPr>
          <w:rFonts w:ascii="Arial" w:hAnsi="Arial" w:cs="Arial"/>
        </w:rPr>
      </w:pPr>
      <w:r>
        <w:rPr>
          <w:rFonts w:ascii="Arial" w:hAnsi="Arial" w:cs="Arial"/>
        </w:rPr>
        <w:t xml:space="preserve">s </w:t>
      </w:r>
      <w:r>
        <w:rPr>
          <w:rFonts w:ascii="Arial" w:hAnsi="Arial" w:cs="Arial"/>
          <w:i/>
        </w:rPr>
        <w:t xml:space="preserve">Národným akčným plánom prechodu z inštitucionálnej na </w:t>
      </w:r>
      <w:proofErr w:type="spellStart"/>
      <w:r>
        <w:rPr>
          <w:rFonts w:ascii="Arial" w:hAnsi="Arial" w:cs="Arial"/>
          <w:i/>
        </w:rPr>
        <w:t>komunitnú</w:t>
      </w:r>
      <w:proofErr w:type="spellEnd"/>
      <w:r>
        <w:rPr>
          <w:rFonts w:ascii="Arial" w:hAnsi="Arial" w:cs="Arial"/>
          <w:i/>
        </w:rPr>
        <w:t xml:space="preserve"> starostlivosť v systéme sociálnych služieb na roky 2012 – 2015</w:t>
      </w:r>
      <w:r>
        <w:rPr>
          <w:rFonts w:ascii="Arial" w:hAnsi="Arial" w:cs="Arial"/>
        </w:rPr>
        <w:t>,</w:t>
      </w:r>
    </w:p>
    <w:p>
      <w:pPr>
        <w:pStyle w:val="Odsekzoznamu"/>
        <w:numPr>
          <w:ilvl w:val="1"/>
          <w:numId w:val="2"/>
        </w:numPr>
        <w:jc w:val="both"/>
        <w:rPr>
          <w:rFonts w:ascii="Arial" w:hAnsi="Arial" w:cs="Arial"/>
        </w:rPr>
      </w:pPr>
      <w:r>
        <w:rPr>
          <w:rFonts w:ascii="Arial" w:hAnsi="Arial" w:cs="Arial"/>
        </w:rPr>
        <w:t>s </w:t>
      </w:r>
      <w:r>
        <w:rPr>
          <w:rFonts w:ascii="Arial" w:hAnsi="Arial" w:cs="Arial"/>
          <w:i/>
        </w:rPr>
        <w:t>Koncepciou zabezpečovania výkonu súdnych rozhodnutí v detských domovoch na roky 2012 – 2015 s výhľadom do roku 2020 - Plán transformácie a deinštitucionalizácie náhradnej starostlivosti</w:t>
      </w:r>
      <w:r>
        <w:rPr>
          <w:rFonts w:ascii="Arial" w:hAnsi="Arial" w:cs="Arial"/>
        </w:rPr>
        <w:t>,</w:t>
      </w:r>
    </w:p>
    <w:p>
      <w:pPr>
        <w:pStyle w:val="Odsekzoznamu"/>
        <w:numPr>
          <w:ilvl w:val="1"/>
          <w:numId w:val="2"/>
        </w:numPr>
        <w:jc w:val="both"/>
        <w:rPr>
          <w:rFonts w:ascii="Arial" w:hAnsi="Arial" w:cs="Arial"/>
        </w:rPr>
      </w:pPr>
      <w:r>
        <w:rPr>
          <w:rFonts w:ascii="Arial" w:hAnsi="Arial" w:cs="Arial"/>
        </w:rPr>
        <w:t>so zákonom č. 448/2008 Z. z. o sociálnych službách v platnom znení,</w:t>
      </w:r>
    </w:p>
    <w:p>
      <w:pPr>
        <w:pStyle w:val="Odsekzoznamu"/>
        <w:numPr>
          <w:ilvl w:val="1"/>
          <w:numId w:val="2"/>
        </w:numPr>
        <w:jc w:val="both"/>
        <w:rPr>
          <w:rFonts w:ascii="Arial" w:hAnsi="Arial" w:cs="Arial"/>
        </w:rPr>
      </w:pPr>
      <w:r>
        <w:rPr>
          <w:rFonts w:ascii="Arial" w:hAnsi="Arial" w:cs="Arial"/>
        </w:rPr>
        <w:t>so zákonom č. 305/2005 Z. z. o sociálnoprávnej ochrane detí a o sociálnej kuratele v platnom znení,</w:t>
      </w:r>
    </w:p>
    <w:p>
      <w:pPr>
        <w:pStyle w:val="Odsekzoznamu"/>
        <w:ind w:left="360"/>
        <w:jc w:val="both"/>
        <w:rPr>
          <w:rFonts w:ascii="Arial" w:hAnsi="Arial" w:cs="Arial"/>
        </w:rPr>
      </w:pPr>
      <w:r>
        <w:rPr>
          <w:rFonts w:ascii="Arial" w:hAnsi="Arial" w:cs="Arial"/>
        </w:rPr>
        <w:t>pričom súlad sa overuje a potvrdzuje stanoviskom vecne príslušného orgánu,</w:t>
      </w:r>
    </w:p>
    <w:p>
      <w:pPr>
        <w:pStyle w:val="Odsekzoznamu"/>
        <w:numPr>
          <w:ilvl w:val="0"/>
          <w:numId w:val="2"/>
        </w:numPr>
        <w:jc w:val="both"/>
        <w:rPr>
          <w:rFonts w:ascii="Arial" w:hAnsi="Arial" w:cs="Arial"/>
        </w:rPr>
      </w:pPr>
      <w:r>
        <w:rPr>
          <w:rFonts w:ascii="Arial" w:hAnsi="Arial" w:cs="Arial"/>
        </w:rPr>
        <w:t xml:space="preserve">výber lokality pre umiestnenie sociálnej služby sa riadi preferenciami prijímateľov sociálnych služieb, ktorí k nej majú nejaký vzťah alebo sa riadi potrebou kompletizovať sieť </w:t>
      </w:r>
      <w:proofErr w:type="spellStart"/>
      <w:r>
        <w:rPr>
          <w:rFonts w:ascii="Arial" w:hAnsi="Arial" w:cs="Arial"/>
        </w:rPr>
        <w:t>komunitných</w:t>
      </w:r>
      <w:proofErr w:type="spellEnd"/>
      <w:r>
        <w:rPr>
          <w:rFonts w:ascii="Arial" w:hAnsi="Arial" w:cs="Arial"/>
        </w:rPr>
        <w:t xml:space="preserve"> služieb v danej lokalite,</w:t>
      </w:r>
    </w:p>
    <w:p>
      <w:pPr>
        <w:pStyle w:val="Odsekzoznamu"/>
        <w:numPr>
          <w:ilvl w:val="0"/>
          <w:numId w:val="2"/>
        </w:numPr>
        <w:jc w:val="both"/>
        <w:rPr>
          <w:rFonts w:ascii="Arial" w:hAnsi="Arial" w:cs="Arial"/>
        </w:rPr>
      </w:pPr>
      <w:r>
        <w:rPr>
          <w:rFonts w:ascii="Arial" w:hAnsi="Arial" w:cs="Arial"/>
        </w:rPr>
        <w:t>podporené objekty v sociálnych službách spojené s bývaním môžu mať maximálne kapacitu 6 miest v 1 bytovej jednotke a maximálne 2 bytové jednotky v 1 objekte,</w:t>
      </w:r>
    </w:p>
    <w:p>
      <w:pPr>
        <w:pStyle w:val="Odsekzoznamu"/>
        <w:numPr>
          <w:ilvl w:val="0"/>
          <w:numId w:val="2"/>
        </w:numPr>
        <w:jc w:val="both"/>
        <w:rPr>
          <w:rFonts w:ascii="Arial" w:hAnsi="Arial" w:cs="Arial"/>
        </w:rPr>
      </w:pPr>
      <w:r>
        <w:rPr>
          <w:rFonts w:ascii="Arial" w:hAnsi="Arial" w:cs="Arial"/>
        </w:rPr>
        <w:t xml:space="preserve">podporené objekty v sociálnych službách zamerané na poskytovanie služieb starostlivosti o deti do 3 rokov veku môžu mať maximálne kapacitu 20 miest v jednom objekte, </w:t>
      </w:r>
    </w:p>
    <w:p>
      <w:pPr>
        <w:pStyle w:val="Odsekzoznamu"/>
        <w:numPr>
          <w:ilvl w:val="0"/>
          <w:numId w:val="2"/>
        </w:numPr>
        <w:jc w:val="both"/>
        <w:rPr>
          <w:rFonts w:ascii="Arial" w:hAnsi="Arial" w:cs="Arial"/>
        </w:rPr>
      </w:pPr>
      <w:r>
        <w:rPr>
          <w:rFonts w:ascii="Arial" w:hAnsi="Arial" w:cs="Arial"/>
        </w:rPr>
        <w:t>podporené objekty v </w:t>
      </w:r>
      <w:proofErr w:type="spellStart"/>
      <w:r>
        <w:rPr>
          <w:rFonts w:ascii="Arial" w:hAnsi="Arial" w:cs="Arial"/>
        </w:rPr>
        <w:t>SPOaSK</w:t>
      </w:r>
      <w:proofErr w:type="spellEnd"/>
      <w:r>
        <w:rPr>
          <w:rFonts w:ascii="Arial" w:hAnsi="Arial" w:cs="Arial"/>
        </w:rPr>
        <w:t xml:space="preserve">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pPr>
        <w:pStyle w:val="Odsekzoznamu"/>
        <w:numPr>
          <w:ilvl w:val="0"/>
          <w:numId w:val="2"/>
        </w:numPr>
        <w:jc w:val="both"/>
        <w:rPr>
          <w:rFonts w:ascii="Arial" w:hAnsi="Arial" w:cs="Arial"/>
        </w:rPr>
      </w:pPr>
      <w:r>
        <w:rPr>
          <w:rFonts w:ascii="Arial" w:hAnsi="Arial" w:cs="Arial"/>
        </w:rPr>
        <w:t xml:space="preserve">objekty uvoľnené v priebehu transformácie </w:t>
      </w:r>
      <w:proofErr w:type="spellStart"/>
      <w:r>
        <w:rPr>
          <w:rFonts w:ascii="Arial" w:hAnsi="Arial" w:cs="Arial"/>
        </w:rPr>
        <w:t>deinštitucionalizovaných</w:t>
      </w:r>
      <w:proofErr w:type="spellEnd"/>
      <w:r>
        <w:rPr>
          <w:rFonts w:ascii="Arial" w:hAnsi="Arial" w:cs="Arial"/>
        </w:rPr>
        <w:t xml:space="preserve"> zariadení s celoročným pobytom môžu byť ďalej využívané pre pobytové  sociálne služby len pre seniorov a chronicky chorých danej lokality maximálne v kapacite ustanovenej zákonom </w:t>
      </w:r>
      <w:r>
        <w:rPr>
          <w:rFonts w:ascii="Arial" w:hAnsi="Arial" w:cs="Arial"/>
        </w:rPr>
        <w:lastRenderedPageBreak/>
        <w:t xml:space="preserve">o sociálnych službách  s podmienkou, že štúdia o vybavenosti územia preukáže dostatočnú vybavenosť danej lokality </w:t>
      </w:r>
      <w:proofErr w:type="spellStart"/>
      <w:r>
        <w:rPr>
          <w:rFonts w:ascii="Arial" w:hAnsi="Arial" w:cs="Arial"/>
        </w:rPr>
        <w:t>komunitnými</w:t>
      </w:r>
      <w:proofErr w:type="spellEnd"/>
      <w:r>
        <w:rPr>
          <w:rFonts w:ascii="Arial" w:hAnsi="Arial" w:cs="Arial"/>
        </w:rPr>
        <w:t xml:space="preserve"> službami pre relevantné cieľové skupiny; v odôvodnených prípadoch </w:t>
      </w:r>
      <w:proofErr w:type="spellStart"/>
      <w:r>
        <w:rPr>
          <w:rFonts w:ascii="Arial" w:hAnsi="Arial" w:cs="Arial"/>
        </w:rPr>
        <w:t>nedostatkovosti</w:t>
      </w:r>
      <w:proofErr w:type="spellEnd"/>
      <w:r>
        <w:rPr>
          <w:rFonts w:ascii="Arial" w:hAnsi="Arial" w:cs="Arial"/>
        </w:rPr>
        <w:t xml:space="preserve"> týchto služieb v danej lokalite sa môžu uchádzať o podporu z IROP,</w:t>
      </w:r>
    </w:p>
    <w:p>
      <w:pPr>
        <w:pStyle w:val="Odsekzoznamu"/>
        <w:numPr>
          <w:ilvl w:val="0"/>
          <w:numId w:val="2"/>
        </w:numPr>
        <w:jc w:val="both"/>
        <w:rPr>
          <w:rFonts w:ascii="Arial" w:hAnsi="Arial" w:cs="Arial"/>
        </w:rPr>
      </w:pPr>
      <w:r>
        <w:rPr>
          <w:rFonts w:ascii="Arial" w:hAnsi="Arial" w:cs="Arial"/>
        </w:rPr>
        <w:t xml:space="preserve">v priebehu transformácie a deinštitucionalizácie zariadení sociálnych služieb s celoročným pobytom sa nesmú prijímať noví klienti do pôvodných existujúcich objektov zariadení tak, aby sa dopĺňala alebo </w:t>
      </w:r>
      <w:proofErr w:type="spellStart"/>
      <w:r>
        <w:rPr>
          <w:rFonts w:ascii="Arial" w:hAnsi="Arial" w:cs="Arial"/>
        </w:rPr>
        <w:t>navyšovala</w:t>
      </w:r>
      <w:proofErr w:type="spellEnd"/>
      <w:r>
        <w:rPr>
          <w:rFonts w:ascii="Arial" w:hAnsi="Arial" w:cs="Arial"/>
        </w:rPr>
        <w:t xml:space="preserve"> kapacita,</w:t>
      </w:r>
    </w:p>
    <w:p>
      <w:pPr>
        <w:pStyle w:val="Odsekzoznamu"/>
        <w:numPr>
          <w:ilvl w:val="0"/>
          <w:numId w:val="2"/>
        </w:numPr>
        <w:jc w:val="both"/>
        <w:rPr>
          <w:rFonts w:ascii="Arial" w:hAnsi="Arial" w:cs="Arial"/>
        </w:rPr>
      </w:pPr>
      <w:r>
        <w:rPr>
          <w:rFonts w:ascii="Arial" w:hAnsi="Arial" w:cs="Arial"/>
        </w:rPr>
        <w:t xml:space="preserve">podporený objekt musí byť včlenený do bežnej zástavby obce a primerane vzdialený od iného objektu, v ktorom sa poskytuje sociálna služba a zabezpečuje výkon opatrení </w:t>
      </w:r>
      <w:proofErr w:type="spellStart"/>
      <w:r>
        <w:rPr>
          <w:rFonts w:ascii="Arial" w:hAnsi="Arial" w:cs="Arial"/>
        </w:rPr>
        <w:t>SPOaSK</w:t>
      </w:r>
      <w:proofErr w:type="spellEnd"/>
      <w:r>
        <w:rPr>
          <w:rFonts w:ascii="Arial" w:hAnsi="Arial" w:cs="Arial"/>
        </w:rPr>
        <w:t xml:space="preserve"> v zariadení,</w:t>
      </w:r>
    </w:p>
    <w:p>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pPr>
        <w:pStyle w:val="Odsekzoznamu"/>
        <w:numPr>
          <w:ilvl w:val="0"/>
          <w:numId w:val="2"/>
        </w:numPr>
        <w:jc w:val="both"/>
        <w:rPr>
          <w:rFonts w:ascii="Arial" w:hAnsi="Arial" w:cs="Arial"/>
        </w:rPr>
      </w:pPr>
      <w:r>
        <w:rPr>
          <w:rFonts w:ascii="Arial" w:hAnsi="Arial" w:cs="Arial"/>
        </w:rPr>
        <w:t xml:space="preserve">projekt a nové </w:t>
      </w:r>
      <w:proofErr w:type="spellStart"/>
      <w:r>
        <w:rPr>
          <w:rFonts w:ascii="Arial" w:hAnsi="Arial" w:cs="Arial"/>
        </w:rPr>
        <w:t>komunitné</w:t>
      </w:r>
      <w:proofErr w:type="spellEnd"/>
      <w:r>
        <w:rPr>
          <w:rFonts w:ascii="Arial" w:hAnsi="Arial" w:cs="Arial"/>
        </w:rPr>
        <w:t xml:space="preserve"> služby musia spĺňa podmienky kvality poskytovanej sociálnej služby určenej v zákone č. 448/2008 Z. z. o sociálnych službách, Príloha č. 2.</w:t>
      </w:r>
    </w:p>
    <w:p>
      <w:pPr>
        <w:jc w:val="both"/>
        <w:rPr>
          <w:rFonts w:ascii="Arial" w:hAnsi="Arial" w:cs="Arial"/>
        </w:rPr>
      </w:pPr>
      <w:r>
        <w:rPr>
          <w:rFonts w:ascii="Arial" w:hAnsi="Arial" w:cs="Arial"/>
          <w:b/>
        </w:rPr>
        <w:t>Špecifický cieľ 2.1.2 a 2.1.3</w:t>
      </w:r>
    </w:p>
    <w:p>
      <w:pPr>
        <w:pStyle w:val="Odsekzoznamu"/>
        <w:numPr>
          <w:ilvl w:val="0"/>
          <w:numId w:val="2"/>
        </w:numPr>
        <w:spacing w:before="120"/>
        <w:jc w:val="both"/>
        <w:rPr>
          <w:rFonts w:ascii="Arial" w:hAnsi="Arial" w:cs="Arial"/>
        </w:rPr>
      </w:pPr>
      <w:r>
        <w:rPr>
          <w:rFonts w:ascii="Arial" w:hAnsi="Arial" w:cs="Arial"/>
        </w:rPr>
        <w:t xml:space="preserve">projekt musí byť  v súlade so </w:t>
      </w:r>
      <w:r>
        <w:rPr>
          <w:rFonts w:ascii="Arial" w:hAnsi="Arial" w:cs="Arial"/>
          <w:i/>
        </w:rPr>
        <w:t>Strategickým rámcom starostlivosti o zdravie pre roky 2014 – 2030</w:t>
      </w:r>
      <w:r>
        <w:rPr>
          <w:rFonts w:ascii="Arial" w:hAnsi="Arial" w:cs="Arial"/>
        </w:rPr>
        <w:t xml:space="preserve"> a jeho relevantnými čiastkovými stratégiami/nástrojmi zmien,</w:t>
      </w:r>
    </w:p>
    <w:p>
      <w:pPr>
        <w:pStyle w:val="Odsekzoznamu"/>
        <w:numPr>
          <w:ilvl w:val="0"/>
          <w:numId w:val="2"/>
        </w:numPr>
        <w:spacing w:before="120"/>
        <w:jc w:val="both"/>
        <w:rPr>
          <w:rFonts w:ascii="Arial" w:hAnsi="Arial" w:cs="Arial"/>
        </w:rPr>
      </w:pPr>
      <w:r>
        <w:rPr>
          <w:rFonts w:ascii="Arial" w:hAnsi="Arial" w:cs="Arial"/>
        </w:rPr>
        <w:t>projekt musí reflektovať regionálne špecifiká (geografia, dopravná dostupnosť, demografia, epidemiológia, ...) a integračné trendy,</w:t>
      </w:r>
    </w:p>
    <w:p>
      <w:pPr>
        <w:pStyle w:val="Odsekzoznamu"/>
        <w:numPr>
          <w:ilvl w:val="0"/>
          <w:numId w:val="2"/>
        </w:numPr>
        <w:spacing w:before="120"/>
        <w:jc w:val="both"/>
        <w:rPr>
          <w:rFonts w:ascii="Arial" w:hAnsi="Arial" w:cs="Arial"/>
        </w:rPr>
      </w:pPr>
      <w:r>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pPr>
        <w:pStyle w:val="Odsekzoznamu"/>
        <w:numPr>
          <w:ilvl w:val="0"/>
          <w:numId w:val="2"/>
        </w:numPr>
        <w:spacing w:before="1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 (platí len pre 2.1.3).</w:t>
      </w:r>
    </w:p>
    <w:p>
      <w:pPr>
        <w:spacing w:before="120"/>
        <w:jc w:val="both"/>
        <w:rPr>
          <w:rFonts w:ascii="Arial" w:hAnsi="Arial" w:cs="Arial"/>
        </w:rPr>
      </w:pPr>
      <w:r>
        <w:rPr>
          <w:rFonts w:ascii="Arial" w:hAnsi="Arial" w:cs="Arial"/>
          <w:b/>
        </w:rPr>
        <w:t>Princípy spoločne uplatňované pre všetky tri špecifické ciele</w:t>
      </w:r>
      <w:r>
        <w:rPr>
          <w:rFonts w:ascii="Arial" w:hAnsi="Arial" w:cs="Arial"/>
        </w:rPr>
        <w:t>:</w:t>
      </w:r>
    </w:p>
    <w:p>
      <w:pPr>
        <w:pStyle w:val="Odsekzoznamu"/>
        <w:numPr>
          <w:ilvl w:val="0"/>
          <w:numId w:val="2"/>
        </w:numPr>
        <w:spacing w:before="120"/>
        <w:jc w:val="both"/>
        <w:rPr>
          <w:rFonts w:ascii="Arial" w:hAnsi="Arial" w:cs="Arial"/>
        </w:rPr>
      </w:pPr>
      <w:r>
        <w:rPr>
          <w:rFonts w:ascii="Arial" w:hAnsi="Arial" w:cs="Arial"/>
        </w:rPr>
        <w:t>podporené stavebné objekty musia byť plne bezbariérové v súlade s princípmi univerzálneho navrhovania - projekt spĺňa požiadavky v súlade s vyhláškou MŽP SR č. 532/2002 Z. z.,</w:t>
      </w:r>
    </w:p>
    <w:p>
      <w:pPr>
        <w:pStyle w:val="Odsekzoznamu"/>
        <w:numPr>
          <w:ilvl w:val="0"/>
          <w:numId w:val="2"/>
        </w:numPr>
        <w:jc w:val="both"/>
        <w:rPr>
          <w:rFonts w:ascii="Arial" w:hAnsi="Arial" w:cs="Arial"/>
        </w:rPr>
      </w:pPr>
      <w:r>
        <w:rPr>
          <w:rFonts w:ascii="Arial" w:hAnsi="Arial" w:cs="Arial"/>
        </w:rPr>
        <w:t xml:space="preserve">pre projekt bude platiť efektívna bonifikácia, pokiaľ pri obnove/výstavbe budov alebo ich častí budú </w:t>
      </w:r>
      <w:proofErr w:type="spellStart"/>
      <w:r>
        <w:rPr>
          <w:rFonts w:ascii="Arial" w:hAnsi="Arial" w:cs="Arial"/>
        </w:rPr>
        <w:t>tepelnotechnické</w:t>
      </w:r>
      <w:proofErr w:type="spellEnd"/>
      <w:r>
        <w:rPr>
          <w:rFonts w:ascii="Arial" w:hAnsi="Arial" w:cs="Arial"/>
        </w:rPr>
        <w:t xml:space="preserve"> vlastnosti stavebných konštrukcií a budov spĺňať parametre nad rámec aktuálne požadovanej úrovne energetickej hospodárnosti podľa STN 73 0540-2: 2012,</w:t>
      </w:r>
    </w:p>
    <w:p>
      <w:pPr>
        <w:pStyle w:val="Odsekzoznamu"/>
        <w:numPr>
          <w:ilvl w:val="0"/>
          <w:numId w:val="2"/>
        </w:numPr>
        <w:spacing w:before="12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2"/>
        </w:numPr>
        <w:spacing w:before="12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2"/>
        </w:numPr>
        <w:spacing w:before="120"/>
        <w:jc w:val="both"/>
        <w:rPr>
          <w:rFonts w:ascii="Arial" w:hAnsi="Arial" w:cs="Arial"/>
        </w:rPr>
      </w:pPr>
      <w:r>
        <w:rPr>
          <w:rFonts w:ascii="Arial" w:hAnsi="Arial" w:cs="Arial"/>
        </w:rPr>
        <w:t>projekt uplatňuje zásadu „znečisťovateľ platí“.</w:t>
      </w:r>
    </w:p>
    <w:p>
      <w:pPr>
        <w:spacing w:before="120"/>
        <w:jc w:val="both"/>
        <w:rPr>
          <w:rFonts w:ascii="Arial" w:hAnsi="Arial" w:cs="Arial"/>
        </w:rPr>
      </w:pPr>
      <w:r>
        <w:rPr>
          <w:rFonts w:ascii="Arial" w:hAnsi="Arial" w:cs="Arial"/>
        </w:rPr>
        <w:lastRenderedPageBreak/>
        <w:t>Všetky uvedené princípy sa uplatnia v závislosti od  typu a charakteru projektu.</w:t>
      </w:r>
    </w:p>
    <w:p>
      <w:pPr>
        <w:spacing w:before="120"/>
        <w:jc w:val="both"/>
        <w:rPr>
          <w:rFonts w:ascii="Arial" w:hAnsi="Arial" w:cs="Arial"/>
        </w:rPr>
      </w:pPr>
    </w:p>
    <w:p>
      <w:pPr>
        <w:pStyle w:val="Nadpis6"/>
        <w:rPr>
          <w:rFonts w:ascii="Arial" w:hAnsi="Arial" w:cs="Arial"/>
        </w:rPr>
      </w:pPr>
      <w:bookmarkStart w:id="33" w:name="_Toc387651811"/>
      <w:r>
        <w:rPr>
          <w:rFonts w:ascii="Arial" w:hAnsi="Arial" w:cs="Arial"/>
        </w:rPr>
        <w:t>2.2.1.3. Plánované využitie finančných nástrojov</w:t>
      </w:r>
      <w:bookmarkEnd w:id="33"/>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34" w:name="_Toc387651812"/>
      <w:r>
        <w:rPr>
          <w:rFonts w:ascii="Arial" w:hAnsi="Arial" w:cs="Arial"/>
        </w:rPr>
        <w:t>2.2.1.4. Plánované využitie veľkých projektov</w:t>
      </w:r>
      <w:bookmarkEnd w:id="34"/>
    </w:p>
    <w:p>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spacing w:before="120"/>
        <w:rPr>
          <w:rFonts w:ascii="Arial" w:hAnsi="Arial" w:cs="Arial"/>
        </w:rPr>
      </w:pPr>
    </w:p>
    <w:p>
      <w:pPr>
        <w:spacing w:before="120"/>
        <w:rPr>
          <w:rFonts w:ascii="Arial" w:hAnsi="Arial" w:cs="Arial"/>
        </w:rPr>
      </w:pPr>
    </w:p>
    <w:p>
      <w:pPr>
        <w:spacing w:before="120"/>
        <w:rPr>
          <w:rFonts w:ascii="Arial" w:hAnsi="Arial" w:cs="Arial"/>
        </w:rPr>
      </w:pPr>
    </w:p>
    <w:p>
      <w:pPr>
        <w:spacing w:before="120"/>
        <w:rPr>
          <w:rFonts w:ascii="Arial" w:hAnsi="Arial" w:cs="Arial"/>
        </w:rPr>
      </w:pPr>
    </w:p>
    <w:p>
      <w:pPr>
        <w:spacing w:before="120"/>
        <w:rPr>
          <w:rFonts w:ascii="Arial" w:hAnsi="Arial" w:cs="Arial"/>
        </w:rPr>
      </w:pPr>
    </w:p>
    <w:p>
      <w:pPr>
        <w:spacing w:before="120"/>
        <w:rPr>
          <w:rFonts w:ascii="Arial" w:hAnsi="Arial" w:cs="Arial"/>
        </w:rPr>
      </w:pPr>
    </w:p>
    <w:p>
      <w:pPr>
        <w:pStyle w:val="Nadpis6"/>
        <w:rPr>
          <w:rFonts w:ascii="Arial" w:hAnsi="Arial" w:cs="Arial"/>
        </w:rPr>
      </w:pPr>
      <w:bookmarkStart w:id="35" w:name="_Toc387651813"/>
      <w:r>
        <w:rPr>
          <w:rFonts w:ascii="Arial" w:hAnsi="Arial" w:cs="Arial"/>
        </w:rPr>
        <w:lastRenderedPageBreak/>
        <w:t>2.2.1.5. Ukazovatele výstupov podľa investičnej priority a ak je to vhodné, podľa kategórie regiónu</w:t>
      </w:r>
      <w:bookmarkEnd w:id="35"/>
    </w:p>
    <w:p>
      <w:pPr>
        <w:spacing w:before="120"/>
        <w:rPr>
          <w:rFonts w:ascii="Arial" w:hAnsi="Arial" w:cs="Arial"/>
        </w:rPr>
      </w:pPr>
      <w:r>
        <w:rPr>
          <w:rStyle w:val="Siln"/>
          <w:rFonts w:ascii="Arial" w:hAnsi="Arial" w:cs="Arial"/>
        </w:rPr>
        <w:t>Tabuľka č. 13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Osoba 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Osoba 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sociálnych služieb na </w:t>
            </w:r>
            <w:proofErr w:type="spellStart"/>
            <w:r>
              <w:rPr>
                <w:rFonts w:ascii="Arial" w:hAnsi="Arial" w:cs="Arial"/>
                <w:sz w:val="16"/>
                <w:szCs w:val="16"/>
              </w:rPr>
              <w:t>komunitnej</w:t>
            </w:r>
            <w:proofErr w:type="spellEnd"/>
            <w:r>
              <w:rPr>
                <w:rFonts w:ascii="Arial" w:hAnsi="Arial" w:cs="Arial"/>
                <w:sz w:val="16"/>
                <w:szCs w:val="16"/>
              </w:rPr>
              <w:t xml:space="preserve">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Sociálna služba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110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sociálnych služieb na </w:t>
            </w:r>
            <w:proofErr w:type="spellStart"/>
            <w:r>
              <w:rPr>
                <w:rFonts w:ascii="Arial" w:hAnsi="Arial" w:cs="Arial"/>
                <w:sz w:val="16"/>
                <w:szCs w:val="16"/>
              </w:rPr>
              <w:t>komunitnej</w:t>
            </w:r>
            <w:proofErr w:type="spellEnd"/>
            <w:r>
              <w:rPr>
                <w:rFonts w:ascii="Arial" w:hAnsi="Arial" w:cs="Arial"/>
                <w:sz w:val="16"/>
                <w:szCs w:val="16"/>
              </w:rPr>
              <w:t xml:space="preserve">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Sociálna služba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 xml:space="preserve">Kapacita novovzniknutých </w:t>
            </w:r>
            <w:proofErr w:type="spellStart"/>
            <w:r>
              <w:rPr>
                <w:rFonts w:ascii="Arial" w:hAnsi="Arial" w:cs="Arial"/>
                <w:sz w:val="16"/>
                <w:szCs w:val="16"/>
              </w:rPr>
              <w:lastRenderedPageBreak/>
              <w:t>komunitných</w:t>
            </w:r>
            <w:proofErr w:type="spellEnd"/>
            <w:r>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lastRenderedPageBreak/>
              <w:t xml:space="preserve">Prijímateľ </w:t>
            </w:r>
            <w:r>
              <w:rPr>
                <w:rFonts w:ascii="Arial" w:hAnsi="Arial" w:cs="Arial"/>
                <w:sz w:val="16"/>
                <w:szCs w:val="16"/>
              </w:rPr>
              <w:lastRenderedPageBreak/>
              <w:t>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lastRenderedPageBreak/>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 xml:space="preserve">Kapacita novovzniknutých </w:t>
            </w:r>
            <w:proofErr w:type="spellStart"/>
            <w:r>
              <w:rPr>
                <w:rFonts w:ascii="Arial" w:hAnsi="Arial" w:cs="Arial"/>
                <w:sz w:val="16"/>
                <w:szCs w:val="16"/>
              </w:rPr>
              <w:t>komunitných</w:t>
            </w:r>
            <w:proofErr w:type="spellEnd"/>
            <w:r>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Prijímateľ sociálnych služieb</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Počet zariadení sociálnych služieb, čiastočne alebo plne transformovaných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Počet zariadení sociálnych služieb, čiastočne alebo plne transformovaných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Predpokladaný počet obyvateľov, ktorí využijú kvalitnejšie zdravotné služby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Obyvateľ</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4 775 000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p>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Plocha zmodernizovaných  alebo novopostavených stavebných objektov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Plocha zmodernizovaných  alebo novopostavených stavebných objektov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heme="minorHAnsi" w:hAnsi="Arial" w:cs="Arial"/>
                <w:sz w:val="16"/>
                <w:szCs w:val="16"/>
              </w:rPr>
              <w:t xml:space="preserve">Počet </w:t>
            </w:r>
            <w:r>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 xml:space="preserve">Centrum </w:t>
            </w:r>
            <w:r>
              <w:rPr>
                <w:rFonts w:ascii="Arial" w:hAnsi="Arial" w:cs="Arial"/>
                <w:bCs/>
                <w:sz w:val="16"/>
                <w:szCs w:val="16"/>
              </w:rPr>
              <w:t>integrovanej zdravotnej starostlivosti</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heme="minorHAnsi" w:hAnsi="Arial" w:cs="Arial"/>
                <w:sz w:val="16"/>
                <w:szCs w:val="16"/>
              </w:rPr>
              <w:t xml:space="preserve">Počet </w:t>
            </w:r>
            <w:r>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hAnsi="Arial" w:cs="Arial"/>
                <w:sz w:val="16"/>
                <w:szCs w:val="16"/>
              </w:rPr>
              <w:t>Akútna všeobecná nemocnice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eastAsia="Times New Roman" w:hAnsi="Arial" w:cs="Arial"/>
                <w:bCs/>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eastAsia="Times New Roman" w:hAnsi="Arial" w:cs="Arial"/>
                <w:bCs/>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eastAsiaTheme="minorHAnsi"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rPr>
                <w:rFonts w:ascii="Arial" w:hAnsi="Arial" w:cs="Arial"/>
                <w:sz w:val="16"/>
                <w:szCs w:val="16"/>
              </w:rPr>
            </w:pPr>
            <w:r>
              <w:rPr>
                <w:rFonts w:ascii="Arial" w:eastAsia="Times New Roman" w:hAnsi="Arial" w:cs="Arial"/>
                <w:bCs/>
                <w:sz w:val="16"/>
                <w:szCs w:val="16"/>
              </w:rPr>
              <w:t>Zariadenie</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sz w:val="16"/>
                <w:szCs w:val="16"/>
              </w:rPr>
            </w:pPr>
            <w:r>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pPr>
              <w:spacing w:after="0" w:line="240" w:lineRule="auto"/>
              <w:rPr>
                <w:rFonts w:ascii="Arial" w:hAnsi="Arial" w:cs="Arial"/>
                <w:color w:val="FF0000"/>
                <w:sz w:val="16"/>
                <w:szCs w:val="16"/>
              </w:rPr>
            </w:pPr>
            <w:r>
              <w:rPr>
                <w:rFonts w:ascii="Arial" w:eastAsia="Times New Roman" w:hAnsi="Arial" w:cs="Arial"/>
                <w:bCs/>
                <w:sz w:val="16"/>
                <w:szCs w:val="16"/>
              </w:rPr>
              <w:t>ročne</w:t>
            </w:r>
          </w:p>
        </w:tc>
      </w:tr>
    </w:tbl>
    <w:p>
      <w:pPr>
        <w:pBdr>
          <w:bottom w:val="single" w:sz="12" w:space="1" w:color="auto"/>
        </w:pBdr>
        <w:rPr>
          <w:rFonts w:ascii="Arial" w:hAnsi="Arial" w:cs="Arial"/>
        </w:rPr>
      </w:pPr>
    </w:p>
    <w:p>
      <w:pPr>
        <w:spacing w:after="0" w:line="240" w:lineRule="auto"/>
        <w:jc w:val="both"/>
        <w:rPr>
          <w:rFonts w:ascii="Arial" w:hAnsi="Arial" w:cs="Arial"/>
          <w:color w:val="000000"/>
          <w:lang w:eastAsia="sk-SK"/>
        </w:rPr>
      </w:pPr>
    </w:p>
    <w:p>
      <w:pPr>
        <w:pStyle w:val="Nadpis4"/>
        <w:shd w:val="clear" w:color="auto" w:fill="21306A"/>
        <w:jc w:val="both"/>
        <w:rPr>
          <w:rFonts w:ascii="Arial" w:hAnsi="Arial" w:cs="Arial"/>
          <w:color w:val="FFFFFF"/>
        </w:rPr>
      </w:pPr>
      <w:bookmarkStart w:id="36" w:name="_Toc387651814"/>
      <w:r>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36"/>
    </w:p>
    <w:p>
      <w:pPr>
        <w:spacing w:after="0" w:line="240" w:lineRule="auto"/>
        <w:jc w:val="both"/>
        <w:rPr>
          <w:rFonts w:ascii="Arial" w:hAnsi="Arial" w:cs="Arial"/>
          <w:color w:val="000000"/>
          <w:lang w:eastAsia="sk-SK"/>
        </w:rPr>
      </w:pPr>
    </w:p>
    <w:p>
      <w:pPr>
        <w:jc w:val="both"/>
        <w:rPr>
          <w:rFonts w:ascii="Arial" w:hAnsi="Arial" w:cs="Arial"/>
          <w:b/>
        </w:rPr>
      </w:pPr>
      <w:r>
        <w:rPr>
          <w:rFonts w:ascii="Arial" w:hAnsi="Arial" w:cs="Arial"/>
          <w:b/>
        </w:rPr>
        <w:t>Špecifický cieľ č. 2.2.1:</w:t>
      </w:r>
    </w:p>
    <w:p>
      <w:pPr>
        <w:shd w:val="clear" w:color="auto" w:fill="D9D9D9"/>
        <w:jc w:val="both"/>
        <w:rPr>
          <w:rFonts w:ascii="Arial" w:hAnsi="Arial" w:cs="Arial"/>
        </w:rPr>
      </w:pPr>
      <w:r>
        <w:rPr>
          <w:rStyle w:val="Zvraznenie"/>
          <w:rFonts w:ascii="Arial" w:hAnsi="Arial" w:cs="Arial"/>
        </w:rPr>
        <w:t xml:space="preserve">Zvýšenie hrubej </w:t>
      </w:r>
      <w:proofErr w:type="spellStart"/>
      <w:r>
        <w:rPr>
          <w:rStyle w:val="Zvraznenie"/>
          <w:rFonts w:ascii="Arial" w:hAnsi="Arial" w:cs="Arial"/>
        </w:rPr>
        <w:t>zaškolenosti</w:t>
      </w:r>
      <w:proofErr w:type="spellEnd"/>
      <w:r>
        <w:rPr>
          <w:rStyle w:val="Zvraznenie"/>
          <w:rFonts w:ascii="Arial" w:hAnsi="Arial" w:cs="Arial"/>
        </w:rPr>
        <w:t xml:space="preserve"> detí materských škôl</w:t>
      </w:r>
    </w:p>
    <w:p>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 xml:space="preserve">zvýšenia </w:t>
      </w:r>
      <w:proofErr w:type="spellStart"/>
      <w:r>
        <w:rPr>
          <w:rFonts w:ascii="Arial" w:hAnsi="Arial" w:cs="Arial"/>
        </w:rPr>
        <w:t>zaškolenosti</w:t>
      </w:r>
      <w:proofErr w:type="spellEnd"/>
      <w:r>
        <w:rPr>
          <w:rFonts w:ascii="Arial" w:hAnsi="Arial" w:cs="Arial"/>
        </w:rPr>
        <w:t xml:space="preserve"> detí materských škôl a zabezpečenie kvalitného </w:t>
      </w:r>
      <w:proofErr w:type="spellStart"/>
      <w:r>
        <w:rPr>
          <w:rFonts w:ascii="Arial" w:hAnsi="Arial" w:cs="Arial"/>
        </w:rPr>
        <w:t>predprimárneho</w:t>
      </w:r>
      <w:proofErr w:type="spellEnd"/>
      <w:r>
        <w:rPr>
          <w:rFonts w:ascii="Arial" w:hAnsi="Arial" w:cs="Arial"/>
        </w:rPr>
        <w:t xml:space="preserve">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w:t>
      </w:r>
      <w:proofErr w:type="spellStart"/>
      <w:r>
        <w:rPr>
          <w:rFonts w:ascii="Arial" w:hAnsi="Arial" w:cs="Arial"/>
        </w:rPr>
        <w:t>inkluzívneho</w:t>
      </w:r>
      <w:proofErr w:type="spellEnd"/>
      <w:r>
        <w:rPr>
          <w:rFonts w:ascii="Arial" w:hAnsi="Arial" w:cs="Arial"/>
        </w:rPr>
        <w:t xml:space="preserve"> vzdelávania v materských školách bude dochádzať k integrácii detí so špeciálnymi výchovno-vzdelávacími potrebami.</w:t>
      </w:r>
    </w:p>
    <w:p>
      <w:pPr>
        <w:jc w:val="both"/>
        <w:rPr>
          <w:rFonts w:ascii="Arial" w:hAnsi="Arial" w:cs="Arial"/>
          <w:b/>
        </w:rPr>
      </w:pPr>
      <w:r>
        <w:rPr>
          <w:rFonts w:ascii="Arial" w:hAnsi="Arial" w:cs="Arial"/>
          <w:b/>
        </w:rPr>
        <w:t xml:space="preserve">Výsledky podpory IROP: </w:t>
      </w:r>
    </w:p>
    <w:p>
      <w:pPr>
        <w:pStyle w:val="Odsekzoznamu"/>
        <w:numPr>
          <w:ilvl w:val="0"/>
          <w:numId w:val="28"/>
        </w:numPr>
        <w:jc w:val="both"/>
        <w:rPr>
          <w:rFonts w:ascii="Arial" w:hAnsi="Arial" w:cs="Arial"/>
        </w:rPr>
      </w:pPr>
      <w:r>
        <w:rPr>
          <w:rFonts w:ascii="Arial" w:hAnsi="Arial" w:cs="Arial"/>
        </w:rPr>
        <w:t xml:space="preserve">vytvorené podmienky na zvýšenie hrubej </w:t>
      </w:r>
      <w:proofErr w:type="spellStart"/>
      <w:r>
        <w:rPr>
          <w:rFonts w:ascii="Arial" w:hAnsi="Arial" w:cs="Arial"/>
        </w:rPr>
        <w:t>zaškolenosti</w:t>
      </w:r>
      <w:proofErr w:type="spellEnd"/>
      <w:r>
        <w:rPr>
          <w:rFonts w:ascii="Arial" w:hAnsi="Arial" w:cs="Arial"/>
        </w:rPr>
        <w:t xml:space="preserve"> detí od 3 – 5 roku veku,</w:t>
      </w:r>
    </w:p>
    <w:p>
      <w:pPr>
        <w:pStyle w:val="Odsekzoznamu"/>
        <w:numPr>
          <w:ilvl w:val="0"/>
          <w:numId w:val="28"/>
        </w:numPr>
        <w:jc w:val="both"/>
        <w:rPr>
          <w:rFonts w:ascii="Arial" w:hAnsi="Arial" w:cs="Arial"/>
        </w:rPr>
      </w:pPr>
      <w:r>
        <w:rPr>
          <w:rFonts w:ascii="Arial" w:hAnsi="Arial" w:cs="Arial"/>
        </w:rPr>
        <w:t xml:space="preserve">vytvorené podmienky na začlenenie detí v rámci </w:t>
      </w:r>
      <w:proofErr w:type="spellStart"/>
      <w:r>
        <w:rPr>
          <w:rFonts w:ascii="Arial" w:hAnsi="Arial" w:cs="Arial"/>
        </w:rPr>
        <w:t>inkluzívneho</w:t>
      </w:r>
      <w:proofErr w:type="spellEnd"/>
      <w:r>
        <w:rPr>
          <w:rFonts w:ascii="Arial" w:hAnsi="Arial" w:cs="Arial"/>
        </w:rPr>
        <w:t xml:space="preserve"> </w:t>
      </w:r>
      <w:proofErr w:type="spellStart"/>
      <w:r>
        <w:rPr>
          <w:rFonts w:ascii="Arial" w:hAnsi="Arial" w:cs="Arial"/>
        </w:rPr>
        <w:t>predprimárneho</w:t>
      </w:r>
      <w:proofErr w:type="spellEnd"/>
      <w:r>
        <w:rPr>
          <w:rFonts w:ascii="Arial" w:hAnsi="Arial" w:cs="Arial"/>
        </w:rPr>
        <w:t xml:space="preserve"> vzdelávania v materských školách,</w:t>
      </w:r>
    </w:p>
    <w:p>
      <w:pPr>
        <w:pStyle w:val="Odsekzoznamu"/>
        <w:numPr>
          <w:ilvl w:val="0"/>
          <w:numId w:val="28"/>
        </w:numPr>
        <w:jc w:val="both"/>
        <w:rPr>
          <w:rFonts w:ascii="Arial" w:hAnsi="Arial" w:cs="Arial"/>
        </w:rPr>
      </w:pPr>
      <w:r>
        <w:rPr>
          <w:rFonts w:ascii="Arial" w:hAnsi="Arial" w:cs="Arial"/>
        </w:rPr>
        <w:t>zlepšené podmienky na zosúladenie súkromného a pracovného života rodičov,</w:t>
      </w:r>
    </w:p>
    <w:p>
      <w:pPr>
        <w:pStyle w:val="Odsekzoznamu"/>
        <w:numPr>
          <w:ilvl w:val="0"/>
          <w:numId w:val="28"/>
        </w:numPr>
        <w:jc w:val="both"/>
        <w:rPr>
          <w:rFonts w:ascii="Arial" w:hAnsi="Arial" w:cs="Arial"/>
        </w:rPr>
      </w:pPr>
      <w:r>
        <w:rPr>
          <w:rFonts w:ascii="Arial" w:hAnsi="Arial" w:cs="Arial"/>
        </w:rPr>
        <w:t xml:space="preserve">zvýšenie dostupnosti </w:t>
      </w:r>
      <w:proofErr w:type="spellStart"/>
      <w:r>
        <w:rPr>
          <w:rFonts w:ascii="Arial" w:hAnsi="Arial" w:cs="Arial"/>
        </w:rPr>
        <w:t>predprimárneho</w:t>
      </w:r>
      <w:proofErr w:type="spellEnd"/>
      <w:r>
        <w:rPr>
          <w:rFonts w:ascii="Arial" w:hAnsi="Arial" w:cs="Arial"/>
        </w:rPr>
        <w:t xml:space="preserve"> vzdelávania pre všetky deti vo veku od 3 do 5 rokov, ktorých rodičia o </w:t>
      </w:r>
      <w:proofErr w:type="spellStart"/>
      <w:r>
        <w:rPr>
          <w:rFonts w:ascii="Arial" w:hAnsi="Arial" w:cs="Arial"/>
        </w:rPr>
        <w:t>predprimárne</w:t>
      </w:r>
      <w:proofErr w:type="spellEnd"/>
      <w:r>
        <w:rPr>
          <w:rFonts w:ascii="Arial" w:hAnsi="Arial" w:cs="Arial"/>
        </w:rPr>
        <w:t xml:space="preserve"> vzdelávanie prejavia záujem,</w:t>
      </w:r>
    </w:p>
    <w:p>
      <w:pPr>
        <w:pStyle w:val="Odsekzoznamu"/>
        <w:numPr>
          <w:ilvl w:val="0"/>
          <w:numId w:val="28"/>
        </w:numPr>
        <w:jc w:val="both"/>
        <w:rPr>
          <w:rFonts w:ascii="Arial" w:hAnsi="Arial" w:cs="Arial"/>
        </w:rPr>
      </w:pPr>
      <w:r>
        <w:rPr>
          <w:rFonts w:ascii="Arial" w:hAnsi="Arial" w:cs="Arial"/>
        </w:rPr>
        <w:t>rozširovanie predškolskej výchovy vo veku od 3 do 5 rokov.</w:t>
      </w:r>
    </w:p>
    <w:p>
      <w:pPr>
        <w:rPr>
          <w:rStyle w:val="Zvraznenie"/>
          <w:rFonts w:ascii="Arial" w:hAnsi="Arial" w:cs="Arial"/>
        </w:rPr>
      </w:pPr>
      <w:r>
        <w:rPr>
          <w:rStyle w:val="Siln"/>
          <w:rFonts w:ascii="Arial" w:hAnsi="Arial" w:cs="Arial"/>
        </w:rPr>
        <w:t>Tabuľka č. 14</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1"/>
        <w:gridCol w:w="1271"/>
        <w:gridCol w:w="918"/>
        <w:gridCol w:w="954"/>
        <w:gridCol w:w="1293"/>
        <w:gridCol w:w="1368"/>
        <w:gridCol w:w="988"/>
        <w:gridCol w:w="1052"/>
        <w:gridCol w:w="1053"/>
      </w:tblGrid>
      <w:tr>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 xml:space="preserve">Hrubá </w:t>
            </w:r>
            <w:proofErr w:type="spellStart"/>
            <w:r>
              <w:rPr>
                <w:rFonts w:ascii="Arial" w:hAnsi="Arial" w:cs="Arial"/>
                <w:sz w:val="16"/>
                <w:szCs w:val="16"/>
              </w:rPr>
              <w:t>zaškolenosť</w:t>
            </w:r>
            <w:proofErr w:type="spellEnd"/>
            <w:r>
              <w:rPr>
                <w:rFonts w:ascii="Arial" w:hAnsi="Arial" w:cs="Arial"/>
                <w:sz w:val="16"/>
                <w:szCs w:val="16"/>
              </w:rPr>
              <w:t xml:space="preserve">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 xml:space="preserve">Hrubá </w:t>
            </w:r>
            <w:proofErr w:type="spellStart"/>
            <w:r>
              <w:rPr>
                <w:rFonts w:ascii="Arial" w:hAnsi="Arial" w:cs="Arial"/>
                <w:sz w:val="16"/>
                <w:szCs w:val="16"/>
              </w:rPr>
              <w:t>zaškolenosť</w:t>
            </w:r>
            <w:proofErr w:type="spellEnd"/>
            <w:r>
              <w:rPr>
                <w:rFonts w:ascii="Arial" w:hAnsi="Arial" w:cs="Arial"/>
                <w:sz w:val="16"/>
                <w:szCs w:val="16"/>
              </w:rPr>
              <w:t xml:space="preserve">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color w:val="FF0000"/>
        </w:rPr>
      </w:pPr>
    </w:p>
    <w:p>
      <w:pPr>
        <w:rPr>
          <w:rFonts w:ascii="Arial" w:hAnsi="Arial" w:cs="Arial"/>
          <w:b/>
        </w:rPr>
      </w:pPr>
      <w:r>
        <w:rPr>
          <w:rFonts w:ascii="Arial" w:hAnsi="Arial" w:cs="Arial"/>
          <w:b/>
        </w:rPr>
        <w:t xml:space="preserve">Špecifický cieľ č. 2.2.2 </w:t>
      </w:r>
    </w:p>
    <w:p>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w:t>
      </w:r>
      <w:proofErr w:type="spellStart"/>
      <w:r>
        <w:rPr>
          <w:rFonts w:ascii="Arial" w:eastAsia="Calibri" w:hAnsi="Arial" w:cs="Arial"/>
        </w:rPr>
        <w:t>zamestnateľnosti</w:t>
      </w:r>
      <w:proofErr w:type="spellEnd"/>
      <w:r>
        <w:rPr>
          <w:rFonts w:ascii="Arial" w:eastAsia="Calibri" w:hAnsi="Arial" w:cs="Arial"/>
        </w:rPr>
        <w:t xml:space="preserve"> a žiaducej mobility na trhu práce, čo možno vidieť napr. aj </w:t>
      </w:r>
      <w:r>
        <w:rPr>
          <w:rFonts w:ascii="Arial" w:eastAsia="Calibri" w:hAnsi="Arial" w:cs="Arial"/>
        </w:rPr>
        <w:lastRenderedPageBreak/>
        <w:t xml:space="preserve">výsledkoch národných, resp. medzinárodných meraní (Testovanie 9, PISA), alebo v ich úspešnosti na trhu práce, či ďalšom štúdiu a vzdelávaní. </w:t>
      </w:r>
    </w:p>
    <w:p>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a jazykových učební pre rozvoj jazykových zručností žiakov základných škôl. Nevyhnutnou súčasťou je zabezpečenie materiálno-technického vybavenia podporených objektov vrátane prvkov inklúzie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pPr>
        <w:jc w:val="both"/>
        <w:rPr>
          <w:rFonts w:ascii="Arial" w:eastAsia="Calibri" w:hAnsi="Arial" w:cs="Arial"/>
        </w:rPr>
      </w:pPr>
      <w:r>
        <w:rPr>
          <w:rFonts w:ascii="Arial" w:eastAsia="Calibri" w:hAnsi="Arial" w:cs="Arial"/>
        </w:rPr>
        <w:t>Realizácia špecifického cieľa sa uskutoční integrovaným spôsobom s národným projektom MŠVVŠ SR z OP Vzdelávanie „</w:t>
      </w:r>
      <w:r>
        <w:rPr>
          <w:rFonts w:ascii="Arial" w:eastAsia="Calibri" w:hAnsi="Arial" w:cs="Arial"/>
          <w:i/>
        </w:rPr>
        <w:t>Zvyšovanie kvality vzdelávania na základných a stredných školách s využitím elektronického testovania</w:t>
      </w:r>
      <w:r>
        <w:rPr>
          <w:rFonts w:ascii="Arial" w:eastAsia="Calibri" w:hAnsi="Arial" w:cs="Arial"/>
        </w:rPr>
        <w:t xml:space="preserve">“, implementovaného Národným ústavom certifikovaných meraní vzdelávania. </w:t>
      </w:r>
    </w:p>
    <w:p>
      <w:pPr>
        <w:jc w:val="both"/>
        <w:rPr>
          <w:rFonts w:ascii="Arial" w:hAnsi="Arial" w:cs="Arial"/>
          <w:b/>
        </w:rPr>
      </w:pPr>
      <w:r>
        <w:rPr>
          <w:rFonts w:ascii="Arial" w:eastAsia="Calibri" w:hAnsi="Arial" w:cs="Arial"/>
          <w:b/>
        </w:rPr>
        <w:t>Výsledky podpory IROP</w:t>
      </w:r>
      <w:r>
        <w:rPr>
          <w:rFonts w:ascii="Arial" w:hAnsi="Arial" w:cs="Arial"/>
          <w:b/>
        </w:rPr>
        <w:t xml:space="preserve">: </w:t>
      </w:r>
    </w:p>
    <w:p>
      <w:pPr>
        <w:pStyle w:val="Odsekzoznamu"/>
        <w:numPr>
          <w:ilvl w:val="0"/>
          <w:numId w:val="29"/>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pPr>
        <w:pStyle w:val="Odsekzoznamu"/>
        <w:numPr>
          <w:ilvl w:val="0"/>
          <w:numId w:val="29"/>
        </w:numPr>
        <w:jc w:val="both"/>
        <w:rPr>
          <w:rFonts w:ascii="Arial" w:eastAsia="Calibri" w:hAnsi="Arial" w:cs="Arial"/>
        </w:rPr>
      </w:pPr>
      <w:r>
        <w:rPr>
          <w:rFonts w:ascii="Arial" w:eastAsia="Calibri" w:hAnsi="Arial" w:cs="Arial"/>
        </w:rPr>
        <w:t>zlepšenie technického vybavenia jazykových učební, IKT učební,</w:t>
      </w:r>
    </w:p>
    <w:p>
      <w:pPr>
        <w:pStyle w:val="Odsekzoznamu"/>
        <w:numPr>
          <w:ilvl w:val="0"/>
          <w:numId w:val="29"/>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pPr>
        <w:pStyle w:val="Odsekzoznamu"/>
        <w:numPr>
          <w:ilvl w:val="0"/>
          <w:numId w:val="29"/>
        </w:numPr>
        <w:jc w:val="both"/>
        <w:rPr>
          <w:rFonts w:ascii="Arial" w:eastAsia="Calibri" w:hAnsi="Arial" w:cs="Arial"/>
        </w:rPr>
      </w:pPr>
      <w:r>
        <w:rPr>
          <w:rFonts w:ascii="Arial" w:eastAsia="Calibri" w:hAnsi="Arial" w:cs="Arial"/>
        </w:rPr>
        <w:t>zlepšenie technického vybavenia školských knižníc,</w:t>
      </w:r>
    </w:p>
    <w:p>
      <w:pPr>
        <w:pStyle w:val="Odsekzoznamu"/>
        <w:numPr>
          <w:ilvl w:val="0"/>
          <w:numId w:val="29"/>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pPr>
        <w:pStyle w:val="Odsekzoznamu"/>
        <w:numPr>
          <w:ilvl w:val="0"/>
          <w:numId w:val="29"/>
        </w:numPr>
        <w:jc w:val="both"/>
        <w:rPr>
          <w:rFonts w:ascii="Arial" w:eastAsia="Calibri" w:hAnsi="Arial" w:cs="Arial"/>
        </w:rPr>
      </w:pPr>
      <w:r>
        <w:rPr>
          <w:rFonts w:ascii="Arial" w:eastAsia="Calibri" w:hAnsi="Arial" w:cs="Arial"/>
        </w:rPr>
        <w:t xml:space="preserve">vytvorenie podmienok pre zavádzanie </w:t>
      </w:r>
      <w:proofErr w:type="spellStart"/>
      <w:r>
        <w:rPr>
          <w:rFonts w:ascii="Arial" w:eastAsia="Calibri" w:hAnsi="Arial" w:cs="Arial"/>
        </w:rPr>
        <w:t>inkluzívnej</w:t>
      </w:r>
      <w:proofErr w:type="spellEnd"/>
      <w:r>
        <w:rPr>
          <w:rFonts w:ascii="Arial" w:eastAsia="Calibri" w:hAnsi="Arial" w:cs="Arial"/>
        </w:rPr>
        <w:t xml:space="preserve"> výchovy a vzdelávania na základných školách,</w:t>
      </w:r>
    </w:p>
    <w:p>
      <w:pPr>
        <w:pStyle w:val="Odsekzoznamu"/>
        <w:numPr>
          <w:ilvl w:val="0"/>
          <w:numId w:val="29"/>
        </w:numPr>
        <w:jc w:val="both"/>
        <w:rPr>
          <w:rFonts w:ascii="Arial" w:eastAsia="Calibri" w:hAnsi="Arial" w:cs="Arial"/>
        </w:rPr>
      </w:pPr>
      <w:r>
        <w:rPr>
          <w:rFonts w:ascii="Arial" w:eastAsia="Calibri" w:hAnsi="Arial" w:cs="Arial"/>
        </w:rPr>
        <w:t>vytvorenie podmienok na celoživotné vzdelávania.</w:t>
      </w:r>
    </w:p>
    <w:p>
      <w:pPr>
        <w:rPr>
          <w:rStyle w:val="Zvraznenie"/>
          <w:rFonts w:ascii="Arial" w:hAnsi="Arial" w:cs="Arial"/>
        </w:rPr>
      </w:pPr>
      <w:r>
        <w:rPr>
          <w:rStyle w:val="Siln"/>
          <w:rFonts w:ascii="Arial" w:hAnsi="Arial" w:cs="Arial"/>
        </w:rPr>
        <w:t>Tabuľka č. 15</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452"/>
        <w:gridCol w:w="1115"/>
        <w:gridCol w:w="932"/>
        <w:gridCol w:w="973"/>
        <w:gridCol w:w="1293"/>
        <w:gridCol w:w="1293"/>
        <w:gridCol w:w="902"/>
        <w:gridCol w:w="1275"/>
        <w:gridCol w:w="1053"/>
      </w:tblGrid>
      <w:tr>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8"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038"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*Hodnoty ukazovateľa budú doplnené po vypracovaní akčného plánu v spolupráci s Národným ústavom certifikovaných meraní vzdelávania</w:t>
      </w:r>
    </w:p>
    <w:p>
      <w:pPr>
        <w:rPr>
          <w:rFonts w:ascii="Arial" w:hAnsi="Arial" w:cs="Arial"/>
          <w:b/>
        </w:rPr>
      </w:pPr>
    </w:p>
    <w:p>
      <w:pPr>
        <w:rPr>
          <w:rFonts w:ascii="Arial" w:hAnsi="Arial" w:cs="Arial"/>
          <w:b/>
          <w:color w:val="4EACF3"/>
        </w:rPr>
      </w:pPr>
      <w:r>
        <w:rPr>
          <w:rFonts w:ascii="Arial" w:hAnsi="Arial" w:cs="Arial"/>
          <w:b/>
        </w:rPr>
        <w:lastRenderedPageBreak/>
        <w:t xml:space="preserve">Špecifický cieľ č. 2.2.3: </w:t>
      </w:r>
    </w:p>
    <w:p>
      <w:pPr>
        <w:shd w:val="clear" w:color="auto" w:fill="D9D9D9"/>
        <w:jc w:val="both"/>
        <w:rPr>
          <w:rStyle w:val="Zvraznenie"/>
          <w:rFonts w:ascii="Arial" w:hAnsi="Arial" w:cs="Arial"/>
        </w:rPr>
      </w:pPr>
      <w:r>
        <w:rPr>
          <w:rStyle w:val="Zvraznenie"/>
          <w:rFonts w:ascii="Arial" w:hAnsi="Arial" w:cs="Arial"/>
        </w:rPr>
        <w:t xml:space="preserve">Zvýšenie počtu žiakov stredných škôl na odbornom výcviku </w:t>
      </w:r>
    </w:p>
    <w:p>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stredísk praktického vyučovania,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w:t>
      </w:r>
      <w:proofErr w:type="spellStart"/>
      <w:r>
        <w:rPr>
          <w:rFonts w:ascii="Arial" w:hAnsi="Arial" w:cs="Arial"/>
        </w:rPr>
        <w:t>inkluzívneho</w:t>
      </w:r>
      <w:proofErr w:type="spellEnd"/>
      <w:r>
        <w:rPr>
          <w:rFonts w:ascii="Arial" w:hAnsi="Arial" w:cs="Arial"/>
        </w:rPr>
        <w:t xml:space="preserve"> vzdelávania.</w:t>
      </w:r>
    </w:p>
    <w:p>
      <w:pPr>
        <w:jc w:val="both"/>
        <w:rPr>
          <w:rFonts w:ascii="Arial" w:hAnsi="Arial" w:cs="Arial"/>
        </w:rPr>
      </w:pPr>
      <w:r>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pPr>
        <w:jc w:val="both"/>
        <w:rPr>
          <w:rFonts w:ascii="Arial" w:hAnsi="Arial" w:cs="Arial"/>
        </w:rPr>
      </w:pPr>
      <w:r>
        <w:rPr>
          <w:rFonts w:ascii="Arial" w:eastAsia="Calibri" w:hAnsi="Arial" w:cs="Arial"/>
          <w:b/>
          <w:bCs/>
        </w:rPr>
        <w:t xml:space="preserve">Výsledky podpory IROP: </w:t>
      </w:r>
    </w:p>
    <w:p>
      <w:pPr>
        <w:pStyle w:val="Odsekzoznamu"/>
        <w:numPr>
          <w:ilvl w:val="0"/>
          <w:numId w:val="30"/>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pPr>
        <w:pStyle w:val="Odsekzoznamu"/>
        <w:numPr>
          <w:ilvl w:val="0"/>
          <w:numId w:val="30"/>
        </w:numPr>
        <w:jc w:val="both"/>
        <w:rPr>
          <w:rFonts w:ascii="Arial" w:eastAsia="Calibri" w:hAnsi="Arial" w:cs="Arial"/>
          <w:bCs/>
        </w:rPr>
      </w:pPr>
      <w:r>
        <w:rPr>
          <w:rFonts w:ascii="Arial" w:eastAsia="Calibri" w:hAnsi="Arial" w:cs="Arial"/>
          <w:bCs/>
        </w:rPr>
        <w:t xml:space="preserve">zlepšenie podmienok pre uplatnenie </w:t>
      </w:r>
      <w:r>
        <w:rPr>
          <w:rFonts w:ascii="Arial" w:eastAsia="Calibri" w:hAnsi="Arial" w:cs="Arial"/>
        </w:rPr>
        <w:t>absolventov</w:t>
      </w:r>
      <w:r>
        <w:rPr>
          <w:rFonts w:ascii="Arial" w:eastAsia="Calibri" w:hAnsi="Arial" w:cs="Arial"/>
          <w:bCs/>
        </w:rPr>
        <w:t xml:space="preserve"> odborného vzdelávania  a prípravy pre potreby trhu práce,</w:t>
      </w:r>
    </w:p>
    <w:p>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stredných odborných škôl, stredísk praktického vyučovania, školských hospodárstiev, stredísk odbornej praxe,</w:t>
      </w:r>
    </w:p>
    <w:p>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centier odborného vzdelávania a prípravy,</w:t>
      </w:r>
    </w:p>
    <w:p>
      <w:pPr>
        <w:pStyle w:val="Odsekzoznamu"/>
        <w:numPr>
          <w:ilvl w:val="0"/>
          <w:numId w:val="30"/>
        </w:numPr>
        <w:jc w:val="both"/>
        <w:rPr>
          <w:rFonts w:ascii="Arial" w:eastAsia="Calibri" w:hAnsi="Arial" w:cs="Arial"/>
          <w:bCs/>
        </w:rPr>
      </w:pPr>
      <w:r>
        <w:rPr>
          <w:rFonts w:ascii="Arial" w:eastAsia="Calibri" w:hAnsi="Arial" w:cs="Arial"/>
          <w:bCs/>
        </w:rPr>
        <w:t>vytvorenie technických podmienok pre inkluzíve vzdelávanie, a tým rozšírenie ponuky vzdelávania pre znevýhodnené skupiny obyvateľstva,</w:t>
      </w:r>
    </w:p>
    <w:p>
      <w:pPr>
        <w:pStyle w:val="Odsekzoznamu"/>
        <w:numPr>
          <w:ilvl w:val="0"/>
          <w:numId w:val="30"/>
        </w:numPr>
        <w:jc w:val="both"/>
        <w:rPr>
          <w:rFonts w:ascii="Arial" w:eastAsia="Calibri" w:hAnsi="Arial" w:cs="Arial"/>
        </w:rPr>
      </w:pPr>
      <w:r>
        <w:rPr>
          <w:rFonts w:ascii="Arial" w:eastAsia="Calibri" w:hAnsi="Arial" w:cs="Arial"/>
          <w:bCs/>
        </w:rPr>
        <w:t>vytvorenie podmienok na zvýšenie počtu žiakov zúčastňujúcich sa praktického vyučovania priamo u zamestnávateľa a spoločných modelov ďalšieho vzdelávania,</w:t>
      </w:r>
      <w:r>
        <w:rPr>
          <w:rFonts w:ascii="Arial" w:eastAsia="Calibri" w:hAnsi="Arial" w:cs="Arial"/>
        </w:rPr>
        <w:t xml:space="preserve"> </w:t>
      </w:r>
    </w:p>
    <w:p>
      <w:pPr>
        <w:pStyle w:val="Odsekzoznamu"/>
        <w:numPr>
          <w:ilvl w:val="0"/>
          <w:numId w:val="30"/>
        </w:numPr>
        <w:jc w:val="both"/>
        <w:rPr>
          <w:rFonts w:ascii="Arial" w:eastAsia="Calibri" w:hAnsi="Arial" w:cs="Arial"/>
        </w:rPr>
      </w:pPr>
      <w:r>
        <w:rPr>
          <w:rFonts w:ascii="Arial" w:eastAsia="Calibri" w:hAnsi="Arial" w:cs="Arial"/>
        </w:rPr>
        <w:lastRenderedPageBreak/>
        <w:t>vytvorenie podmienok pre poskytovanie celoživotného vzdelávania prostredníctvom prepojenia siete centier odborného vzdelávania a prípravy so zamestnávateľmi a terciárnym sektorom.</w:t>
      </w:r>
    </w:p>
    <w:p>
      <w:pPr>
        <w:rPr>
          <w:rStyle w:val="Zvraznenie"/>
          <w:rFonts w:ascii="Arial" w:hAnsi="Arial" w:cs="Arial"/>
        </w:rPr>
      </w:pPr>
      <w:r>
        <w:rPr>
          <w:rStyle w:val="Siln"/>
          <w:rFonts w:ascii="Arial" w:hAnsi="Arial" w:cs="Arial"/>
        </w:rPr>
        <w:t>Tabuľka č. 16</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stredných odborných školách, pri ktorých sú zriadené centrá odborného vzdelávania a prípravy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50,59</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stredných odborných školách, pri ktorých sú zriadené centrá odborného vzdelávania a prípravy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38,76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žiakov s odborným výcvikom a súvislou praxou v strediskách praktického vyučovania, strediskách odbornej praxe, alebo v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1,82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yellow"/>
              </w:rPr>
            </w:pPr>
            <w:r>
              <w:rPr>
                <w:rFonts w:ascii="Arial" w:hAnsi="Arial" w:cs="Arial"/>
                <w:sz w:val="16"/>
                <w:szCs w:val="16"/>
              </w:rPr>
              <w:t>Podiel žiakov s odborným výcvikom a súvislou praxou v strediskách praktického vyučovania, strediskách odbornej praxe, alebo v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5,32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výsledkových ukazovateľov budú nadefinované v spoluprácu s orgánom pre koordináciu RIÚS</w:t>
      </w:r>
    </w:p>
    <w:p>
      <w:pPr>
        <w:pStyle w:val="Nadpis5"/>
        <w:shd w:val="clear" w:color="auto" w:fill="B8C1E9"/>
        <w:rPr>
          <w:rFonts w:ascii="Arial" w:hAnsi="Arial" w:cs="Arial"/>
        </w:rPr>
      </w:pPr>
      <w:bookmarkStart w:id="37" w:name="_Toc387651815"/>
      <w:r>
        <w:rPr>
          <w:rFonts w:ascii="Arial" w:hAnsi="Arial" w:cs="Arial"/>
        </w:rPr>
        <w:lastRenderedPageBreak/>
        <w:t>Akcia, ktorá sa má podporiť v rámci investičnej priority</w:t>
      </w:r>
      <w:bookmarkEnd w:id="37"/>
    </w:p>
    <w:p>
      <w:pPr>
        <w:pStyle w:val="Nadpis6"/>
        <w:jc w:val="both"/>
        <w:rPr>
          <w:rFonts w:ascii="Arial" w:hAnsi="Arial" w:cs="Arial"/>
        </w:rPr>
      </w:pPr>
      <w:bookmarkStart w:id="38" w:name="_Toc387651816"/>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38"/>
    </w:p>
    <w:p>
      <w:pPr>
        <w:spacing w:before="120"/>
        <w:jc w:val="both"/>
        <w:rPr>
          <w:rFonts w:ascii="Arial" w:hAnsi="Arial" w:cs="Arial"/>
          <w:color w:val="FF0000"/>
        </w:rPr>
      </w:pPr>
      <w:r>
        <w:rPr>
          <w:rFonts w:ascii="Arial" w:hAnsi="Arial" w:cs="Arial"/>
          <w:b/>
        </w:rPr>
        <w:t xml:space="preserve">Špecifický cieľ č. 2.2.1 </w:t>
      </w:r>
      <w:r>
        <w:rPr>
          <w:rFonts w:ascii="Arial" w:hAnsi="Arial" w:cs="Arial"/>
        </w:rPr>
        <w:t>sa dosiahne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rozširovanie kapacít existujúcich objektov materských škôl prístavbou, nadstavbou, rekonštrukciou, zmenou dispozície objektov (možnosť využitia kontajnerových stavieb);</w:t>
      </w:r>
    </w:p>
    <w:p>
      <w:pPr>
        <w:pStyle w:val="Odsekzoznamu"/>
        <w:numPr>
          <w:ilvl w:val="0"/>
          <w:numId w:val="30"/>
        </w:numPr>
        <w:jc w:val="both"/>
        <w:rPr>
          <w:rFonts w:ascii="Arial" w:eastAsia="Calibri" w:hAnsi="Arial" w:cs="Arial"/>
          <w:bCs/>
        </w:rPr>
      </w:pPr>
      <w:r>
        <w:rPr>
          <w:rFonts w:ascii="Arial" w:eastAsia="Calibri" w:hAnsi="Arial" w:cs="Arial"/>
          <w:bCs/>
        </w:rPr>
        <w:t>v odôvodnených prípadoch výstavba nových objektov (možnosť využitia kontajnerových stavieb);</w:t>
      </w:r>
    </w:p>
    <w:p>
      <w:pPr>
        <w:pStyle w:val="Odsekzoznamu"/>
        <w:numPr>
          <w:ilvl w:val="0"/>
          <w:numId w:val="30"/>
        </w:numPr>
        <w:jc w:val="both"/>
        <w:rPr>
          <w:rFonts w:ascii="Arial" w:eastAsia="Calibri" w:hAnsi="Arial" w:cs="Arial"/>
          <w:bCs/>
        </w:rPr>
      </w:pPr>
      <w:r>
        <w:rPr>
          <w:rFonts w:ascii="Arial" w:eastAsia="Calibri" w:hAnsi="Arial" w:cs="Arial"/>
          <w:bCs/>
        </w:rPr>
        <w:t>stavebno-technické úpravy existujúcich objektov a ich adaptácia pre potreby materskej školy (napr. nevyužité priestory ZŠ);</w:t>
      </w:r>
    </w:p>
    <w:p>
      <w:pPr>
        <w:pStyle w:val="Odsekzoznamu"/>
        <w:numPr>
          <w:ilvl w:val="0"/>
          <w:numId w:val="30"/>
        </w:numPr>
        <w:jc w:val="both"/>
        <w:rPr>
          <w:rFonts w:ascii="Arial" w:eastAsia="Calibri" w:hAnsi="Arial" w:cs="Arial"/>
          <w:bCs/>
        </w:rPr>
      </w:pPr>
      <w:r>
        <w:rPr>
          <w:rFonts w:ascii="Arial" w:eastAsia="Calibri" w:hAnsi="Arial" w:cs="Arial"/>
          <w:bCs/>
        </w:rPr>
        <w:t xml:space="preserve">stavebno-technické úpravy areálu materskej školy vrátane detských ihrísk, športových zariadení pre deti – uzavretých aj otvorených s možnosťou celoročnej prevádzky, záhrad a prvkov </w:t>
      </w:r>
      <w:proofErr w:type="spellStart"/>
      <w:r>
        <w:rPr>
          <w:rFonts w:ascii="Arial" w:eastAsia="Calibri" w:hAnsi="Arial" w:cs="Arial"/>
          <w:bCs/>
        </w:rPr>
        <w:t>inkluzívneho</w:t>
      </w:r>
      <w:proofErr w:type="spellEnd"/>
      <w:r>
        <w:rPr>
          <w:rFonts w:ascii="Arial" w:eastAsia="Calibri" w:hAnsi="Arial" w:cs="Arial"/>
          <w:bCs/>
        </w:rPr>
        <w:t xml:space="preserve"> vzdelávania; </w:t>
      </w:r>
    </w:p>
    <w:p>
      <w:pPr>
        <w:pStyle w:val="Odsekzoznamu"/>
        <w:numPr>
          <w:ilvl w:val="0"/>
          <w:numId w:val="30"/>
        </w:numPr>
        <w:jc w:val="both"/>
        <w:rPr>
          <w:rFonts w:ascii="Arial" w:eastAsia="Calibri" w:hAnsi="Arial" w:cs="Arial"/>
          <w:bCs/>
        </w:rPr>
      </w:pPr>
      <w:r>
        <w:rPr>
          <w:rFonts w:ascii="Arial" w:eastAsia="Calibri" w:hAnsi="Arial" w:cs="Arial"/>
          <w:bCs/>
        </w:rPr>
        <w:t>modernizácia a revitalizácia priestranstva v okolí materskej školy;</w:t>
      </w:r>
    </w:p>
    <w:p>
      <w:pPr>
        <w:pStyle w:val="Odsekzoznamu"/>
        <w:numPr>
          <w:ilvl w:val="0"/>
          <w:numId w:val="30"/>
        </w:numPr>
        <w:jc w:val="both"/>
        <w:rPr>
          <w:rFonts w:ascii="Arial" w:eastAsia="Calibri" w:hAnsi="Arial" w:cs="Arial"/>
          <w:bCs/>
        </w:rPr>
      </w:pPr>
      <w:r>
        <w:rPr>
          <w:rFonts w:ascii="Arial" w:eastAsia="Calibri" w:hAnsi="Arial" w:cs="Arial"/>
          <w:bCs/>
        </w:rPr>
        <w:t xml:space="preserve">modernizácia a obstaranie materiálno-technického vybavenia materských škôl;  </w:t>
      </w:r>
    </w:p>
    <w:p>
      <w:pPr>
        <w:pStyle w:val="Odsekzoznamu"/>
        <w:numPr>
          <w:ilvl w:val="0"/>
          <w:numId w:val="30"/>
        </w:numPr>
        <w:jc w:val="both"/>
        <w:rPr>
          <w:rFonts w:ascii="Arial" w:eastAsia="Calibri" w:hAnsi="Arial" w:cs="Arial"/>
          <w:bCs/>
        </w:rPr>
      </w:pPr>
      <w:r>
        <w:rPr>
          <w:rFonts w:ascii="Arial" w:eastAsia="Calibri" w:hAnsi="Arial" w:cs="Arial"/>
          <w:bCs/>
        </w:rPr>
        <w:t>zvyšovanie energetickej hospodárnosti budov materských škôl.</w:t>
      </w:r>
    </w:p>
    <w:p>
      <w:pPr>
        <w:jc w:val="both"/>
        <w:rPr>
          <w:rFonts w:ascii="Arial" w:hAnsi="Arial" w:cs="Arial"/>
        </w:rPr>
      </w:pPr>
      <w:r>
        <w:rPr>
          <w:rFonts w:ascii="Arial" w:hAnsi="Arial" w:cs="Arial"/>
        </w:rPr>
        <w:t xml:space="preserve">Oprávnení prijímatelia: </w:t>
      </w:r>
    </w:p>
    <w:p>
      <w:pPr>
        <w:pStyle w:val="Odsekzoznamu"/>
        <w:numPr>
          <w:ilvl w:val="0"/>
          <w:numId w:val="30"/>
        </w:numPr>
        <w:jc w:val="both"/>
        <w:rPr>
          <w:rFonts w:ascii="Arial" w:eastAsia="Calibri" w:hAnsi="Arial" w:cs="Arial"/>
          <w:bCs/>
        </w:rPr>
      </w:pPr>
      <w:r>
        <w:rPr>
          <w:rFonts w:ascii="Arial" w:eastAsia="Calibri" w:hAnsi="Arial" w:cs="Arial"/>
          <w:bCs/>
        </w:rPr>
        <w:t xml:space="preserve">obec ako zriaďovateľ školy, </w:t>
      </w:r>
    </w:p>
    <w:p>
      <w:pPr>
        <w:pStyle w:val="Odsekzoznamu"/>
        <w:numPr>
          <w:ilvl w:val="0"/>
          <w:numId w:val="30"/>
        </w:numPr>
        <w:jc w:val="both"/>
        <w:rPr>
          <w:rFonts w:ascii="Arial" w:eastAsia="Calibri" w:hAnsi="Arial" w:cs="Arial"/>
          <w:bCs/>
        </w:rPr>
      </w:pPr>
      <w:r>
        <w:rPr>
          <w:rFonts w:ascii="Arial" w:eastAsia="Calibri" w:hAnsi="Arial" w:cs="Arial"/>
          <w:bCs/>
        </w:rPr>
        <w:t>cirkev a náboženská spoločnosť ako zriaďovateľ/zakladateľ školy,</w:t>
      </w:r>
    </w:p>
    <w:p>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školy,</w:t>
      </w:r>
    </w:p>
    <w:p>
      <w:pPr>
        <w:pStyle w:val="Odsekzoznamu"/>
        <w:numPr>
          <w:ilvl w:val="0"/>
          <w:numId w:val="30"/>
        </w:numPr>
        <w:jc w:val="both"/>
        <w:rPr>
          <w:rFonts w:ascii="Arial" w:eastAsia="Calibri" w:hAnsi="Arial" w:cs="Arial"/>
          <w:bCs/>
        </w:rPr>
      </w:pPr>
      <w:r>
        <w:rPr>
          <w:rFonts w:ascii="Arial" w:eastAsia="Calibri" w:hAnsi="Arial" w:cs="Arial"/>
          <w:bCs/>
        </w:rPr>
        <w:t>právnická osoba,</w:t>
      </w:r>
    </w:p>
    <w:p>
      <w:pPr>
        <w:pStyle w:val="Odsekzoznamu"/>
        <w:numPr>
          <w:ilvl w:val="0"/>
          <w:numId w:val="30"/>
        </w:numPr>
        <w:jc w:val="both"/>
        <w:rPr>
          <w:rFonts w:ascii="Arial" w:eastAsia="Calibri" w:hAnsi="Arial" w:cs="Arial"/>
          <w:bCs/>
        </w:rPr>
      </w:pPr>
      <w:r>
        <w:rPr>
          <w:rFonts w:ascii="Arial" w:eastAsia="Calibri" w:hAnsi="Arial" w:cs="Arial"/>
          <w:bCs/>
        </w:rPr>
        <w:t>fyzická osoba,</w:t>
      </w:r>
    </w:p>
    <w:p>
      <w:pPr>
        <w:pStyle w:val="Odsekzoznamu"/>
        <w:numPr>
          <w:ilvl w:val="0"/>
          <w:numId w:val="30"/>
        </w:numPr>
        <w:jc w:val="both"/>
        <w:rPr>
          <w:rFonts w:ascii="Arial" w:eastAsia="Calibri" w:hAnsi="Arial" w:cs="Arial"/>
          <w:bCs/>
        </w:rPr>
      </w:pPr>
      <w:r>
        <w:rPr>
          <w:rFonts w:ascii="Arial" w:eastAsia="Calibri" w:hAnsi="Arial" w:cs="Arial"/>
          <w:bCs/>
        </w:rPr>
        <w:t xml:space="preserve">mestská časť mesta Košice ako zriaďovateľ školy, </w:t>
      </w:r>
    </w:p>
    <w:p>
      <w:pPr>
        <w:pStyle w:val="Odsekzoznamu"/>
        <w:numPr>
          <w:ilvl w:val="0"/>
          <w:numId w:val="30"/>
        </w:numPr>
        <w:jc w:val="both"/>
        <w:rPr>
          <w:rFonts w:ascii="Arial" w:eastAsia="Calibri" w:hAnsi="Arial" w:cs="Arial"/>
          <w:bCs/>
        </w:rPr>
      </w:pPr>
      <w:r>
        <w:rPr>
          <w:rFonts w:ascii="Arial" w:eastAsia="Calibri" w:hAnsi="Arial" w:cs="Arial"/>
          <w:bCs/>
        </w:rPr>
        <w:t>okresný úrad.</w:t>
      </w:r>
    </w:p>
    <w:p>
      <w:pPr>
        <w:jc w:val="both"/>
        <w:rPr>
          <w:rFonts w:ascii="Arial" w:hAnsi="Arial" w:cs="Arial"/>
        </w:rPr>
      </w:pPr>
      <w:r>
        <w:rPr>
          <w:rFonts w:ascii="Arial" w:hAnsi="Arial" w:cs="Arial"/>
        </w:rPr>
        <w:t>Cieľové skupiny:</w:t>
      </w:r>
    </w:p>
    <w:p>
      <w:pPr>
        <w:pStyle w:val="Odsekzoznamu"/>
        <w:numPr>
          <w:ilvl w:val="0"/>
          <w:numId w:val="30"/>
        </w:numPr>
        <w:jc w:val="both"/>
        <w:rPr>
          <w:rFonts w:ascii="Arial" w:hAnsi="Arial" w:cs="Arial"/>
        </w:rPr>
      </w:pPr>
      <w:r>
        <w:rPr>
          <w:rFonts w:ascii="Arial" w:eastAsia="Calibri" w:hAnsi="Arial" w:cs="Arial"/>
          <w:bCs/>
        </w:rPr>
        <w:t>deti</w:t>
      </w:r>
      <w:r>
        <w:rPr>
          <w:rFonts w:ascii="Arial" w:hAnsi="Arial" w:cs="Arial"/>
        </w:rPr>
        <w:t xml:space="preserve"> materských škôl, deti špeciálnych materských škôl, pedagogickí a odborní zamestnanci, rodičia, rodinní príslušníci, zamestnanci štátnej správy a samosprávy, tútori, lektori.</w:t>
      </w:r>
    </w:p>
    <w:p>
      <w:pPr>
        <w:jc w:val="both"/>
        <w:rPr>
          <w:rFonts w:ascii="Arial" w:hAnsi="Arial" w:cs="Arial"/>
        </w:rPr>
      </w:pPr>
      <w:r>
        <w:rPr>
          <w:rFonts w:ascii="Arial" w:hAnsi="Arial" w:cs="Arial"/>
        </w:rPr>
        <w:t>Cieľové územie:</w:t>
      </w:r>
    </w:p>
    <w:p>
      <w:pPr>
        <w:pStyle w:val="Odsekzoznamu"/>
        <w:numPr>
          <w:ilvl w:val="0"/>
          <w:numId w:val="30"/>
        </w:numPr>
        <w:jc w:val="both"/>
        <w:rPr>
          <w:rFonts w:ascii="Arial" w:hAnsi="Arial" w:cs="Arial"/>
          <w:sz w:val="24"/>
          <w:szCs w:val="24"/>
        </w:rPr>
      </w:pPr>
      <w:r>
        <w:rPr>
          <w:rFonts w:ascii="Arial" w:eastAsia="Calibri" w:hAnsi="Arial" w:cs="Arial"/>
          <w:bCs/>
        </w:rPr>
        <w:t>celé</w:t>
      </w:r>
      <w:r>
        <w:rPr>
          <w:rFonts w:ascii="Arial" w:hAnsi="Arial" w:cs="Arial"/>
        </w:rPr>
        <w:t xml:space="preserve"> územie SR.</w:t>
      </w:r>
    </w:p>
    <w:p>
      <w:pPr>
        <w:spacing w:after="0" w:line="240" w:lineRule="auto"/>
        <w:jc w:val="both"/>
        <w:rPr>
          <w:rFonts w:ascii="Arial" w:hAnsi="Arial" w:cs="Arial"/>
          <w:b/>
          <w:bCs/>
        </w:rPr>
      </w:pPr>
    </w:p>
    <w:p>
      <w:pPr>
        <w:jc w:val="both"/>
        <w:rPr>
          <w:rFonts w:ascii="Arial" w:hAnsi="Arial" w:cs="Arial"/>
          <w:color w:val="FF0000"/>
        </w:rPr>
      </w:pPr>
      <w:r>
        <w:rPr>
          <w:rFonts w:ascii="Arial" w:hAnsi="Arial" w:cs="Arial"/>
          <w:b/>
        </w:rPr>
        <w:t>Špecifický cieľ č. 2.2.2</w:t>
      </w:r>
      <w:r>
        <w:rPr>
          <w:rFonts w:ascii="Arial" w:hAnsi="Arial" w:cs="Arial"/>
        </w:rPr>
        <w:t xml:space="preserve"> sa dosiahne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obstaranie a modernizácia jazykových učební na výučbu slovenského jazyka a cudzích jazykov, vrátane slovenského jazyka  pre osoby vyrastajúce v inom jazykovom prostredí,</w:t>
      </w:r>
    </w:p>
    <w:p>
      <w:pPr>
        <w:pStyle w:val="Odsekzoznamu"/>
        <w:numPr>
          <w:ilvl w:val="0"/>
          <w:numId w:val="30"/>
        </w:numPr>
        <w:jc w:val="both"/>
        <w:rPr>
          <w:rFonts w:ascii="Arial" w:eastAsia="Calibri" w:hAnsi="Arial" w:cs="Arial"/>
          <w:bCs/>
        </w:rPr>
      </w:pPr>
      <w:r>
        <w:rPr>
          <w:rFonts w:ascii="Arial" w:eastAsia="Calibri" w:hAnsi="Arial" w:cs="Arial"/>
          <w:bCs/>
        </w:rPr>
        <w:t xml:space="preserve">obstaranie a modernizácia školských knižníc vrátane priestorov pre ďalší rozvoj kľúčových kompetencií žiakov, </w:t>
      </w:r>
    </w:p>
    <w:p>
      <w:pPr>
        <w:pStyle w:val="Odsekzoznamu"/>
        <w:numPr>
          <w:ilvl w:val="0"/>
          <w:numId w:val="30"/>
        </w:numPr>
        <w:jc w:val="both"/>
        <w:rPr>
          <w:rFonts w:ascii="Arial" w:eastAsia="Calibri" w:hAnsi="Arial" w:cs="Arial"/>
          <w:bCs/>
        </w:rPr>
      </w:pPr>
      <w:r>
        <w:rPr>
          <w:rFonts w:ascii="Arial" w:eastAsia="Calibri" w:hAnsi="Arial" w:cs="Arial"/>
          <w:bCs/>
        </w:rPr>
        <w:t>obstaranie a modernizácia prírodovedných učební,</w:t>
      </w:r>
    </w:p>
    <w:p>
      <w:pPr>
        <w:pStyle w:val="Odsekzoznamu"/>
        <w:numPr>
          <w:ilvl w:val="0"/>
          <w:numId w:val="30"/>
        </w:numPr>
        <w:jc w:val="both"/>
        <w:rPr>
          <w:rFonts w:ascii="Arial" w:eastAsia="Calibri" w:hAnsi="Arial" w:cs="Arial"/>
          <w:bCs/>
        </w:rPr>
      </w:pPr>
      <w:r>
        <w:rPr>
          <w:rFonts w:ascii="Arial" w:eastAsia="Calibri" w:hAnsi="Arial" w:cs="Arial"/>
          <w:bCs/>
        </w:rPr>
        <w:lastRenderedPageBreak/>
        <w:t>obstaranie a modernizácia technických učební,</w:t>
      </w:r>
    </w:p>
    <w:p>
      <w:pPr>
        <w:pStyle w:val="Odsekzoznamu"/>
        <w:numPr>
          <w:ilvl w:val="0"/>
          <w:numId w:val="30"/>
        </w:numPr>
        <w:jc w:val="both"/>
        <w:rPr>
          <w:rFonts w:ascii="Arial" w:eastAsia="Calibri" w:hAnsi="Arial" w:cs="Arial"/>
          <w:bCs/>
        </w:rPr>
      </w:pPr>
      <w:r>
        <w:rPr>
          <w:rFonts w:ascii="Arial" w:eastAsia="Calibri" w:hAnsi="Arial" w:cs="Arial"/>
          <w:bCs/>
        </w:rPr>
        <w:t>obstaranie a modernizácia IKT učební,</w:t>
      </w:r>
    </w:p>
    <w:p>
      <w:pPr>
        <w:pStyle w:val="Odsekzoznamu"/>
        <w:numPr>
          <w:ilvl w:val="0"/>
          <w:numId w:val="30"/>
        </w:numPr>
        <w:jc w:val="both"/>
        <w:rPr>
          <w:rFonts w:ascii="Arial" w:eastAsia="Calibri" w:hAnsi="Arial" w:cs="Arial"/>
          <w:bCs/>
        </w:rPr>
      </w:pPr>
      <w:r>
        <w:rPr>
          <w:rFonts w:ascii="Arial" w:eastAsia="Calibri" w:hAnsi="Arial" w:cs="Arial"/>
          <w:bCs/>
        </w:rPr>
        <w:t>stavebno-technické úpravy pre potreby modernizácie učební,</w:t>
      </w:r>
    </w:p>
    <w:p>
      <w:pPr>
        <w:pStyle w:val="Odsekzoznamu"/>
        <w:numPr>
          <w:ilvl w:val="0"/>
          <w:numId w:val="30"/>
        </w:numPr>
        <w:jc w:val="both"/>
        <w:rPr>
          <w:rFonts w:ascii="Arial" w:eastAsia="Calibri" w:hAnsi="Arial" w:cs="Arial"/>
          <w:bCs/>
        </w:rPr>
      </w:pPr>
      <w:r>
        <w:rPr>
          <w:rFonts w:ascii="Arial" w:eastAsia="Calibri" w:hAnsi="Arial" w:cs="Arial"/>
          <w:bCs/>
        </w:rPr>
        <w:t xml:space="preserve">stavebno-technické úpravy a obstaranie vybavenia základných škôl pre </w:t>
      </w:r>
      <w:proofErr w:type="spellStart"/>
      <w:r>
        <w:rPr>
          <w:rFonts w:ascii="Arial" w:eastAsia="Calibri" w:hAnsi="Arial" w:cs="Arial"/>
          <w:bCs/>
        </w:rPr>
        <w:t>inkluzívne</w:t>
      </w:r>
      <w:proofErr w:type="spellEnd"/>
      <w:r>
        <w:rPr>
          <w:rFonts w:ascii="Arial" w:eastAsia="Calibri" w:hAnsi="Arial" w:cs="Arial"/>
          <w:bCs/>
        </w:rPr>
        <w:t xml:space="preserve"> vzdelávanie.</w:t>
      </w:r>
    </w:p>
    <w:p>
      <w:pPr>
        <w:rPr>
          <w:rFonts w:ascii="Arial" w:hAnsi="Arial" w:cs="Arial"/>
        </w:rPr>
      </w:pPr>
      <w:r>
        <w:rPr>
          <w:rFonts w:ascii="Arial" w:hAnsi="Arial" w:cs="Arial"/>
        </w:rPr>
        <w:t xml:space="preserve">Oprávnení prijímatelia: </w:t>
      </w:r>
    </w:p>
    <w:p>
      <w:pPr>
        <w:pStyle w:val="Odsekzoznamu"/>
        <w:numPr>
          <w:ilvl w:val="0"/>
          <w:numId w:val="30"/>
        </w:numPr>
        <w:jc w:val="both"/>
        <w:rPr>
          <w:rFonts w:ascii="Arial" w:eastAsia="Calibri" w:hAnsi="Arial" w:cs="Arial"/>
          <w:bCs/>
        </w:rPr>
      </w:pPr>
      <w:r>
        <w:rPr>
          <w:rFonts w:ascii="Arial" w:eastAsia="Calibri" w:hAnsi="Arial" w:cs="Arial"/>
          <w:bCs/>
        </w:rPr>
        <w:t>vyšší územný celok ako zriaďovateľ základnej školy,</w:t>
      </w:r>
    </w:p>
    <w:p>
      <w:pPr>
        <w:pStyle w:val="Odsekzoznamu"/>
        <w:numPr>
          <w:ilvl w:val="0"/>
          <w:numId w:val="30"/>
        </w:numPr>
        <w:jc w:val="both"/>
        <w:rPr>
          <w:rFonts w:ascii="Arial" w:eastAsia="Calibri" w:hAnsi="Arial" w:cs="Arial"/>
          <w:bCs/>
        </w:rPr>
      </w:pPr>
      <w:r>
        <w:rPr>
          <w:rFonts w:ascii="Arial" w:eastAsia="Calibri" w:hAnsi="Arial" w:cs="Arial"/>
          <w:bCs/>
        </w:rPr>
        <w:t>obec ako zriaďovateľ základnej školy,</w:t>
      </w:r>
    </w:p>
    <w:p>
      <w:pPr>
        <w:pStyle w:val="Odsekzoznamu"/>
        <w:numPr>
          <w:ilvl w:val="0"/>
          <w:numId w:val="30"/>
        </w:numPr>
        <w:jc w:val="both"/>
        <w:rPr>
          <w:rFonts w:ascii="Arial" w:eastAsia="Calibri" w:hAnsi="Arial" w:cs="Arial"/>
          <w:bCs/>
        </w:rPr>
      </w:pPr>
      <w:r>
        <w:rPr>
          <w:rFonts w:ascii="Arial" w:eastAsia="Calibri" w:hAnsi="Arial" w:cs="Arial"/>
          <w:bCs/>
        </w:rPr>
        <w:t>mestská časť hlavného mesta SR Bratislava ako zriaďovateľ základnej školy,</w:t>
      </w:r>
    </w:p>
    <w:p>
      <w:pPr>
        <w:pStyle w:val="Odsekzoznamu"/>
        <w:numPr>
          <w:ilvl w:val="0"/>
          <w:numId w:val="30"/>
        </w:numPr>
        <w:jc w:val="both"/>
        <w:rPr>
          <w:rFonts w:ascii="Arial" w:eastAsia="Calibri" w:hAnsi="Arial" w:cs="Arial"/>
          <w:bCs/>
        </w:rPr>
      </w:pPr>
      <w:r>
        <w:rPr>
          <w:rFonts w:ascii="Arial" w:eastAsia="Calibri" w:hAnsi="Arial" w:cs="Arial"/>
          <w:bCs/>
        </w:rPr>
        <w:t xml:space="preserve">mestská časť mesta Košice ako zriaďovateľ školy, </w:t>
      </w:r>
    </w:p>
    <w:p>
      <w:pPr>
        <w:pStyle w:val="Odsekzoznamu"/>
        <w:numPr>
          <w:ilvl w:val="0"/>
          <w:numId w:val="30"/>
        </w:numPr>
        <w:jc w:val="both"/>
        <w:rPr>
          <w:rFonts w:ascii="Arial" w:eastAsia="Calibri" w:hAnsi="Arial" w:cs="Arial"/>
          <w:bCs/>
        </w:rPr>
      </w:pPr>
      <w:r>
        <w:rPr>
          <w:rFonts w:ascii="Arial" w:eastAsia="Calibri" w:hAnsi="Arial" w:cs="Arial"/>
          <w:bCs/>
        </w:rPr>
        <w:t>okresný úrad ako zriaďovateľ školy,</w:t>
      </w:r>
    </w:p>
    <w:p>
      <w:pPr>
        <w:pStyle w:val="Odsekzoznamu"/>
        <w:numPr>
          <w:ilvl w:val="0"/>
          <w:numId w:val="30"/>
        </w:numPr>
        <w:jc w:val="both"/>
        <w:rPr>
          <w:rFonts w:ascii="Arial" w:eastAsia="Calibri" w:hAnsi="Arial" w:cs="Arial"/>
          <w:bCs/>
        </w:rPr>
      </w:pPr>
      <w:r>
        <w:rPr>
          <w:rFonts w:ascii="Arial" w:eastAsia="Calibri" w:hAnsi="Arial" w:cs="Arial"/>
          <w:bCs/>
        </w:rPr>
        <w:t>ústredný orgán štátnej správy ako zriaďovateľ subjektov  výchovy  a vzdelávania,</w:t>
      </w:r>
    </w:p>
    <w:p>
      <w:pPr>
        <w:pStyle w:val="Odsekzoznamu"/>
        <w:numPr>
          <w:ilvl w:val="0"/>
          <w:numId w:val="30"/>
        </w:numPr>
        <w:jc w:val="both"/>
        <w:rPr>
          <w:rFonts w:ascii="Arial" w:eastAsia="Calibri" w:hAnsi="Arial" w:cs="Arial"/>
          <w:bCs/>
        </w:rPr>
      </w:pPr>
      <w:r>
        <w:rPr>
          <w:rFonts w:ascii="Arial" w:eastAsia="Calibri" w:hAnsi="Arial" w:cs="Arial"/>
          <w:bCs/>
        </w:rPr>
        <w:t>nezisková organizácia ako zriaďovateľ/zakladateľ základnej školy,</w:t>
      </w:r>
    </w:p>
    <w:p>
      <w:pPr>
        <w:pStyle w:val="Odsekzoznamu"/>
        <w:numPr>
          <w:ilvl w:val="0"/>
          <w:numId w:val="30"/>
        </w:numPr>
        <w:jc w:val="both"/>
        <w:rPr>
          <w:rFonts w:ascii="Arial" w:eastAsia="Calibri" w:hAnsi="Arial" w:cs="Arial"/>
          <w:bCs/>
        </w:rPr>
      </w:pPr>
      <w:r>
        <w:rPr>
          <w:rFonts w:ascii="Arial" w:eastAsia="Calibri" w:hAnsi="Arial" w:cs="Arial"/>
          <w:bCs/>
        </w:rPr>
        <w:t>nezisková organizácia založené ako poskytovateľ všeobecne prospešných služieb v oblasti vzdelávania,</w:t>
      </w:r>
    </w:p>
    <w:p>
      <w:pPr>
        <w:pStyle w:val="Odsekzoznamu"/>
        <w:numPr>
          <w:ilvl w:val="0"/>
          <w:numId w:val="30"/>
        </w:numPr>
        <w:jc w:val="both"/>
        <w:rPr>
          <w:rFonts w:ascii="Arial" w:eastAsia="Calibri" w:hAnsi="Arial" w:cs="Arial"/>
          <w:bCs/>
        </w:rPr>
      </w:pPr>
      <w:r>
        <w:rPr>
          <w:rFonts w:ascii="Arial" w:eastAsia="Calibri" w:hAnsi="Arial" w:cs="Arial"/>
          <w:bCs/>
        </w:rPr>
        <w:t>cirkev a náboženská spoločnosť ako zriaďovateľ/zakladateľ základnej školy,</w:t>
      </w:r>
    </w:p>
    <w:p>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základnej školy,</w:t>
      </w:r>
    </w:p>
    <w:p>
      <w:pPr>
        <w:pStyle w:val="Odsekzoznamu"/>
        <w:numPr>
          <w:ilvl w:val="0"/>
          <w:numId w:val="30"/>
        </w:numPr>
        <w:jc w:val="both"/>
        <w:rPr>
          <w:rFonts w:ascii="Arial" w:eastAsia="Calibri" w:hAnsi="Arial" w:cs="Arial"/>
          <w:bCs/>
        </w:rPr>
      </w:pPr>
      <w:r>
        <w:rPr>
          <w:rFonts w:ascii="Arial" w:eastAsia="Calibri" w:hAnsi="Arial" w:cs="Arial"/>
          <w:bCs/>
        </w:rPr>
        <w:t>združenie ako poskytovateľ všeobecne prospešných služieb v oblasti vzdelávania,</w:t>
      </w:r>
    </w:p>
    <w:p>
      <w:pPr>
        <w:pStyle w:val="Odsekzoznamu"/>
        <w:numPr>
          <w:ilvl w:val="0"/>
          <w:numId w:val="30"/>
        </w:numPr>
        <w:jc w:val="both"/>
        <w:rPr>
          <w:rFonts w:ascii="Arial" w:eastAsia="Calibri" w:hAnsi="Arial" w:cs="Arial"/>
          <w:bCs/>
        </w:rPr>
      </w:pPr>
      <w:r>
        <w:rPr>
          <w:rFonts w:ascii="Arial" w:eastAsia="Calibri" w:hAnsi="Arial" w:cs="Arial"/>
          <w:bCs/>
        </w:rPr>
        <w:t>špeciálna základná škola.</w:t>
      </w:r>
    </w:p>
    <w:p>
      <w:pPr>
        <w:jc w:val="both"/>
        <w:rPr>
          <w:rFonts w:ascii="Arial" w:hAnsi="Arial" w:cs="Arial"/>
        </w:rPr>
      </w:pPr>
      <w:r>
        <w:rPr>
          <w:rFonts w:ascii="Arial" w:hAnsi="Arial" w:cs="Arial"/>
        </w:rPr>
        <w:t>Cieľové skupiny:</w:t>
      </w:r>
    </w:p>
    <w:p>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žiaci špeciálnych základných škôl, pedagogickí zamestnanci, rodičia, odborní zamestnanci, zamestnanci štátnej správy a samosprávy, tútori, lektori, obyvatelia obce, účastníci celoživotného vzdelávania.</w:t>
      </w:r>
    </w:p>
    <w:p>
      <w:pPr>
        <w:jc w:val="both"/>
        <w:rPr>
          <w:rFonts w:ascii="Arial" w:hAnsi="Arial" w:cs="Arial"/>
        </w:rPr>
      </w:pPr>
      <w:r>
        <w:rPr>
          <w:rFonts w:ascii="Arial" w:hAnsi="Arial" w:cs="Arial"/>
        </w:rPr>
        <w:t>Cieľové územie:</w:t>
      </w:r>
    </w:p>
    <w:p>
      <w:pPr>
        <w:pStyle w:val="Odsekzoznamu"/>
        <w:numPr>
          <w:ilvl w:val="0"/>
          <w:numId w:val="30"/>
        </w:numPr>
        <w:jc w:val="both"/>
        <w:rPr>
          <w:rFonts w:ascii="Arial" w:hAnsi="Arial" w:cs="Arial"/>
          <w:b/>
          <w:bCs/>
        </w:rPr>
      </w:pPr>
      <w:r>
        <w:rPr>
          <w:rFonts w:ascii="Arial" w:hAnsi="Arial" w:cs="Arial"/>
        </w:rPr>
        <w:t>celé územie SR.</w:t>
      </w:r>
    </w:p>
    <w:p>
      <w:pPr>
        <w:spacing w:after="0" w:line="240" w:lineRule="auto"/>
        <w:jc w:val="both"/>
        <w:rPr>
          <w:rFonts w:ascii="Arial" w:hAnsi="Arial" w:cs="Arial"/>
          <w:b/>
          <w:bCs/>
        </w:rPr>
      </w:pPr>
    </w:p>
    <w:p>
      <w:pPr>
        <w:jc w:val="both"/>
        <w:rPr>
          <w:rFonts w:ascii="Arial" w:hAnsi="Arial" w:cs="Arial"/>
          <w:color w:val="FF0000"/>
        </w:rPr>
      </w:pPr>
      <w:r>
        <w:rPr>
          <w:rFonts w:ascii="Arial" w:hAnsi="Arial" w:cs="Arial"/>
          <w:b/>
        </w:rPr>
        <w:t>Špecifický cieľ č. 2.2.3</w:t>
      </w:r>
      <w:r>
        <w:rPr>
          <w:rFonts w:ascii="Arial" w:hAnsi="Arial" w:cs="Arial"/>
        </w:rPr>
        <w:t xml:space="preserve"> sa dosiahne realizáciou nasledovných aktivít:</w:t>
      </w:r>
    </w:p>
    <w:p>
      <w:pPr>
        <w:pStyle w:val="Odsekzoznamu"/>
        <w:numPr>
          <w:ilvl w:val="0"/>
          <w:numId w:val="30"/>
        </w:numPr>
        <w:jc w:val="both"/>
        <w:rPr>
          <w:rFonts w:ascii="Arial" w:eastAsia="Calibri" w:hAnsi="Arial" w:cs="Arial"/>
          <w:bCs/>
        </w:rPr>
      </w:pPr>
      <w:r>
        <w:rPr>
          <w:rFonts w:ascii="Arial" w:eastAsia="Calibri" w:hAnsi="Arial" w:cs="Arial"/>
          <w:bCs/>
        </w:rPr>
        <w:t>obstaranie a modernizácia  materiálno- technického vybavenia odborných pracovísk pre praktické vyučovanie, odborný výcvik, odbornú prax, celoživotné vzdelávanie, jazykových učební, dielní, knižníc, prednáškových a vyučovacích miestností na stredných odborných školách, centrách odborného vzdelávania a prípravy, strediskách odbornej praxe, strediskách praktického vyučovania a školských hospodárstvach a s tým súvisiace stavebné úpravy,</w:t>
      </w:r>
    </w:p>
    <w:p>
      <w:pPr>
        <w:pStyle w:val="Odsekzoznamu"/>
        <w:numPr>
          <w:ilvl w:val="0"/>
          <w:numId w:val="30"/>
        </w:numPr>
        <w:jc w:val="both"/>
        <w:rPr>
          <w:rFonts w:ascii="Arial" w:eastAsia="Calibri" w:hAnsi="Arial" w:cs="Arial"/>
          <w:bCs/>
        </w:rPr>
      </w:pPr>
      <w:r>
        <w:rPr>
          <w:rFonts w:ascii="Arial" w:eastAsia="Calibri" w:hAnsi="Arial" w:cs="Arial"/>
          <w:bCs/>
        </w:rPr>
        <w:t xml:space="preserve">obstaranie a modernizácia  materiálno-technického vybavenia internátov a s tým súvisiace stavebné úpravy vrátane prvkov </w:t>
      </w:r>
      <w:proofErr w:type="spellStart"/>
      <w:r>
        <w:rPr>
          <w:rFonts w:ascii="Arial" w:eastAsia="Calibri" w:hAnsi="Arial" w:cs="Arial"/>
          <w:bCs/>
        </w:rPr>
        <w:t>inkluzívneho</w:t>
      </w:r>
      <w:proofErr w:type="spellEnd"/>
      <w:r>
        <w:rPr>
          <w:rFonts w:ascii="Arial" w:eastAsia="Calibri" w:hAnsi="Arial" w:cs="Arial"/>
          <w:bCs/>
        </w:rPr>
        <w:t xml:space="preserve"> vzdelávania,</w:t>
      </w:r>
    </w:p>
    <w:p>
      <w:pPr>
        <w:pStyle w:val="Odsekzoznamu"/>
        <w:numPr>
          <w:ilvl w:val="0"/>
          <w:numId w:val="30"/>
        </w:numPr>
        <w:jc w:val="both"/>
        <w:rPr>
          <w:rFonts w:ascii="Arial" w:eastAsia="Calibri" w:hAnsi="Arial" w:cs="Arial"/>
          <w:bCs/>
        </w:rPr>
      </w:pPr>
      <w:r>
        <w:rPr>
          <w:rFonts w:ascii="Arial" w:eastAsia="Calibri" w:hAnsi="Arial" w:cs="Arial"/>
          <w:bCs/>
        </w:rPr>
        <w:t xml:space="preserve">prístavba, nadstavba, stavebné úpravy a rekonštrukcia vonkajších a vnútorných priestorov a areálov stredných odborných škôl, centier odborného vzdelávania a prípravy, stredísk odbornej praxe, stredísk praktického vyučovania a školského hospodárstva, súvisiacich okrem iného aj so zabezpečením prvkov </w:t>
      </w:r>
      <w:proofErr w:type="spellStart"/>
      <w:r>
        <w:rPr>
          <w:rFonts w:ascii="Arial" w:eastAsia="Calibri" w:hAnsi="Arial" w:cs="Arial"/>
          <w:bCs/>
        </w:rPr>
        <w:t>inkluzívneho</w:t>
      </w:r>
      <w:proofErr w:type="spellEnd"/>
      <w:r>
        <w:rPr>
          <w:rFonts w:ascii="Arial" w:eastAsia="Calibri" w:hAnsi="Arial" w:cs="Arial"/>
          <w:bCs/>
        </w:rPr>
        <w:t xml:space="preserve"> vzdelávania a vybavenosťou pre širšiu komunitu centier odborného vzdelávania a prípravy,</w:t>
      </w:r>
    </w:p>
    <w:p>
      <w:pPr>
        <w:pStyle w:val="Odsekzoznamu"/>
        <w:numPr>
          <w:ilvl w:val="0"/>
          <w:numId w:val="30"/>
        </w:numPr>
        <w:jc w:val="both"/>
        <w:rPr>
          <w:rFonts w:ascii="Arial" w:eastAsia="Calibri" w:hAnsi="Arial" w:cs="Arial"/>
          <w:bCs/>
        </w:rPr>
      </w:pPr>
      <w:r>
        <w:rPr>
          <w:rFonts w:ascii="Arial" w:eastAsia="Calibri" w:hAnsi="Arial" w:cs="Arial"/>
          <w:bCs/>
        </w:rPr>
        <w:lastRenderedPageBreak/>
        <w:t>vytvorenie podnikateľského inkubátora</w:t>
      </w:r>
      <w:r>
        <w:rPr>
          <w:rStyle w:val="Odkaznapoznmkupodiarou"/>
          <w:rFonts w:ascii="Arial" w:eastAsia="Calibri" w:hAnsi="Arial" w:cs="Arial"/>
          <w:bCs/>
        </w:rPr>
        <w:footnoteReference w:id="48"/>
      </w:r>
      <w:r>
        <w:rPr>
          <w:rFonts w:ascii="Arial" w:eastAsia="Calibri" w:hAnsi="Arial" w:cs="Arial"/>
          <w:bCs/>
        </w:rPr>
        <w:t xml:space="preserve"> -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pPr>
        <w:pStyle w:val="Odsekzoznamu"/>
        <w:numPr>
          <w:ilvl w:val="0"/>
          <w:numId w:val="30"/>
        </w:numPr>
        <w:jc w:val="both"/>
        <w:rPr>
          <w:rFonts w:ascii="Arial" w:eastAsia="Calibri" w:hAnsi="Arial" w:cs="Arial"/>
          <w:bCs/>
        </w:rPr>
      </w:pPr>
      <w:r>
        <w:rPr>
          <w:rFonts w:ascii="Arial" w:hAnsi="Arial" w:cs="Arial"/>
        </w:rPr>
        <w:t>zvýšenie energetickej hospodárnosti budov stredných odborných škôl, centier odborného vzdelávania a prípravy, stredísk odbornej praxe, stredísk praktického vyučovania, školských hospodárstiev vrátane internátov.</w:t>
      </w:r>
    </w:p>
    <w:p>
      <w:pPr>
        <w:jc w:val="both"/>
        <w:rPr>
          <w:rFonts w:ascii="Arial" w:hAnsi="Arial" w:cs="Arial"/>
        </w:rPr>
      </w:pPr>
      <w:r>
        <w:rPr>
          <w:rFonts w:ascii="Arial" w:hAnsi="Arial" w:cs="Arial"/>
        </w:rPr>
        <w:t xml:space="preserve">Oprávnení prijímatelia: </w:t>
      </w:r>
    </w:p>
    <w:p>
      <w:pPr>
        <w:pStyle w:val="Odsekzoznamu"/>
        <w:numPr>
          <w:ilvl w:val="0"/>
          <w:numId w:val="30"/>
        </w:numPr>
        <w:jc w:val="both"/>
        <w:rPr>
          <w:rFonts w:ascii="Arial" w:eastAsia="Calibri" w:hAnsi="Arial" w:cs="Arial"/>
          <w:bCs/>
        </w:rPr>
      </w:pPr>
      <w:r>
        <w:rPr>
          <w:rFonts w:ascii="Arial" w:eastAsia="Calibri" w:hAnsi="Arial" w:cs="Arial"/>
          <w:bCs/>
        </w:rPr>
        <w:t>vyšší územný celok,</w:t>
      </w:r>
    </w:p>
    <w:p>
      <w:pPr>
        <w:pStyle w:val="Odsekzoznamu"/>
        <w:numPr>
          <w:ilvl w:val="0"/>
          <w:numId w:val="30"/>
        </w:numPr>
        <w:jc w:val="both"/>
        <w:rPr>
          <w:rFonts w:ascii="Arial" w:eastAsia="Calibri" w:hAnsi="Arial" w:cs="Arial"/>
          <w:bCs/>
        </w:rPr>
      </w:pPr>
      <w:r>
        <w:rPr>
          <w:rFonts w:ascii="Arial" w:eastAsia="Calibri" w:hAnsi="Arial" w:cs="Arial"/>
          <w:bCs/>
        </w:rPr>
        <w:t>ústredný orgán štátnej správy,</w:t>
      </w:r>
    </w:p>
    <w:p>
      <w:pPr>
        <w:pStyle w:val="Odsekzoznamu"/>
        <w:numPr>
          <w:ilvl w:val="0"/>
          <w:numId w:val="30"/>
        </w:numPr>
        <w:jc w:val="both"/>
        <w:rPr>
          <w:rFonts w:ascii="Arial" w:eastAsia="Calibri" w:hAnsi="Arial" w:cs="Arial"/>
          <w:bCs/>
        </w:rPr>
      </w:pPr>
      <w:r>
        <w:rPr>
          <w:rFonts w:ascii="Arial" w:eastAsia="Calibri" w:hAnsi="Arial" w:cs="Arial"/>
          <w:bCs/>
        </w:rPr>
        <w:t>nezisková organizácia ako zriaďovateľ/zakladateľ školy,</w:t>
      </w:r>
    </w:p>
    <w:p>
      <w:pPr>
        <w:pStyle w:val="Odsekzoznamu"/>
        <w:numPr>
          <w:ilvl w:val="0"/>
          <w:numId w:val="30"/>
        </w:numPr>
        <w:jc w:val="both"/>
        <w:rPr>
          <w:rFonts w:ascii="Arial" w:eastAsia="Calibri" w:hAnsi="Arial" w:cs="Arial"/>
          <w:bCs/>
        </w:rPr>
      </w:pPr>
      <w:r>
        <w:rPr>
          <w:rFonts w:ascii="Arial" w:eastAsia="Calibri" w:hAnsi="Arial" w:cs="Arial"/>
          <w:bCs/>
        </w:rPr>
        <w:t>nezisková organizácia ako poskytovateľ všeobecne prospešných služieb v oblasti vzdelávania,</w:t>
      </w:r>
    </w:p>
    <w:p>
      <w:pPr>
        <w:pStyle w:val="Odsekzoznamu"/>
        <w:numPr>
          <w:ilvl w:val="0"/>
          <w:numId w:val="30"/>
        </w:numPr>
        <w:jc w:val="both"/>
        <w:rPr>
          <w:rFonts w:ascii="Arial" w:eastAsia="Calibri" w:hAnsi="Arial" w:cs="Arial"/>
          <w:bCs/>
        </w:rPr>
      </w:pPr>
      <w:r>
        <w:rPr>
          <w:rFonts w:ascii="Arial" w:eastAsia="Calibri" w:hAnsi="Arial" w:cs="Arial"/>
          <w:bCs/>
        </w:rPr>
        <w:t>cirkev a náboženská spoločnosť ako zriaďovateľ/zakladateľ školy,</w:t>
      </w:r>
    </w:p>
    <w:p>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školy,</w:t>
      </w:r>
    </w:p>
    <w:p>
      <w:pPr>
        <w:pStyle w:val="Odsekzoznamu"/>
        <w:numPr>
          <w:ilvl w:val="0"/>
          <w:numId w:val="30"/>
        </w:numPr>
        <w:jc w:val="both"/>
        <w:rPr>
          <w:rFonts w:ascii="Arial" w:eastAsia="Calibri" w:hAnsi="Arial" w:cs="Arial"/>
          <w:bCs/>
        </w:rPr>
      </w:pPr>
      <w:r>
        <w:rPr>
          <w:rFonts w:ascii="Arial" w:eastAsia="Calibri" w:hAnsi="Arial" w:cs="Arial"/>
          <w:bCs/>
        </w:rPr>
        <w:t>združenie ako poskytovateľ všeobecne prospešných služieb v oblasti vzdelávania,</w:t>
      </w:r>
    </w:p>
    <w:p>
      <w:pPr>
        <w:pStyle w:val="Odsekzoznamu"/>
        <w:numPr>
          <w:ilvl w:val="0"/>
          <w:numId w:val="30"/>
        </w:numPr>
        <w:jc w:val="both"/>
        <w:rPr>
          <w:rFonts w:ascii="Arial" w:eastAsia="Calibri" w:hAnsi="Arial" w:cs="Arial"/>
          <w:bCs/>
        </w:rPr>
      </w:pPr>
      <w:r>
        <w:rPr>
          <w:rFonts w:ascii="Arial" w:eastAsia="Calibri" w:hAnsi="Arial" w:cs="Arial"/>
          <w:bCs/>
        </w:rPr>
        <w:t>stredná odborná škola v zriaďovateľskej pôsobnosti vyššieho územného celku,</w:t>
      </w:r>
    </w:p>
    <w:p>
      <w:pPr>
        <w:pStyle w:val="Odsekzoznamu"/>
        <w:numPr>
          <w:ilvl w:val="0"/>
          <w:numId w:val="30"/>
        </w:numPr>
        <w:jc w:val="both"/>
        <w:rPr>
          <w:rFonts w:ascii="Arial" w:eastAsia="Calibri" w:hAnsi="Arial" w:cs="Arial"/>
          <w:bCs/>
        </w:rPr>
      </w:pPr>
      <w:r>
        <w:rPr>
          <w:rFonts w:ascii="Arial" w:eastAsia="Calibri" w:hAnsi="Arial" w:cs="Arial"/>
          <w:bCs/>
        </w:rPr>
        <w:t xml:space="preserve">stredná odborná škola v zriaďovateľskej pôsobnosti právnickej osoby, </w:t>
      </w:r>
    </w:p>
    <w:p>
      <w:pPr>
        <w:pStyle w:val="Odsekzoznamu"/>
        <w:numPr>
          <w:ilvl w:val="0"/>
          <w:numId w:val="30"/>
        </w:numPr>
        <w:jc w:val="both"/>
        <w:rPr>
          <w:rFonts w:ascii="Arial" w:hAnsi="Arial" w:cs="Arial"/>
        </w:rPr>
      </w:pPr>
      <w:r>
        <w:rPr>
          <w:rFonts w:ascii="Arial" w:eastAsia="Calibri" w:hAnsi="Arial" w:cs="Arial"/>
          <w:bCs/>
        </w:rPr>
        <w:t>špeciálna stredná</w:t>
      </w:r>
      <w:r>
        <w:rPr>
          <w:rFonts w:ascii="Arial" w:hAnsi="Arial" w:cs="Arial"/>
        </w:rPr>
        <w:t xml:space="preserve"> odborná škola.</w:t>
      </w:r>
    </w:p>
    <w:p>
      <w:pPr>
        <w:jc w:val="both"/>
        <w:rPr>
          <w:rFonts w:ascii="Arial" w:hAnsi="Arial" w:cs="Arial"/>
        </w:rPr>
      </w:pPr>
      <w:r>
        <w:rPr>
          <w:rFonts w:ascii="Arial" w:hAnsi="Arial" w:cs="Arial"/>
        </w:rPr>
        <w:t>Cieľové skupiny:</w:t>
      </w:r>
    </w:p>
    <w:p>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žiaci špeciálnych stredných škôl, pedagogickí zamestnanci, odborní zamestnanci, zamestnanci štátnej správy a samosprávy riešiaci problematiku odborného vzdelávania a prípravy, tútori, lektori, účastníci celoživotného vzdelávania.</w:t>
      </w:r>
    </w:p>
    <w:p>
      <w:pPr>
        <w:jc w:val="both"/>
        <w:rPr>
          <w:rFonts w:ascii="Arial" w:hAnsi="Arial" w:cs="Arial"/>
        </w:rPr>
      </w:pPr>
      <w:r>
        <w:rPr>
          <w:rFonts w:ascii="Arial" w:hAnsi="Arial" w:cs="Arial"/>
        </w:rPr>
        <w:t>Cieľové územie:</w:t>
      </w:r>
    </w:p>
    <w:p>
      <w:pPr>
        <w:pStyle w:val="Odsekzoznamu"/>
        <w:numPr>
          <w:ilvl w:val="0"/>
          <w:numId w:val="30"/>
        </w:numPr>
        <w:jc w:val="both"/>
        <w:rPr>
          <w:rFonts w:ascii="Arial" w:hAnsi="Arial" w:cs="Arial"/>
          <w:b/>
          <w:bCs/>
        </w:rPr>
      </w:pPr>
      <w:r>
        <w:rPr>
          <w:rFonts w:ascii="Arial" w:eastAsia="Calibri" w:hAnsi="Arial" w:cs="Arial"/>
          <w:bCs/>
        </w:rPr>
        <w:t>celé</w:t>
      </w:r>
      <w:r>
        <w:rPr>
          <w:rFonts w:ascii="Arial" w:hAnsi="Arial" w:cs="Arial"/>
        </w:rPr>
        <w:t xml:space="preserve"> územie SR.</w:t>
      </w:r>
    </w:p>
    <w:p>
      <w:pPr>
        <w:jc w:val="both"/>
        <w:rPr>
          <w:rFonts w:ascii="Arial" w:hAnsi="Arial" w:cs="Arial"/>
        </w:rPr>
      </w:pPr>
      <w:r>
        <w:rPr>
          <w:rFonts w:ascii="Arial" w:hAnsi="Arial" w:cs="Arial"/>
        </w:rPr>
        <w:t xml:space="preserve">Na plnenie špecifického cieľa č. 2.2.3 bude v prípade oprávnených prijímateľov vykonávajúcich hospodárske činnosti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jc w:val="both"/>
        <w:rPr>
          <w:rFonts w:ascii="Arial" w:hAnsi="Arial" w:cs="Arial"/>
          <w:b/>
          <w:bCs/>
        </w:rPr>
      </w:pPr>
    </w:p>
    <w:p>
      <w:pPr>
        <w:pStyle w:val="Nadpis6"/>
        <w:rPr>
          <w:rFonts w:ascii="Arial" w:hAnsi="Arial" w:cs="Arial"/>
        </w:rPr>
      </w:pPr>
      <w:bookmarkStart w:id="39" w:name="_Toc387651817"/>
      <w:r>
        <w:rPr>
          <w:rFonts w:ascii="Arial" w:hAnsi="Arial" w:cs="Arial"/>
        </w:rPr>
        <w:t>2.2.2.2.Hlavné zásady výberu operácií</w:t>
      </w:r>
      <w:bookmarkEnd w:id="39"/>
    </w:p>
    <w:p>
      <w:pPr>
        <w:jc w:val="both"/>
        <w:rPr>
          <w:rFonts w:ascii="Arial" w:hAnsi="Arial" w:cs="Arial"/>
        </w:rPr>
      </w:pPr>
    </w:p>
    <w:p>
      <w:pPr>
        <w:jc w:val="both"/>
        <w:rPr>
          <w:rFonts w:ascii="Arial" w:hAnsi="Arial" w:cs="Arial"/>
        </w:rPr>
      </w:pPr>
      <w:r>
        <w:rPr>
          <w:rFonts w:ascii="Arial" w:hAnsi="Arial" w:cs="Arial"/>
        </w:rPr>
        <w:t>Pre efektívne dosiahnutie čo najväčšieho príspevku operácií/projektov k naplneniu špecifického cieľa</w:t>
      </w:r>
      <w:r>
        <w:rPr>
          <w:rFonts w:ascii="Arial" w:hAnsi="Arial" w:cs="Arial"/>
          <w:b/>
        </w:rPr>
        <w:t xml:space="preserve"> </w:t>
      </w:r>
      <w:r>
        <w:rPr>
          <w:rFonts w:ascii="Arial" w:hAnsi="Arial" w:cs="Arial"/>
        </w:rPr>
        <w:t>a dosiahnutie stanovených výsledkov navrhované operácie/projekty rešpektujú nasledovné princípy.</w:t>
      </w:r>
    </w:p>
    <w:p>
      <w:pPr>
        <w:jc w:val="both"/>
        <w:rPr>
          <w:rFonts w:ascii="Arial" w:hAnsi="Arial" w:cs="Arial"/>
        </w:rPr>
      </w:pPr>
    </w:p>
    <w:p>
      <w:pPr>
        <w:jc w:val="both"/>
        <w:rPr>
          <w:rFonts w:ascii="Arial" w:hAnsi="Arial" w:cs="Arial"/>
        </w:rPr>
      </w:pPr>
      <w:r>
        <w:rPr>
          <w:rFonts w:ascii="Arial" w:hAnsi="Arial" w:cs="Arial"/>
          <w:b/>
        </w:rPr>
        <w:lastRenderedPageBreak/>
        <w:t>Špecifický cieľ č. 2.2.1</w:t>
      </w:r>
    </w:p>
    <w:p>
      <w:pPr>
        <w:spacing w:after="0"/>
        <w:jc w:val="both"/>
        <w:rPr>
          <w:rFonts w:ascii="Arial" w:hAnsi="Arial" w:cs="Arial"/>
        </w:rPr>
      </w:pPr>
      <w:r>
        <w:rPr>
          <w:rFonts w:ascii="Arial" w:hAnsi="Arial" w:cs="Arial"/>
        </w:rPr>
        <w:t>Projekt</w:t>
      </w:r>
    </w:p>
    <w:p>
      <w:pPr>
        <w:pStyle w:val="Odsekzoznamu"/>
        <w:numPr>
          <w:ilvl w:val="0"/>
          <w:numId w:val="31"/>
        </w:numPr>
        <w:spacing w:after="0"/>
        <w:jc w:val="both"/>
        <w:rPr>
          <w:rFonts w:ascii="Arial" w:hAnsi="Arial" w:cs="Arial"/>
        </w:rPr>
      </w:pPr>
      <w:r>
        <w:rPr>
          <w:rFonts w:ascii="Arial" w:hAnsi="Arial" w:cs="Arial"/>
        </w:rPr>
        <w:t>podporuje integrovaný prístup ako komplementárnu podporu aktivít z IROP a OP ĽZ, prípadné iných OP,</w:t>
      </w:r>
    </w:p>
    <w:p>
      <w:pPr>
        <w:pStyle w:val="Odsekzoznamu"/>
        <w:numPr>
          <w:ilvl w:val="0"/>
          <w:numId w:val="31"/>
        </w:numPr>
        <w:spacing w:after="0"/>
        <w:jc w:val="both"/>
        <w:rPr>
          <w:rFonts w:ascii="Arial" w:hAnsi="Arial" w:cs="Arial"/>
        </w:rPr>
      </w:pPr>
      <w:r>
        <w:rPr>
          <w:rFonts w:ascii="Arial" w:hAnsi="Arial" w:cs="Arial"/>
        </w:rPr>
        <w:t>podporuje inkluzíve vzdelávanie,</w:t>
      </w:r>
    </w:p>
    <w:p>
      <w:pPr>
        <w:pStyle w:val="Odsekzoznamu"/>
        <w:numPr>
          <w:ilvl w:val="0"/>
          <w:numId w:val="31"/>
        </w:numPr>
        <w:spacing w:after="0"/>
        <w:jc w:val="both"/>
        <w:rPr>
          <w:rFonts w:ascii="Arial" w:hAnsi="Arial" w:cs="Arial"/>
        </w:rPr>
      </w:pPr>
      <w:r>
        <w:rPr>
          <w:rFonts w:ascii="Arial" w:hAnsi="Arial" w:cs="Arial"/>
        </w:rPr>
        <w:t xml:space="preserve">sa realizuje v škole a školskom zariadení, zaradených do siete škôl,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pPr>
        <w:pStyle w:val="Odsekzoznamu"/>
        <w:numPr>
          <w:ilvl w:val="0"/>
          <w:numId w:val="31"/>
        </w:numPr>
        <w:spacing w:after="0"/>
        <w:jc w:val="both"/>
        <w:rPr>
          <w:rFonts w:ascii="Arial" w:hAnsi="Arial" w:cs="Arial"/>
        </w:rPr>
      </w:pPr>
      <w:r>
        <w:rPr>
          <w:rFonts w:ascii="Arial" w:hAnsi="Arial" w:cs="Arial"/>
        </w:rPr>
        <w:t xml:space="preserve">je v súlade so Štátnym vzdelávacím programom ISCED 0 – </w:t>
      </w:r>
      <w:proofErr w:type="spellStart"/>
      <w:r>
        <w:rPr>
          <w:rFonts w:ascii="Arial" w:hAnsi="Arial" w:cs="Arial"/>
        </w:rPr>
        <w:t>predprimárne</w:t>
      </w:r>
      <w:proofErr w:type="spellEnd"/>
      <w:r>
        <w:rPr>
          <w:rFonts w:ascii="Arial" w:hAnsi="Arial" w:cs="Arial"/>
        </w:rPr>
        <w:t xml:space="preserve"> vzdelávanie.</w:t>
      </w:r>
    </w:p>
    <w:p>
      <w:pPr>
        <w:spacing w:after="0" w:line="240" w:lineRule="auto"/>
        <w:rPr>
          <w:rFonts w:ascii="Arial" w:hAnsi="Arial" w:cs="Arial"/>
          <w:b/>
        </w:rPr>
      </w:pPr>
    </w:p>
    <w:p>
      <w:pPr>
        <w:spacing w:after="0" w:line="240" w:lineRule="auto"/>
        <w:rPr>
          <w:rFonts w:ascii="Arial" w:hAnsi="Arial" w:cs="Arial"/>
        </w:rPr>
      </w:pPr>
      <w:r>
        <w:rPr>
          <w:rFonts w:ascii="Arial" w:hAnsi="Arial" w:cs="Arial"/>
          <w:b/>
        </w:rPr>
        <w:t>Špecifický cieľ č. 2.2.2</w:t>
      </w:r>
    </w:p>
    <w:p>
      <w:pPr>
        <w:spacing w:after="0" w:line="240" w:lineRule="auto"/>
        <w:rPr>
          <w:rFonts w:ascii="Arial" w:hAnsi="Arial" w:cs="Arial"/>
        </w:rPr>
      </w:pPr>
    </w:p>
    <w:p>
      <w:pPr>
        <w:spacing w:after="0"/>
        <w:jc w:val="both"/>
        <w:rPr>
          <w:rFonts w:ascii="Arial" w:hAnsi="Arial" w:cs="Arial"/>
        </w:rPr>
      </w:pPr>
      <w:r>
        <w:rPr>
          <w:rFonts w:ascii="Arial" w:hAnsi="Arial" w:cs="Arial"/>
        </w:rPr>
        <w:t>Projekt</w:t>
      </w:r>
    </w:p>
    <w:p>
      <w:pPr>
        <w:pStyle w:val="Odsekzoznamu"/>
        <w:numPr>
          <w:ilvl w:val="0"/>
          <w:numId w:val="31"/>
        </w:numPr>
        <w:spacing w:after="0"/>
        <w:jc w:val="both"/>
        <w:rPr>
          <w:rFonts w:ascii="Arial" w:hAnsi="Arial" w:cs="Arial"/>
        </w:rPr>
      </w:pPr>
      <w:r>
        <w:rPr>
          <w:rFonts w:ascii="Arial" w:hAnsi="Arial" w:cs="Arial"/>
        </w:rPr>
        <w:t>sa realizuje v </w:t>
      </w:r>
      <w:proofErr w:type="spellStart"/>
      <w:r>
        <w:rPr>
          <w:rFonts w:ascii="Arial" w:hAnsi="Arial" w:cs="Arial"/>
        </w:rPr>
        <w:t>plnoorganizovaných</w:t>
      </w:r>
      <w:proofErr w:type="spellEnd"/>
      <w:r>
        <w:rPr>
          <w:rFonts w:ascii="Arial" w:hAnsi="Arial" w:cs="Arial"/>
        </w:rPr>
        <w:t xml:space="preserve"> ZŠ so všetkými ročníkmi 1. – 9.,</w:t>
      </w:r>
    </w:p>
    <w:p>
      <w:pPr>
        <w:pStyle w:val="Odsekzoznamu"/>
        <w:numPr>
          <w:ilvl w:val="0"/>
          <w:numId w:val="31"/>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pPr>
        <w:pStyle w:val="Odsekzoznamu"/>
        <w:numPr>
          <w:ilvl w:val="0"/>
          <w:numId w:val="31"/>
        </w:numPr>
        <w:spacing w:after="0"/>
        <w:jc w:val="both"/>
        <w:rPr>
          <w:rFonts w:ascii="Arial" w:hAnsi="Arial" w:cs="Arial"/>
        </w:rPr>
      </w:pPr>
      <w:r>
        <w:rPr>
          <w:rFonts w:ascii="Arial" w:hAnsi="Arial" w:cs="Arial"/>
        </w:rPr>
        <w:t xml:space="preserve">cielene podporuje </w:t>
      </w:r>
      <w:proofErr w:type="spellStart"/>
      <w:r>
        <w:rPr>
          <w:rFonts w:ascii="Arial" w:hAnsi="Arial" w:cs="Arial"/>
        </w:rPr>
        <w:t>inkluzívne</w:t>
      </w:r>
      <w:proofErr w:type="spellEnd"/>
      <w:r>
        <w:rPr>
          <w:rFonts w:ascii="Arial" w:hAnsi="Arial" w:cs="Arial"/>
        </w:rPr>
        <w:t xml:space="preserve"> vzdelávanie,</w:t>
      </w:r>
    </w:p>
    <w:p>
      <w:pPr>
        <w:pStyle w:val="Odsekzoznamu"/>
        <w:numPr>
          <w:ilvl w:val="0"/>
          <w:numId w:val="31"/>
        </w:numPr>
        <w:spacing w:after="0"/>
        <w:jc w:val="both"/>
        <w:rPr>
          <w:rFonts w:ascii="Arial" w:hAnsi="Arial" w:cs="Arial"/>
        </w:rPr>
      </w:pPr>
      <w:r>
        <w:rPr>
          <w:rFonts w:ascii="Arial" w:hAnsi="Arial" w:cs="Arial"/>
        </w:rPr>
        <w:t>podporuje celoživotné vzdelávanie v súlade so zákonom č. 568/2009 o celoživotnom vzdelávaní v platnom znení,</w:t>
      </w:r>
    </w:p>
    <w:p>
      <w:pPr>
        <w:pStyle w:val="Odsekzoznamu"/>
        <w:numPr>
          <w:ilvl w:val="0"/>
          <w:numId w:val="31"/>
        </w:numPr>
        <w:spacing w:after="0"/>
        <w:jc w:val="both"/>
        <w:rPr>
          <w:rFonts w:ascii="Arial" w:hAnsi="Arial" w:cs="Arial"/>
        </w:rPr>
      </w:pPr>
      <w:r>
        <w:rPr>
          <w:rFonts w:ascii="Arial" w:hAnsi="Arial" w:cs="Arial"/>
        </w:rPr>
        <w:t xml:space="preserve">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pPr>
        <w:pStyle w:val="Odsekzoznamu"/>
        <w:numPr>
          <w:ilvl w:val="0"/>
          <w:numId w:val="31"/>
        </w:numPr>
        <w:spacing w:after="0"/>
        <w:jc w:val="both"/>
        <w:rPr>
          <w:rFonts w:ascii="Arial" w:hAnsi="Arial" w:cs="Arial"/>
        </w:rPr>
      </w:pPr>
      <w:r>
        <w:rPr>
          <w:rFonts w:ascii="Arial" w:hAnsi="Arial" w:cs="Arial"/>
        </w:rPr>
        <w:t>sa realizuje v škole, ktorá je v súlade so zásadami optimalizácie siete škôl a školských zariadení (pasportizácia),</w:t>
      </w:r>
    </w:p>
    <w:p>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pPr>
        <w:pStyle w:val="Odsekzoznamu"/>
        <w:numPr>
          <w:ilvl w:val="0"/>
          <w:numId w:val="31"/>
        </w:numPr>
        <w:spacing w:after="0"/>
        <w:jc w:val="both"/>
        <w:rPr>
          <w:rFonts w:ascii="Arial" w:hAnsi="Arial" w:cs="Arial"/>
        </w:rPr>
      </w:pPr>
      <w:r>
        <w:rPr>
          <w:rFonts w:ascii="Arial" w:hAnsi="Arial" w:cs="Arial"/>
        </w:rPr>
        <w:t>je v súlade s normatívmi MŠVVŠ SR pre materiálno-technické a priestorové zabezpečenie učebných priestorov pre prvý a druhý stupeň základných škôl,</w:t>
      </w:r>
    </w:p>
    <w:p>
      <w:pPr>
        <w:pStyle w:val="Odsekzoznamu"/>
        <w:numPr>
          <w:ilvl w:val="0"/>
          <w:numId w:val="31"/>
        </w:numPr>
        <w:spacing w:after="0"/>
        <w:jc w:val="both"/>
        <w:rPr>
          <w:rFonts w:ascii="Arial" w:hAnsi="Arial" w:cs="Arial"/>
        </w:rPr>
      </w:pPr>
      <w:r>
        <w:rPr>
          <w:rFonts w:ascii="Arial" w:hAnsi="Arial" w:cs="Arial"/>
        </w:rPr>
        <w:t xml:space="preserve">je v súlade so Štátnym vzdelávacím programom vrátane prvkov </w:t>
      </w:r>
      <w:proofErr w:type="spellStart"/>
      <w:r>
        <w:rPr>
          <w:rFonts w:ascii="Arial" w:hAnsi="Arial" w:cs="Arial"/>
        </w:rPr>
        <w:t>inkluzívneho</w:t>
      </w:r>
      <w:proofErr w:type="spellEnd"/>
      <w:r>
        <w:rPr>
          <w:rFonts w:ascii="Arial" w:hAnsi="Arial" w:cs="Arial"/>
        </w:rPr>
        <w:t xml:space="preserve"> vzdelávania pre prvý a druhý stupeň základných škôl,</w:t>
      </w:r>
    </w:p>
    <w:p>
      <w:pPr>
        <w:pStyle w:val="Odsekzoznamu"/>
        <w:numPr>
          <w:ilvl w:val="0"/>
          <w:numId w:val="31"/>
        </w:numPr>
        <w:spacing w:after="0"/>
        <w:jc w:val="both"/>
        <w:rPr>
          <w:rFonts w:ascii="Arial" w:hAnsi="Arial" w:cs="Arial"/>
        </w:rPr>
      </w:pPr>
      <w:r>
        <w:rPr>
          <w:rFonts w:ascii="Arial" w:hAnsi="Arial" w:cs="Arial"/>
        </w:rPr>
        <w:t>je v súlade so štandardami vypracovanými MŠVVŠ SR v národných projektoch</w:t>
      </w:r>
      <w:r>
        <w:rPr>
          <w:rStyle w:val="Odkaznapoznmkupodiarou"/>
          <w:rFonts w:ascii="Arial" w:hAnsi="Arial" w:cs="Arial"/>
        </w:rPr>
        <w:footnoteReference w:id="49"/>
      </w:r>
      <w:r>
        <w:rPr>
          <w:rFonts w:ascii="Arial" w:hAnsi="Arial" w:cs="Arial"/>
        </w:rPr>
        <w:t xml:space="preserve"> v rámci OP Vzdelávanie.</w:t>
      </w:r>
    </w:p>
    <w:p>
      <w:pPr>
        <w:rPr>
          <w:rFonts w:ascii="Arial" w:hAnsi="Arial" w:cs="Arial"/>
          <w:b/>
        </w:rPr>
      </w:pPr>
    </w:p>
    <w:p>
      <w:pPr>
        <w:rPr>
          <w:rFonts w:ascii="Arial" w:hAnsi="Arial" w:cs="Arial"/>
          <w:color w:val="548DD4" w:themeColor="text2" w:themeTint="99"/>
        </w:rPr>
      </w:pPr>
      <w:r>
        <w:rPr>
          <w:rFonts w:ascii="Arial" w:hAnsi="Arial" w:cs="Arial"/>
          <w:b/>
        </w:rPr>
        <w:t>Špecifický cieľ č. 2.2.3</w:t>
      </w:r>
    </w:p>
    <w:p>
      <w:pPr>
        <w:spacing w:after="0"/>
        <w:jc w:val="both"/>
        <w:rPr>
          <w:rFonts w:ascii="Arial" w:hAnsi="Arial" w:cs="Arial"/>
        </w:rPr>
      </w:pPr>
      <w:r>
        <w:rPr>
          <w:rFonts w:ascii="Arial" w:hAnsi="Arial" w:cs="Arial"/>
        </w:rPr>
        <w:t>Projekt</w:t>
      </w:r>
    </w:p>
    <w:p>
      <w:pPr>
        <w:pStyle w:val="Odsekzoznamu"/>
        <w:numPr>
          <w:ilvl w:val="0"/>
          <w:numId w:val="31"/>
        </w:numPr>
        <w:spacing w:after="0"/>
        <w:jc w:val="both"/>
        <w:rPr>
          <w:rFonts w:ascii="Arial" w:hAnsi="Arial" w:cs="Arial"/>
        </w:rPr>
      </w:pPr>
      <w:r>
        <w:rPr>
          <w:rFonts w:ascii="Arial" w:hAnsi="Arial" w:cs="Arial"/>
        </w:rPr>
        <w:t>je v súlade s regionálnymi stratégiami odborného vzdelávania a prípravy,</w:t>
      </w:r>
    </w:p>
    <w:p>
      <w:pPr>
        <w:pStyle w:val="Odsekzoznamu"/>
        <w:numPr>
          <w:ilvl w:val="0"/>
          <w:numId w:val="31"/>
        </w:numPr>
        <w:spacing w:after="0"/>
        <w:jc w:val="both"/>
        <w:rPr>
          <w:rFonts w:ascii="Arial" w:hAnsi="Arial" w:cs="Arial"/>
        </w:rPr>
      </w:pPr>
      <w:r>
        <w:rPr>
          <w:rFonts w:ascii="Arial" w:hAnsi="Arial" w:cs="Arial"/>
        </w:rPr>
        <w:t>podporuje celoživotné vzdelávanie v súlade so zákonom č. 568/2009 o celoživotnom vzdelávaní v platnom znení,</w:t>
      </w:r>
    </w:p>
    <w:p>
      <w:pPr>
        <w:pStyle w:val="Odsekzoznamu"/>
        <w:numPr>
          <w:ilvl w:val="0"/>
          <w:numId w:val="31"/>
        </w:numPr>
        <w:spacing w:after="0"/>
        <w:jc w:val="both"/>
        <w:rPr>
          <w:rFonts w:ascii="Arial" w:hAnsi="Arial" w:cs="Arial"/>
        </w:rPr>
      </w:pPr>
      <w:r>
        <w:rPr>
          <w:rFonts w:ascii="Arial" w:hAnsi="Arial" w:cs="Arial"/>
        </w:rPr>
        <w:lastRenderedPageBreak/>
        <w:t xml:space="preserve">podporuje integrovaný prístup ako komplementárnu podporu aktivít z IROP a OP ĽZ, prípadné iných OP, </w:t>
      </w:r>
    </w:p>
    <w:p>
      <w:pPr>
        <w:pStyle w:val="Odsekzoznamu"/>
        <w:numPr>
          <w:ilvl w:val="0"/>
          <w:numId w:val="31"/>
        </w:numPr>
        <w:spacing w:after="0"/>
        <w:jc w:val="both"/>
        <w:rPr>
          <w:rFonts w:ascii="Arial" w:hAnsi="Arial" w:cs="Arial"/>
        </w:rPr>
      </w:pPr>
      <w:r>
        <w:rPr>
          <w:rFonts w:ascii="Arial" w:hAnsi="Arial" w:cs="Arial"/>
        </w:rPr>
        <w:t xml:space="preserve">cielene podporuje </w:t>
      </w:r>
      <w:proofErr w:type="spellStart"/>
      <w:r>
        <w:rPr>
          <w:rFonts w:ascii="Arial" w:hAnsi="Arial" w:cs="Arial"/>
        </w:rPr>
        <w:t>inkluzívne</w:t>
      </w:r>
      <w:proofErr w:type="spellEnd"/>
      <w:r>
        <w:rPr>
          <w:rFonts w:ascii="Arial" w:hAnsi="Arial" w:cs="Arial"/>
        </w:rPr>
        <w:t xml:space="preserve"> vzdelávanie,</w:t>
      </w:r>
    </w:p>
    <w:p>
      <w:pPr>
        <w:pStyle w:val="Odsekzoznamu"/>
        <w:numPr>
          <w:ilvl w:val="0"/>
          <w:numId w:val="31"/>
        </w:numPr>
        <w:spacing w:after="0"/>
        <w:jc w:val="both"/>
        <w:rPr>
          <w:rFonts w:ascii="Arial" w:hAnsi="Arial" w:cs="Arial"/>
        </w:rPr>
      </w:pPr>
      <w:r>
        <w:rPr>
          <w:rFonts w:ascii="Arial" w:hAnsi="Arial" w:cs="Arial"/>
        </w:rPr>
        <w:t>zabezpečuje väzbu: škola–zamestnávateľ–kraj. Musí byť deklarovaný zmluvný vzťah so zamestnávateľom, v prospech ktorého sa učebné odbory učia.</w:t>
      </w:r>
    </w:p>
    <w:p>
      <w:pPr>
        <w:pStyle w:val="Odsekzoznamu"/>
        <w:numPr>
          <w:ilvl w:val="0"/>
          <w:numId w:val="31"/>
        </w:numPr>
        <w:spacing w:after="0"/>
        <w:jc w:val="both"/>
        <w:rPr>
          <w:rFonts w:ascii="Arial" w:hAnsi="Arial" w:cs="Arial"/>
        </w:rPr>
      </w:pPr>
      <w:r>
        <w:rPr>
          <w:rFonts w:ascii="Arial" w:hAnsi="Arial" w:cs="Arial"/>
        </w:rPr>
        <w:t>je podporovaný príslušným zamestnávateľským zväzom, stavovskou a profesijnou organizáciou a aktérmi na trhu práce,</w:t>
      </w:r>
    </w:p>
    <w:p>
      <w:pPr>
        <w:pStyle w:val="Odsekzoznamu"/>
        <w:numPr>
          <w:ilvl w:val="0"/>
          <w:numId w:val="31"/>
        </w:numPr>
        <w:spacing w:after="0"/>
        <w:jc w:val="both"/>
        <w:rPr>
          <w:rFonts w:ascii="Arial" w:hAnsi="Arial" w:cs="Arial"/>
        </w:rPr>
      </w:pPr>
      <w:r>
        <w:rPr>
          <w:rFonts w:ascii="Arial" w:hAnsi="Arial" w:cs="Arial"/>
        </w:rPr>
        <w:t>bude zvýhodnený, ak podporuje vznik nových a existujúce COVP,</w:t>
      </w:r>
    </w:p>
    <w:p>
      <w:pPr>
        <w:pStyle w:val="Odsekzoznamu"/>
        <w:numPr>
          <w:ilvl w:val="0"/>
          <w:numId w:val="31"/>
        </w:numPr>
        <w:spacing w:after="0"/>
        <w:jc w:val="both"/>
        <w:rPr>
          <w:rFonts w:ascii="Arial" w:hAnsi="Arial" w:cs="Arial"/>
        </w:rPr>
      </w:pPr>
      <w:r>
        <w:rPr>
          <w:rFonts w:ascii="Arial" w:hAnsi="Arial" w:cs="Arial"/>
        </w:rPr>
        <w:t>je v súlade so zákonom č 184/2009 o odbornom vzdelávaní a príprave v platnom znení,</w:t>
      </w:r>
    </w:p>
    <w:p>
      <w:pPr>
        <w:pStyle w:val="Odsekzoznamu"/>
        <w:numPr>
          <w:ilvl w:val="0"/>
          <w:numId w:val="31"/>
        </w:numPr>
        <w:spacing w:after="0"/>
        <w:jc w:val="both"/>
        <w:rPr>
          <w:rFonts w:ascii="Arial" w:hAnsi="Arial" w:cs="Arial"/>
        </w:rPr>
      </w:pPr>
      <w:r>
        <w:rPr>
          <w:rFonts w:ascii="Arial" w:hAnsi="Arial" w:cs="Arial"/>
        </w:rPr>
        <w:t>je v súlade s požiadavkami regionálneho trhu práce a konkurencieschopnosti regiónu,</w:t>
      </w:r>
    </w:p>
    <w:p>
      <w:pPr>
        <w:pStyle w:val="Odsekzoznamu"/>
        <w:numPr>
          <w:ilvl w:val="0"/>
          <w:numId w:val="31"/>
        </w:numPr>
        <w:spacing w:after="0"/>
        <w:jc w:val="both"/>
        <w:rPr>
          <w:rFonts w:ascii="Arial" w:eastAsia="Calibri" w:hAnsi="Arial" w:cs="Arial"/>
          <w:bCs/>
        </w:rPr>
      </w:pPr>
      <w:r>
        <w:rPr>
          <w:rFonts w:ascii="Arial" w:hAnsi="Arial" w:cs="Arial"/>
        </w:rPr>
        <w:t>je v súlade so Štátnym vzdelávacím programom pre odborné vzdelávanie a prípravu pre danú skupinu študijných a učebných odborov,</w:t>
      </w:r>
    </w:p>
    <w:p>
      <w:pPr>
        <w:pStyle w:val="Odsekzoznamu"/>
        <w:numPr>
          <w:ilvl w:val="0"/>
          <w:numId w:val="31"/>
        </w:numPr>
        <w:spacing w:after="0"/>
        <w:jc w:val="both"/>
        <w:rPr>
          <w:rFonts w:ascii="Arial" w:eastAsia="Calibri" w:hAnsi="Arial" w:cs="Arial"/>
          <w:bCs/>
        </w:rPr>
      </w:pPr>
      <w:r>
        <w:rPr>
          <w:rFonts w:ascii="Arial" w:hAnsi="Arial" w:cs="Arial"/>
        </w:rPr>
        <w:t>je v </w:t>
      </w:r>
      <w:r>
        <w:rPr>
          <w:rFonts w:ascii="Arial" w:eastAsia="Calibri" w:hAnsi="Arial" w:cs="Arial"/>
          <w:bCs/>
        </w:rPr>
        <w:t>súlade so zákonom č.. 596/2003 Z. z. o štátnej správe v školstve a školskej samospráve v platnom znení,</w:t>
      </w:r>
    </w:p>
    <w:p>
      <w:pPr>
        <w:pStyle w:val="Odsekzoznamu"/>
        <w:numPr>
          <w:ilvl w:val="0"/>
          <w:numId w:val="31"/>
        </w:numPr>
        <w:spacing w:after="0"/>
        <w:jc w:val="both"/>
        <w:rPr>
          <w:rFonts w:ascii="Arial" w:hAnsi="Arial" w:cs="Arial"/>
        </w:rPr>
      </w:pPr>
      <w:r>
        <w:rPr>
          <w:rFonts w:ascii="Arial" w:hAnsi="Arial" w:cs="Arial"/>
        </w:rPr>
        <w:t>sa realizuje v škole, ktorá je v súlade so zásadami optimalizácie siete škôl a školských zariadení (pasportizácia).</w:t>
      </w:r>
    </w:p>
    <w:p>
      <w:pPr>
        <w:pStyle w:val="Odsekzoznamu"/>
        <w:numPr>
          <w:ilvl w:val="0"/>
          <w:numId w:val="31"/>
        </w:numPr>
        <w:spacing w:after="0"/>
        <w:jc w:val="both"/>
        <w:rPr>
          <w:rFonts w:ascii="Arial" w:hAnsi="Arial" w:cs="Arial"/>
        </w:rPr>
      </w:pPr>
      <w:r>
        <w:rPr>
          <w:rFonts w:ascii="Arial" w:hAnsi="Arial" w:cs="Arial"/>
        </w:rPr>
        <w:t>je previazaný na plnenie cieľov Stratégie RIS3,</w:t>
      </w:r>
    </w:p>
    <w:p>
      <w:pPr>
        <w:rPr>
          <w:rFonts w:ascii="Arial" w:hAnsi="Arial" w:cs="Arial"/>
        </w:rPr>
      </w:pPr>
    </w:p>
    <w:p>
      <w:pPr>
        <w:spacing w:before="120"/>
        <w:jc w:val="both"/>
        <w:rPr>
          <w:rFonts w:ascii="Arial" w:hAnsi="Arial" w:cs="Arial"/>
        </w:rPr>
      </w:pPr>
      <w:r>
        <w:rPr>
          <w:rFonts w:ascii="Arial" w:hAnsi="Arial" w:cs="Arial"/>
          <w:b/>
        </w:rPr>
        <w:t>Princípy spoločne uplatňované pre špecifické ciele 2.2.1, 2.2.2 a 2.2.3</w:t>
      </w:r>
      <w:r>
        <w:rPr>
          <w:rFonts w:ascii="Arial" w:hAnsi="Arial" w:cs="Arial"/>
        </w:rPr>
        <w:t>:</w:t>
      </w:r>
    </w:p>
    <w:p>
      <w:pPr>
        <w:pStyle w:val="Odsekzoznamu"/>
        <w:numPr>
          <w:ilvl w:val="0"/>
          <w:numId w:val="31"/>
        </w:numPr>
        <w:spacing w:after="0"/>
        <w:jc w:val="both"/>
        <w:rPr>
          <w:rFonts w:ascii="Arial" w:hAnsi="Arial" w:cs="Arial"/>
        </w:rPr>
      </w:pPr>
      <w:r>
        <w:rPr>
          <w:rFonts w:ascii="Arial" w:hAnsi="Arial" w:cs="Arial"/>
        </w:rPr>
        <w:t>podporené stavebné objekty musia byť plne bezbariérové v súlade s princípmi univerzálneho navrhovania - projekt spĺňa požiadavky v súlade s vyhláškou MŽP SR č. 532/2002 Z. z. ktorou sa ustanovujú podrobnosti o všeobecných technických požiadavkách na výstavbu a o všeobecných technických požiadavkách na stavby užívané osobami s obmedzenou schopnosťou pohybu a orientácie (platí pre 2.2.1, 2.2.2, 2.2.3),</w:t>
      </w:r>
    </w:p>
    <w:p>
      <w:pPr>
        <w:pStyle w:val="Odsekzoznamu"/>
        <w:numPr>
          <w:ilvl w:val="0"/>
          <w:numId w:val="31"/>
        </w:numPr>
        <w:spacing w:after="0"/>
        <w:jc w:val="both"/>
        <w:rPr>
          <w:rFonts w:ascii="Arial" w:hAnsi="Arial" w:cs="Arial"/>
        </w:rPr>
      </w:pPr>
      <w:r>
        <w:rPr>
          <w:rFonts w:ascii="Arial" w:hAnsi="Arial" w:cs="Arial"/>
        </w:rPr>
        <w:t xml:space="preserve">pre projekt bude platiť efektívna bonifikácia, pokiaľ pri obnove/výstavbe budov alebo ich častí budú </w:t>
      </w:r>
      <w:proofErr w:type="spellStart"/>
      <w:r>
        <w:rPr>
          <w:rFonts w:ascii="Arial" w:hAnsi="Arial" w:cs="Arial"/>
        </w:rPr>
        <w:t>tepelnotechnické</w:t>
      </w:r>
      <w:proofErr w:type="spellEnd"/>
      <w:r>
        <w:rPr>
          <w:rFonts w:ascii="Arial" w:hAnsi="Arial" w:cs="Arial"/>
        </w:rPr>
        <w:t xml:space="preserve"> vlastnosti stavebných konštrukcií a budov spĺňať parametre nad rámec aktuálne požadovanej úrovne energetickej hospodárnosti podľa STN 73 0540-2: 2012 (platí pre 2.2.1, 2.2.3),</w:t>
      </w:r>
    </w:p>
    <w:p>
      <w:pPr>
        <w:pStyle w:val="Odsekzoznamu"/>
        <w:numPr>
          <w:ilvl w:val="0"/>
          <w:numId w:val="31"/>
        </w:numPr>
        <w:spacing w:after="0"/>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 (platí pre 2.2.1, 2.2.3),</w:t>
      </w:r>
    </w:p>
    <w:p>
      <w:pPr>
        <w:pStyle w:val="Odsekzoznamu"/>
        <w:numPr>
          <w:ilvl w:val="0"/>
          <w:numId w:val="31"/>
        </w:numPr>
        <w:spacing w:after="0"/>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 (platí pre 2.2.1, 2.2.2, 2.2.3),</w:t>
      </w:r>
    </w:p>
    <w:p>
      <w:pPr>
        <w:pStyle w:val="Odsekzoznamu"/>
        <w:numPr>
          <w:ilvl w:val="0"/>
          <w:numId w:val="31"/>
        </w:numPr>
        <w:spacing w:after="0"/>
        <w:jc w:val="both"/>
        <w:rPr>
          <w:rFonts w:ascii="Arial" w:hAnsi="Arial" w:cs="Arial"/>
        </w:rPr>
      </w:pPr>
      <w:r>
        <w:rPr>
          <w:rFonts w:ascii="Arial" w:hAnsi="Arial" w:cs="Arial"/>
        </w:rPr>
        <w:t>projekt uplatňuje zásadu „znečisťovateľ platí“ (platí pre 2.2.1, 2.2.3).</w:t>
      </w:r>
    </w:p>
    <w:p>
      <w:pPr>
        <w:spacing w:after="0"/>
        <w:jc w:val="both"/>
        <w:rPr>
          <w:rFonts w:ascii="Arial" w:hAnsi="Arial" w:cs="Arial"/>
        </w:rPr>
      </w:pPr>
    </w:p>
    <w:p>
      <w:pPr>
        <w:spacing w:after="0"/>
        <w:jc w:val="both"/>
        <w:rPr>
          <w:rFonts w:ascii="Arial" w:hAnsi="Arial" w:cs="Arial"/>
        </w:rPr>
      </w:pPr>
      <w:r>
        <w:rPr>
          <w:rFonts w:ascii="Arial" w:hAnsi="Arial" w:cs="Arial"/>
        </w:rPr>
        <w:t>Všetky uvedené princípy sa uplatnia v závislosti od  typu a charakteru projektu.</w:t>
      </w:r>
    </w:p>
    <w:p>
      <w:pPr>
        <w:pStyle w:val="Nadpis6"/>
        <w:rPr>
          <w:rFonts w:ascii="Arial" w:hAnsi="Arial" w:cs="Arial"/>
        </w:rPr>
      </w:pPr>
      <w:bookmarkStart w:id="40" w:name="_Toc387651818"/>
      <w:r>
        <w:rPr>
          <w:rFonts w:ascii="Arial" w:hAnsi="Arial" w:cs="Arial"/>
        </w:rPr>
        <w:lastRenderedPageBreak/>
        <w:t>2.2.2.3. Plánované využitie finančných nástrojov</w:t>
      </w:r>
      <w:bookmarkEnd w:id="40"/>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41" w:name="_Toc387651819"/>
      <w:r>
        <w:rPr>
          <w:rFonts w:ascii="Arial" w:hAnsi="Arial" w:cs="Arial"/>
        </w:rPr>
        <w:t>2.2.2.4.Plánované využitie veľkých projektov</w:t>
      </w:r>
      <w:bookmarkEnd w:id="41"/>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42" w:name="_Toc387651820"/>
      <w:r>
        <w:rPr>
          <w:rFonts w:ascii="Arial" w:hAnsi="Arial" w:cs="Arial"/>
        </w:rPr>
        <w:t>2.2.2.5. Ukazovatele výstupov podľa investičnej priority a ak je to vhodné, podľa kategórie regiónu</w:t>
      </w:r>
      <w:bookmarkEnd w:id="42"/>
    </w:p>
    <w:p>
      <w:pPr>
        <w:spacing w:before="240"/>
        <w:rPr>
          <w:rFonts w:ascii="Arial" w:hAnsi="Arial" w:cs="Arial"/>
        </w:rPr>
      </w:pPr>
      <w:r>
        <w:rPr>
          <w:rStyle w:val="Siln"/>
          <w:rFonts w:ascii="Arial" w:hAnsi="Arial" w:cs="Arial"/>
        </w:rPr>
        <w:t>Tabuľka č. 17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Dieťa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4 929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Dieťa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5 575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jc w:val="cente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knižníc</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Knižnica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knižníc</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Knižnica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podporených jazykových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Jazyková 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podporených jazykových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Jazyková 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technických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technických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prírodných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prírodných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IKT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IKT učební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rPr>
                <w:rFonts w:ascii="Arial" w:hAnsi="Arial" w:cs="Arial"/>
                <w:sz w:val="16"/>
                <w:szCs w:val="16"/>
              </w:rPr>
            </w:pPr>
            <w:r>
              <w:rPr>
                <w:rFonts w:ascii="Arial" w:hAnsi="Arial" w:cs="Arial"/>
                <w:sz w:val="16"/>
                <w:szCs w:val="16"/>
              </w:rPr>
              <w:t>Učebňa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Kapacita podporených centier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Kapacita podporených centier odborného vzdelávania a prípravy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pPr>
            <w:r>
              <w:rPr>
                <w:rFonts w:ascii="Arial" w:hAnsi="Arial" w:cs="Arial"/>
                <w:sz w:val="16"/>
                <w:szCs w:val="16"/>
              </w:rPr>
              <w:t>Žiak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COVP</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COVP</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Inkubátor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Inkubátor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 xml:space="preserve">Počet účastníkov </w:t>
            </w:r>
            <w:r>
              <w:rPr>
                <w:rFonts w:ascii="Arial" w:hAnsi="Arial" w:cs="Arial"/>
                <w:sz w:val="16"/>
                <w:szCs w:val="16"/>
              </w:rPr>
              <w:lastRenderedPageBreak/>
              <w:t>celoživotného vzdelávania</w:t>
            </w:r>
            <w:r>
              <w:rPr>
                <w:rStyle w:val="Odkaznapoznmkupodiarou"/>
                <w:rFonts w:ascii="Arial" w:hAnsi="Arial" w:cs="Arial"/>
                <w:sz w:val="16"/>
                <w:szCs w:val="16"/>
              </w:rPr>
              <w:footnoteReference w:id="50"/>
            </w:r>
            <w:r>
              <w:rPr>
                <w:rFonts w:ascii="Arial" w:hAnsi="Arial" w:cs="Arial"/>
                <w:sz w:val="16"/>
                <w:szCs w:val="16"/>
              </w:rPr>
              <w:t xml:space="preserve"> v podporených subjektoch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lastRenderedPageBreak/>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 xml:space="preserve">Menej rozvinutý </w:t>
            </w:r>
            <w:r>
              <w:rPr>
                <w:rFonts w:ascii="Arial" w:hAnsi="Arial" w:cs="Arial"/>
                <w:sz w:val="16"/>
                <w:szCs w:val="16"/>
              </w:rPr>
              <w:lastRenderedPageBreak/>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lastRenderedPageBreak/>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Počet účastníkov celoživotného vzdelávania</w:t>
            </w:r>
            <w:r>
              <w:rPr>
                <w:rStyle w:val="Odkaznapoznmkupodiarou"/>
                <w:rFonts w:ascii="Arial" w:hAnsi="Arial" w:cs="Arial"/>
                <w:sz w:val="16"/>
                <w:szCs w:val="16"/>
              </w:rPr>
              <w:footnoteReference w:id="51"/>
            </w:r>
            <w:r>
              <w:rPr>
                <w:rFonts w:ascii="Arial" w:hAnsi="Arial" w:cs="Arial"/>
                <w:sz w:val="16"/>
                <w:szCs w:val="16"/>
              </w:rPr>
              <w:t xml:space="preserve"> v podporených subjektoch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w:hAnsi="Arial" w:cs="Arial"/>
                <w:sz w:val="16"/>
                <w:szCs w:val="16"/>
              </w:rPr>
            </w:pPr>
            <w:r>
              <w:rPr>
                <w:rFonts w:ascii="Arial" w:hAnsi="Arial" w:cs="Arial"/>
                <w:sz w:val="16"/>
                <w:szCs w:val="16"/>
              </w:rPr>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Bdr>
          <w:bottom w:val="single" w:sz="12" w:space="1" w:color="auto"/>
        </w:pBdr>
        <w:rPr>
          <w:rFonts w:ascii="Arial" w:hAnsi="Arial" w:cs="Arial"/>
          <w:sz w:val="20"/>
        </w:rPr>
      </w:pPr>
    </w:p>
    <w:p>
      <w:bookmarkStart w:id="43" w:name="_Toc383369296"/>
    </w:p>
    <w:p>
      <w:pPr>
        <w:pStyle w:val="Nadpis5"/>
        <w:shd w:val="clear" w:color="auto" w:fill="B8C1E9"/>
        <w:rPr>
          <w:rFonts w:ascii="Arial" w:hAnsi="Arial" w:cs="Arial"/>
        </w:rPr>
      </w:pPr>
      <w:bookmarkStart w:id="44" w:name="_Toc387651821"/>
      <w:r>
        <w:rPr>
          <w:rFonts w:ascii="Arial" w:hAnsi="Arial" w:cs="Arial"/>
        </w:rPr>
        <w:t>Výkonnostný rámec</w:t>
      </w:r>
      <w:bookmarkEnd w:id="43"/>
      <w:bookmarkEnd w:id="44"/>
    </w:p>
    <w:p>
      <w:pPr>
        <w:rPr>
          <w:rFonts w:ascii="Arial" w:hAnsi="Arial" w:cs="Arial"/>
        </w:rPr>
      </w:pPr>
    </w:p>
    <w:p>
      <w:pPr>
        <w:rPr>
          <w:rStyle w:val="Zvraznenie"/>
          <w:rFonts w:ascii="Arial" w:hAnsi="Arial" w:cs="Arial"/>
        </w:rPr>
      </w:pPr>
      <w:r>
        <w:rPr>
          <w:rStyle w:val="Siln"/>
          <w:rFonts w:ascii="Arial" w:hAnsi="Arial" w:cs="Arial"/>
        </w:rPr>
        <w:t>Tabuľka č. 18</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1054"/>
        <w:gridCol w:w="283"/>
        <w:gridCol w:w="222"/>
        <w:gridCol w:w="912"/>
        <w:gridCol w:w="647"/>
        <w:gridCol w:w="992"/>
      </w:tblGrid>
      <w:tr>
        <w:trPr>
          <w:trHeight w:val="646"/>
        </w:trPr>
        <w:tc>
          <w:tcPr>
            <w:tcW w:w="67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67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105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MaŽ</w:t>
            </w:r>
            <w:proofErr w:type="spellEnd"/>
          </w:p>
        </w:tc>
        <w:tc>
          <w:tcPr>
            <w:tcW w:w="64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254 100 000</w:t>
            </w: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726 000 </w:t>
            </w:r>
            <w:proofErr w:type="spellStart"/>
            <w:r>
              <w:rPr>
                <w:rFonts w:ascii="Arial" w:hAnsi="Arial" w:cs="Arial"/>
                <w:sz w:val="14"/>
                <w:szCs w:val="14"/>
              </w:rPr>
              <w:t>000</w:t>
            </w:r>
            <w:proofErr w:type="spellEnd"/>
          </w:p>
        </w:tc>
        <w:tc>
          <w:tcPr>
            <w:tcW w:w="64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11 170 000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31 913 197</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Prijímateľ sociálnych služieb</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1 200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3 200</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highlight w:val="yellow"/>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Prijímateľ sociálnych služieb</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40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180</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zariadení výkonu opatrení sociálnoprávnej ochrany detí a sociálnej kurately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Osoba vo výkone opatrení sociálnoprávnej ochrany detí a sociálnej kurately</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675</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Kapacita podporených zariadení výkonu </w:t>
            </w:r>
            <w:r>
              <w:rPr>
                <w:rFonts w:ascii="Arial" w:hAnsi="Arial" w:cs="Arial"/>
                <w:sz w:val="14"/>
                <w:szCs w:val="14"/>
              </w:rPr>
              <w:lastRenderedPageBreak/>
              <w:t>opatrení sociálnoprávnej ochrany detí a sociálnej kurately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lastRenderedPageBreak/>
              <w:t>Osoba vo výkone opatrení sociálnopráv</w:t>
            </w:r>
            <w:r>
              <w:rPr>
                <w:rFonts w:ascii="Arial" w:hAnsi="Arial" w:cs="Arial"/>
                <w:sz w:val="14"/>
                <w:szCs w:val="14"/>
              </w:rPr>
              <w:lastRenderedPageBreak/>
              <w:t>nej ochrany detí a sociálnej kurately</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lastRenderedPageBreak/>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135</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materských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Dieťa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3521</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4 929</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materských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Dieťa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3980</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5 575</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základných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základných škôl</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centier odborného vzdelávania a prípravy</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Kapacita podporených centier odborného vzdelávania a prípravy</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Žiak</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vAlign w:val="center"/>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vytvorených centier integrovanej zdravotnej starostlivosti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Centrum integrovanej zdravotnej starostlivosti</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50</w:t>
            </w:r>
          </w:p>
        </w:tc>
        <w:tc>
          <w:tcPr>
            <w:tcW w:w="283" w:type="dxa"/>
            <w:tcBorders>
              <w:left w:val="single" w:sz="8" w:space="0" w:color="4E67C8"/>
              <w:right w:val="single" w:sz="8" w:space="0" w:color="4E67C8"/>
            </w:tcBorders>
            <w:shd w:val="clear" w:color="auto" w:fill="auto"/>
          </w:tcPr>
          <w:p>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134</w:t>
            </w:r>
          </w:p>
        </w:tc>
        <w:tc>
          <w:tcPr>
            <w:tcW w:w="647" w:type="dxa"/>
            <w:tcBorders>
              <w:left w:val="single" w:sz="8" w:space="0" w:color="4E67C8"/>
              <w:right w:val="single" w:sz="8" w:space="0" w:color="4E67C8"/>
            </w:tcBorders>
            <w:shd w:val="clear" w:color="auto" w:fill="auto"/>
          </w:tcPr>
          <w:p>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pStyle w:val="Nadpis5"/>
        <w:shd w:val="clear" w:color="auto" w:fill="B8C1E9"/>
        <w:rPr>
          <w:rFonts w:ascii="Arial" w:hAnsi="Arial" w:cs="Arial"/>
        </w:rPr>
      </w:pPr>
      <w:bookmarkStart w:id="45" w:name="_Toc383369297"/>
      <w:bookmarkStart w:id="46" w:name="_Toc387651822"/>
      <w:r>
        <w:rPr>
          <w:rFonts w:ascii="Arial" w:hAnsi="Arial" w:cs="Arial"/>
        </w:rPr>
        <w:t>Kategórie intervencie</w:t>
      </w:r>
      <w:bookmarkEnd w:id="45"/>
      <w:bookmarkEnd w:id="46"/>
    </w:p>
    <w:p>
      <w:pPr>
        <w:spacing w:before="120"/>
        <w:rPr>
          <w:rStyle w:val="Zvraznenie"/>
          <w:rFonts w:ascii="Arial" w:hAnsi="Arial" w:cs="Arial"/>
        </w:rPr>
      </w:pPr>
      <w:r>
        <w:rPr>
          <w:rStyle w:val="Siln"/>
          <w:rFonts w:ascii="Arial" w:hAnsi="Arial" w:cs="Arial"/>
        </w:rPr>
        <w:t>Tabuľka č. 19</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97 000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48 000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97 000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278 000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206 000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pPr w:leftFromText="141" w:rightFromText="141" w:vertAnchor="text" w:tblpY="1"/>
        <w:tblOverlap w:val="never"/>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726 000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r>
        <w:rPr>
          <w:rStyle w:val="Zvraznenie"/>
          <w:rFonts w:ascii="Arial" w:hAnsi="Arial" w:cs="Arial"/>
        </w:rPr>
        <w:br w:type="textWrapping" w:clear="all"/>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230 000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276 000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220 000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105 000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471 000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150 000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8 000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sz w:val="16"/>
                <w:szCs w:val="16"/>
              </w:rPr>
              <w:t xml:space="preserve"> </w:t>
            </w: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21 000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5 000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5 913 197</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28 000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3 913 197</w:t>
            </w:r>
          </w:p>
        </w:tc>
      </w:tr>
    </w:tbl>
    <w:p>
      <w:pPr>
        <w:spacing w:before="120"/>
        <w:rPr>
          <w:rStyle w:val="Zvraznenie"/>
          <w:rFonts w:ascii="Arial" w:hAnsi="Arial" w:cs="Arial"/>
        </w:rPr>
      </w:pPr>
    </w:p>
    <w:p>
      <w:pPr>
        <w:pStyle w:val="Nadpis5"/>
        <w:shd w:val="clear" w:color="auto" w:fill="B8C1E9"/>
        <w:jc w:val="both"/>
        <w:rPr>
          <w:rFonts w:ascii="Arial" w:hAnsi="Arial" w:cs="Arial"/>
        </w:rPr>
      </w:pPr>
      <w:bookmarkStart w:id="47" w:name="_Toc387651823"/>
      <w:r>
        <w:rPr>
          <w:rFonts w:ascii="Arial" w:hAnsi="Arial" w:cs="Arial"/>
        </w:rPr>
        <w:t>Súhrn plánovaného využitia technickej pomoci vrátane, ak je to vhodné, akcií na posilnenie administratívnej spôsobilosti orgánov zapojených do riadenia a kontroly programu a príjemcov</w:t>
      </w:r>
      <w:bookmarkEnd w:id="47"/>
      <w:r>
        <w:rPr>
          <w:rFonts w:ascii="Arial" w:hAnsi="Arial" w:cs="Arial"/>
        </w:rPr>
        <w:t xml:space="preserve"> </w:t>
      </w:r>
    </w:p>
    <w:p>
      <w:pPr>
        <w:spacing w:after="0" w:line="240" w:lineRule="auto"/>
        <w:jc w:val="both"/>
        <w:rPr>
          <w:rFonts w:ascii="Arial" w:hAnsi="Arial" w:cs="Arial"/>
          <w:color w:val="000000"/>
          <w:lang w:eastAsia="sk-SK"/>
        </w:rPr>
      </w:pPr>
    </w:p>
    <w:p>
      <w:pPr>
        <w:spacing w:after="0" w:line="240" w:lineRule="auto"/>
        <w:jc w:val="both"/>
        <w:rPr>
          <w:rFonts w:ascii="Arial" w:hAnsi="Arial" w:cs="Arial"/>
          <w:color w:val="000000"/>
          <w:lang w:eastAsia="sk-SK"/>
        </w:rPr>
        <w:sectPr>
          <w:pgSz w:w="11906" w:h="16838"/>
          <w:pgMar w:top="1417" w:right="1417" w:bottom="1417" w:left="1417" w:header="708" w:footer="708" w:gutter="0"/>
          <w:cols w:space="708"/>
          <w:docGrid w:linePitch="360"/>
        </w:sectPr>
      </w:pPr>
      <w:r>
        <w:rPr>
          <w:rFonts w:ascii="Arial" w:hAnsi="Arial" w:cs="Arial"/>
          <w:color w:val="000000"/>
          <w:lang w:eastAsia="sk-SK"/>
        </w:rPr>
        <w:t>N/A</w:t>
      </w:r>
    </w:p>
    <w:p>
      <w:pPr>
        <w:pStyle w:val="Nadpis3"/>
        <w:shd w:val="clear" w:color="auto" w:fill="21306A"/>
        <w:rPr>
          <w:rFonts w:ascii="Arial" w:hAnsi="Arial" w:cs="Arial"/>
          <w:color w:val="FFFFFF"/>
          <w:sz w:val="28"/>
          <w:szCs w:val="28"/>
        </w:rPr>
      </w:pPr>
      <w:bookmarkStart w:id="48" w:name="_Toc387651824"/>
      <w:r>
        <w:rPr>
          <w:rFonts w:ascii="Arial" w:hAnsi="Arial" w:cs="Arial"/>
          <w:color w:val="FFFFFF"/>
          <w:sz w:val="28"/>
          <w:szCs w:val="28"/>
        </w:rPr>
        <w:lastRenderedPageBreak/>
        <w:t>2.3. Prioritná os č. 3: Mobilizácia kreatívneho potenciálu v regiónoch</w:t>
      </w:r>
      <w:bookmarkEnd w:id="48"/>
    </w:p>
    <w:p>
      <w:pPr>
        <w:tabs>
          <w:tab w:val="left" w:pos="1410"/>
        </w:tabs>
        <w:jc w:val="both"/>
        <w:rPr>
          <w:rFonts w:ascii="Arial" w:hAnsi="Arial" w:cs="Arial"/>
          <w:i/>
        </w:rPr>
      </w:pPr>
    </w:p>
    <w:p>
      <w:pPr>
        <w:jc w:val="both"/>
        <w:rPr>
          <w:rFonts w:ascii="Arial" w:hAnsi="Arial" w:cs="Arial"/>
          <w:b/>
          <w:sz w:val="20"/>
          <w:szCs w:val="20"/>
        </w:rPr>
      </w:pPr>
      <w:r>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301 012 410</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Viac rozvinutý región SR 40 000 </w:t>
            </w:r>
            <w:proofErr w:type="spellStart"/>
            <w:r>
              <w:rPr>
                <w:rFonts w:ascii="Arial" w:hAnsi="Arial" w:cs="Arial"/>
                <w:sz w:val="20"/>
                <w:szCs w:val="20"/>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
    <w:p/>
    <w:p>
      <w:pPr>
        <w:pStyle w:val="Nadpis4"/>
        <w:shd w:val="clear" w:color="auto" w:fill="21306A"/>
        <w:jc w:val="both"/>
        <w:rPr>
          <w:rFonts w:ascii="Arial" w:hAnsi="Arial" w:cs="Arial"/>
          <w:color w:val="FFFFFF"/>
        </w:rPr>
      </w:pPr>
      <w:bookmarkStart w:id="49" w:name="_Toc387651825"/>
      <w:r>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49"/>
    </w:p>
    <w:p>
      <w:pPr>
        <w:spacing w:before="120"/>
        <w:jc w:val="both"/>
        <w:rPr>
          <w:rStyle w:val="Zvraznenie"/>
          <w:rFonts w:ascii="Arial" w:hAnsi="Arial" w:cs="Arial"/>
          <w:b/>
          <w:i w:val="0"/>
        </w:rPr>
      </w:pPr>
      <w:r>
        <w:rPr>
          <w:rStyle w:val="Zvraznenie"/>
          <w:rFonts w:ascii="Arial" w:hAnsi="Arial" w:cs="Arial"/>
          <w:b/>
          <w:i w:val="0"/>
        </w:rPr>
        <w:t>Špecifický cieľ č. 3.1:</w:t>
      </w:r>
    </w:p>
    <w:p>
      <w:pPr>
        <w:shd w:val="clear" w:color="auto" w:fill="D9D9D9"/>
        <w:jc w:val="both"/>
        <w:rPr>
          <w:rStyle w:val="Zvraznenie"/>
          <w:rFonts w:ascii="Arial" w:hAnsi="Arial" w:cs="Arial"/>
        </w:rPr>
      </w:pPr>
      <w:r>
        <w:rPr>
          <w:rStyle w:val="Zvraznenie"/>
          <w:rFonts w:ascii="Arial" w:hAnsi="Arial" w:cs="Arial"/>
        </w:rPr>
        <w:t>Stimulovanie podpory udržateľnej zamestnanosti a tvorby pracovných miest v kultúrnom a kreatívnom sektore prostredníctvom vytvorenia priaznivého prostredia pre rozvoj kreatívneho talentu a netechnologických inovácií.</w:t>
      </w:r>
    </w:p>
    <w:p>
      <w:pPr>
        <w:jc w:val="both"/>
        <w:rPr>
          <w:rFonts w:ascii="Arial" w:hAnsi="Arial" w:cs="Arial"/>
        </w:rPr>
      </w:pPr>
      <w:r>
        <w:rPr>
          <w:rFonts w:ascii="Arial" w:hAnsi="Arial" w:cs="Arial"/>
        </w:rPr>
        <w:t xml:space="preserve">Výsledkom tohto špecifického cieľa bude </w:t>
      </w:r>
      <w:r>
        <w:rPr>
          <w:rFonts w:ascii="Arial" w:hAnsi="Arial" w:cs="Arial"/>
          <w:b/>
        </w:rPr>
        <w:t xml:space="preserve">vytvorenie priaznivého prostredia pre rozvoj kreatívneho talentu a netechnologických inovácií ako stimulovanie  podpory zamestnanosti a tvorby pracovných miest v kultúrnom a kreatívnom sektore. </w:t>
      </w:r>
      <w:r>
        <w:rPr>
          <w:rFonts w:ascii="Arial" w:hAnsi="Arial" w:cs="Arial"/>
        </w:rPr>
        <w:t>Investície budú zamerané na nasledovné odvetvia: reklama a marketing,  architektúra, dizajn, módny dizajn, film, televízia, video, rádio a fotografia, umelecké vizuálne umenie,  multimediálny priemysel, vydavateľstvo, literatúra a knižný trh, hudba a scénické umenie, remeslá tradičnej, ľudovej a mestskej kultúry, trh s umením. Takéto priaznivé prostredie bude založené na rozvojovom potenciáli kultúrneho a kreatívneho priemyslu regiónov SR</w:t>
      </w:r>
      <w:r>
        <w:rPr>
          <w:rStyle w:val="Odkaznapoznmkupodiarou"/>
          <w:rFonts w:ascii="Arial" w:hAnsi="Arial" w:cs="Arial"/>
        </w:rPr>
        <w:footnoteReference w:id="52"/>
      </w:r>
      <w:r>
        <w:rPr>
          <w:rFonts w:ascii="Arial" w:hAnsi="Arial" w:cs="Arial"/>
        </w:rPr>
        <w:t xml:space="preserve"> a z toho vyplývajúcich nevyhnutných opatrení ako súčasti integrovaných územných stratégií jednotlivých regiónov SR.</w:t>
      </w:r>
    </w:p>
    <w:p>
      <w:pPr>
        <w:jc w:val="both"/>
        <w:rPr>
          <w:rFonts w:ascii="Arial" w:hAnsi="Arial" w:cs="Arial"/>
        </w:rPr>
      </w:pPr>
      <w:r>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pPr>
        <w:jc w:val="both"/>
        <w:rPr>
          <w:rFonts w:ascii="Arial" w:hAnsi="Arial" w:cs="Arial"/>
        </w:rPr>
      </w:pPr>
      <w:r>
        <w:rPr>
          <w:rFonts w:ascii="Arial" w:hAnsi="Arial" w:cs="Arial"/>
        </w:rPr>
        <w:t xml:space="preserve">V rámci tohto špecifického cieľa je zahrnutá konkrétna podpora </w:t>
      </w:r>
      <w:proofErr w:type="spellStart"/>
      <w:r>
        <w:rPr>
          <w:rFonts w:ascii="Arial" w:hAnsi="Arial" w:cs="Arial"/>
        </w:rPr>
        <w:t>kreatívcom</w:t>
      </w:r>
      <w:proofErr w:type="spellEnd"/>
      <w:r>
        <w:rPr>
          <w:rFonts w:ascii="Arial" w:hAnsi="Arial" w:cs="Arial"/>
        </w:rPr>
        <w:t>, umelcom, talentom, ktorí môžu byť v procese vzdelávania, či odbornej prípravy, ale aj neaktívnym, nezamestnaným, či dlhodobo nezamestnaným osobám, MRK, osobám v slobodnom povolaní, a tiež malým a stredným podnikom v oblasti kultúrneho priemyslu</w:t>
      </w:r>
      <w:r>
        <w:rPr>
          <w:rStyle w:val="Odkaznapoznmkupodiarou"/>
          <w:rFonts w:ascii="Arial" w:hAnsi="Arial" w:cs="Arial"/>
        </w:rPr>
        <w:footnoteReference w:id="53"/>
      </w:r>
      <w:r>
        <w:rPr>
          <w:rFonts w:ascii="Arial" w:hAnsi="Arial" w:cs="Arial"/>
        </w:rPr>
        <w:t xml:space="preserve">, či neziskovým organizáciám v oblasti KKS, organizáciám verejného a akademického sektora s najväčším kultúrnym a kreatívnym potenciálom v danom regióne. </w:t>
      </w:r>
    </w:p>
    <w:p>
      <w:pPr>
        <w:jc w:val="both"/>
        <w:rPr>
          <w:rFonts w:ascii="Arial" w:hAnsi="Arial" w:cs="Arial"/>
        </w:rPr>
      </w:pPr>
      <w:r>
        <w:rPr>
          <w:rFonts w:ascii="Arial" w:hAnsi="Arial" w:cs="Arial"/>
        </w:rPr>
        <w:t xml:space="preserve">Opatrenia im umožnia získať </w:t>
      </w:r>
      <w:r>
        <w:rPr>
          <w:rFonts w:ascii="Arial" w:hAnsi="Arial" w:cs="Arial"/>
          <w:b/>
        </w:rPr>
        <w:t xml:space="preserve">zvýhodnené pracovné priestory vrátane technologickej bázy, nové zručnosti a </w:t>
      </w:r>
      <w:proofErr w:type="spellStart"/>
      <w:r>
        <w:rPr>
          <w:rFonts w:ascii="Arial" w:hAnsi="Arial" w:cs="Arial"/>
          <w:b/>
        </w:rPr>
        <w:t>know-how</w:t>
      </w:r>
      <w:proofErr w:type="spellEnd"/>
      <w:r>
        <w:rPr>
          <w:rFonts w:ascii="Arial" w:hAnsi="Arial" w:cs="Arial"/>
          <w:b/>
        </w:rPr>
        <w:t xml:space="preserve"> pre realizáciu inovácií, nové kontakty, podnikateľskú podporu a prístup k iniciačnému kapitálu. </w:t>
      </w:r>
      <w:r>
        <w:rPr>
          <w:rFonts w:ascii="Arial" w:hAnsi="Arial" w:cs="Arial"/>
        </w:rPr>
        <w:t>Zároveň tieto opatrenia umožnia podporu sociálnej inklúzie prostredníctvom podpory MRK a osôb zo znevýhodneného prostredia.</w:t>
      </w:r>
    </w:p>
    <w:p>
      <w:pPr>
        <w:jc w:val="both"/>
        <w:rPr>
          <w:rFonts w:ascii="Times New Roman" w:hAnsi="Times New Roman"/>
          <w:sz w:val="24"/>
          <w:szCs w:val="24"/>
          <w:lang w:eastAsia="sk-SK"/>
        </w:rPr>
      </w:pPr>
      <w:r>
        <w:rPr>
          <w:rFonts w:ascii="Arial" w:hAnsi="Arial" w:cs="Arial"/>
        </w:rPr>
        <w:lastRenderedPageBreak/>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efektívne spolupracovať, vytvárať nové koncepty produktov a služieb. Celkovo sa umožní </w:t>
      </w:r>
      <w:r>
        <w:rPr>
          <w:rFonts w:ascii="Arial" w:hAnsi="Arial" w:cs="Arial"/>
          <w:b/>
        </w:rPr>
        <w:t>profesionalizácia pracovného prostredia fyzických osôb a subjektov v KKS.</w:t>
      </w:r>
    </w:p>
    <w:p>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red"/>
              </w:rPr>
            </w:pPr>
            <w:r>
              <w:rPr>
                <w:rFonts w:ascii="Arial" w:hAnsi="Arial" w:cs="Arial"/>
                <w:sz w:val="16"/>
                <w:szCs w:val="16"/>
              </w:rPr>
              <w:t>Počet pracovných miest</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140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420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pracovných miest</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5"/>
        <w:shd w:val="clear" w:color="auto" w:fill="B8C1E9"/>
        <w:rPr>
          <w:rFonts w:ascii="Arial" w:hAnsi="Arial" w:cs="Arial"/>
          <w:color w:val="auto"/>
        </w:rPr>
      </w:pPr>
      <w:bookmarkStart w:id="50" w:name="_Toc387651826"/>
      <w:r>
        <w:rPr>
          <w:rFonts w:ascii="Arial" w:hAnsi="Arial" w:cs="Arial"/>
          <w:color w:val="auto"/>
        </w:rPr>
        <w:t>Akcia, ktorá sa má podporiť  v rámci investičnej priority</w:t>
      </w:r>
      <w:bookmarkEnd w:id="50"/>
    </w:p>
    <w:p>
      <w:pPr>
        <w:pStyle w:val="Nadpis6"/>
        <w:rPr>
          <w:rFonts w:ascii="Arial" w:hAnsi="Arial" w:cs="Arial"/>
          <w:color w:val="auto"/>
        </w:rPr>
      </w:pPr>
      <w:bookmarkStart w:id="51" w:name="_Toc387651827"/>
      <w:r>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51"/>
    </w:p>
    <w:p>
      <w:pPr>
        <w:spacing w:before="120"/>
        <w:jc w:val="both"/>
        <w:rPr>
          <w:rFonts w:ascii="Arial" w:hAnsi="Arial" w:cs="Arial"/>
        </w:rPr>
      </w:pPr>
      <w:r>
        <w:rPr>
          <w:rFonts w:ascii="Arial" w:hAnsi="Arial" w:cs="Arial"/>
          <w:b/>
        </w:rPr>
        <w:t xml:space="preserve">Špecifický cieľ č. 3.1 </w:t>
      </w:r>
      <w:r>
        <w:rPr>
          <w:rFonts w:ascii="Arial" w:hAnsi="Arial" w:cs="Arial"/>
        </w:rPr>
        <w:t>sa dosiahne realizáciou nasledovných aktivít:</w:t>
      </w:r>
    </w:p>
    <w:p>
      <w:pPr>
        <w:jc w:val="both"/>
      </w:pPr>
      <w:r>
        <w:rPr>
          <w:rFonts w:ascii="Arial" w:hAnsi="Arial" w:cs="Arial"/>
          <w:u w:val="single"/>
        </w:rPr>
        <w:t>1) Rozvoj kreatívneho talentu, jeho podnikateľského ducha a podpora netechnologických inovácií s použitím informačných technológií</w:t>
      </w:r>
    </w:p>
    <w:p>
      <w:pPr>
        <w:jc w:val="both"/>
        <w:rPr>
          <w:rFonts w:ascii="Arial" w:hAnsi="Arial" w:cs="Arial"/>
        </w:rPr>
      </w:pPr>
      <w:r>
        <w:rPr>
          <w:rFonts w:ascii="Arial" w:hAnsi="Arial" w:cs="Arial"/>
        </w:rPr>
        <w:t>Rozvoj kreatívneho talentu, jeho podnikateľského ducha a podpora netechnologických inovácií s použitím informačných technológií bude zabezpečená</w:t>
      </w:r>
      <w:r>
        <w:rPr>
          <w:rFonts w:ascii="Arial" w:hAnsi="Arial" w:cs="Arial"/>
          <w:b/>
        </w:rPr>
        <w:t xml:space="preserve"> </w:t>
      </w:r>
      <w:r>
        <w:rPr>
          <w:rFonts w:ascii="Arial" w:hAnsi="Arial" w:cs="Arial"/>
        </w:rPr>
        <w:t>prostredníctvom</w:t>
      </w:r>
      <w:r>
        <w:rPr>
          <w:rFonts w:ascii="Arial" w:hAnsi="Arial" w:cs="Arial"/>
          <w:b/>
        </w:rPr>
        <w:t xml:space="preserve"> zakladania kreatívnych centier </w:t>
      </w:r>
      <w:r>
        <w:rPr>
          <w:rFonts w:ascii="Arial" w:hAnsi="Arial" w:cs="Arial"/>
        </w:rPr>
        <w:t xml:space="preserve">a podpory kreatívnych činností. Kreatívne centrum bude inštitúciou, ktorá bude vytvárať organizačnú a podnikateľskú kultúru a bude umožňovať nasledujúce služby kreatívnym osobám a subjektom: </w:t>
      </w:r>
    </w:p>
    <w:p>
      <w:pPr>
        <w:ind w:left="708"/>
        <w:jc w:val="both"/>
        <w:rPr>
          <w:rFonts w:ascii="Arial" w:hAnsi="Arial" w:cs="Arial"/>
        </w:rPr>
      </w:pPr>
      <w:r>
        <w:rPr>
          <w:rFonts w:ascii="Arial" w:hAnsi="Arial" w:cs="Arial"/>
          <w:b/>
        </w:rPr>
        <w:t>Služby</w:t>
      </w:r>
      <w:r>
        <w:rPr>
          <w:rFonts w:ascii="Arial" w:hAnsi="Arial" w:cs="Arial"/>
        </w:rPr>
        <w:t xml:space="preserve"> </w:t>
      </w:r>
      <w:r>
        <w:rPr>
          <w:rFonts w:ascii="Arial" w:hAnsi="Arial" w:cs="Arial"/>
          <w:b/>
        </w:rPr>
        <w:t xml:space="preserve">otvoreného </w:t>
      </w:r>
      <w:proofErr w:type="spellStart"/>
      <w:r>
        <w:rPr>
          <w:rFonts w:ascii="Arial" w:hAnsi="Arial" w:cs="Arial"/>
          <w:b/>
        </w:rPr>
        <w:t>ateliéra</w:t>
      </w:r>
      <w:proofErr w:type="spellEnd"/>
      <w:r>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pPr>
        <w:ind w:left="708"/>
        <w:jc w:val="both"/>
        <w:rPr>
          <w:rFonts w:ascii="Arial" w:hAnsi="Arial" w:cs="Arial"/>
        </w:rPr>
      </w:pPr>
      <w:r>
        <w:rPr>
          <w:rFonts w:ascii="Arial" w:hAnsi="Arial" w:cs="Arial"/>
          <w:b/>
        </w:rPr>
        <w:t>Služby kreatívneho inkubátora</w:t>
      </w:r>
      <w:r>
        <w:rPr>
          <w:rFonts w:ascii="Arial" w:hAnsi="Arial" w:cs="Arial"/>
        </w:rPr>
        <w:t xml:space="preserve"> zabezpečuje</w:t>
      </w:r>
      <w:r>
        <w:rPr>
          <w:rFonts w:ascii="Arial" w:hAnsi="Arial" w:cs="Arial"/>
          <w:b/>
        </w:rPr>
        <w:t xml:space="preserve"> </w:t>
      </w:r>
      <w:r>
        <w:rPr>
          <w:rFonts w:ascii="Arial" w:hAnsi="Arial" w:cs="Arial"/>
        </w:rPr>
        <w:t>manažment inkubačných aktivít ako podporu budúcim kreatívnym podnikateľom, umelcom, tretiemu sektoru, absolventom SŠ a VŠ, ale aj neaktívnym, nezamestnaným, či dlhodobo nezamestnaným osobám, MRK s cieľom vstupu na trh a realizáciu ich biznis a umeleckých nápadov. Pre nich bude kreatívny inkubátor poskytovať priestor, technologické vybavenie a manažment vrátane odborného a podnikateľského poradenstva.</w:t>
      </w:r>
      <w:r>
        <w:rPr>
          <w:rFonts w:ascii="Arial" w:hAnsi="Arial" w:cs="Arial"/>
          <w:b/>
        </w:rPr>
        <w:t xml:space="preserve"> </w:t>
      </w:r>
      <w:r>
        <w:rPr>
          <w:rFonts w:ascii="Arial" w:hAnsi="Arial" w:cs="Arial"/>
        </w:rPr>
        <w:t xml:space="preserve">Špecificky sa bude inkubátor zameriavať na počiatočnú fázu budúceho podniku, bude podporovať inovatívne myšlienky od počiatku až po fázu „dospievania“ a opustenia inkubátora. Bude podporovať rozvoj konceptov nielen z umeleckého hľadiska, ale aj z hľadiska ekonomického potenciálu a s využitím IKT. Budúci podnikatelia tu získajú formou </w:t>
      </w:r>
      <w:proofErr w:type="spellStart"/>
      <w:r>
        <w:rPr>
          <w:rFonts w:ascii="Arial" w:hAnsi="Arial" w:cs="Arial"/>
        </w:rPr>
        <w:t>workshopov</w:t>
      </w:r>
      <w:proofErr w:type="spellEnd"/>
      <w:r>
        <w:rPr>
          <w:rFonts w:ascii="Arial" w:hAnsi="Arial" w:cs="Arial"/>
        </w:rPr>
        <w:t xml:space="preserve"> a </w:t>
      </w:r>
      <w:proofErr w:type="spellStart"/>
      <w:r>
        <w:rPr>
          <w:rFonts w:ascii="Arial" w:hAnsi="Arial" w:cs="Arial"/>
        </w:rPr>
        <w:t>mentoringu</w:t>
      </w:r>
      <w:proofErr w:type="spellEnd"/>
      <w:r>
        <w:rPr>
          <w:rFonts w:ascii="Arial" w:hAnsi="Arial" w:cs="Arial"/>
        </w:rPr>
        <w:t xml:space="preserve"> odborné znalosti a zručnosti (prostredníctvom služieb </w:t>
      </w:r>
      <w:r>
        <w:rPr>
          <w:rFonts w:ascii="Arial" w:hAnsi="Arial" w:cs="Arial"/>
        </w:rPr>
        <w:lastRenderedPageBreak/>
        <w:t>otvoreného ateliéru) a základné podnikateľské zručnosti t. j. budú sa učiť princípom rozpočtovania projektov, prípravy biznis plánov, profesionálneho prístupu v podnikaní, marketingu, ale aj veľmi špecifickým podnikateľským princípom v určitých kreatívnych odvetviach apod.</w:t>
      </w:r>
      <w:r>
        <w:rPr>
          <w:rFonts w:ascii="Arial" w:hAnsi="Arial" w:cs="Arial"/>
          <w:b/>
        </w:rPr>
        <w:t xml:space="preserve"> </w:t>
      </w:r>
      <w:r>
        <w:rPr>
          <w:rFonts w:ascii="Arial" w:hAnsi="Arial" w:cs="Arial"/>
        </w:rPr>
        <w:t xml:space="preserve">Umelecký inkubátor bude slúžiť ako </w:t>
      </w:r>
      <w:proofErr w:type="spellStart"/>
      <w:r>
        <w:rPr>
          <w:rFonts w:ascii="Arial" w:hAnsi="Arial" w:cs="Arial"/>
        </w:rPr>
        <w:t>integratívne</w:t>
      </w:r>
      <w:proofErr w:type="spellEnd"/>
      <w:r>
        <w:rPr>
          <w:rFonts w:ascii="Arial" w:hAnsi="Arial" w:cs="Arial"/>
        </w:rPr>
        <w:t xml:space="preserve"> prostredie pre ľudí z oblasti kultúry, umenia a biznisu. </w:t>
      </w:r>
    </w:p>
    <w:p>
      <w:pPr>
        <w:ind w:left="708"/>
        <w:jc w:val="both"/>
        <w:rPr>
          <w:rFonts w:ascii="Arial" w:hAnsi="Arial" w:cs="Arial"/>
        </w:rPr>
      </w:pPr>
      <w:proofErr w:type="spellStart"/>
      <w:r>
        <w:rPr>
          <w:rFonts w:ascii="Arial" w:hAnsi="Arial" w:cs="Arial"/>
          <w:b/>
        </w:rPr>
        <w:t>Networkingové</w:t>
      </w:r>
      <w:proofErr w:type="spellEnd"/>
      <w:r>
        <w:rPr>
          <w:rFonts w:ascii="Arial" w:hAnsi="Arial" w:cs="Arial"/>
          <w:b/>
        </w:rPr>
        <w:t xml:space="preserve"> služby (sieťovanie) </w:t>
      </w:r>
      <w:r>
        <w:rPr>
          <w:rFonts w:ascii="Arial" w:hAnsi="Arial" w:cs="Arial"/>
        </w:rPr>
        <w:t xml:space="preserve"> – predstavujú aktivity zamerané na prepájanie aktérov kreatívneho centra s vonkajším prostredím, spoluprácu naprieč sektormi, zvyšovanie atraktivity  regiónov pre príchod medzinárodného kreatívneho talentu, výmenu skúseností a prenos poznatkov vrátane medzinárodnej spolupráce.</w:t>
      </w:r>
    </w:p>
    <w:p>
      <w:pPr>
        <w:ind w:left="708"/>
        <w:jc w:val="both"/>
        <w:rPr>
          <w:rFonts w:ascii="Arial" w:hAnsi="Arial" w:cs="Arial"/>
          <w:b/>
        </w:rPr>
      </w:pPr>
      <w:r>
        <w:rPr>
          <w:rFonts w:ascii="Arial" w:hAnsi="Arial" w:cs="Arial"/>
          <w:b/>
        </w:rPr>
        <w:t xml:space="preserve">Služby zvýhodneného dlhodobého prenájmu pracovného priestoru a technológií </w:t>
      </w:r>
      <w:r>
        <w:rPr>
          <w:rFonts w:ascii="Arial" w:hAnsi="Arial" w:cs="Arial"/>
        </w:rPr>
        <w:t>–</w:t>
      </w:r>
      <w:r>
        <w:rPr>
          <w:rFonts w:ascii="Arial" w:hAnsi="Arial" w:cs="Arial"/>
          <w:b/>
        </w:rPr>
        <w:t xml:space="preserve"> </w:t>
      </w:r>
      <w:r>
        <w:rPr>
          <w:rFonts w:ascii="Arial" w:hAnsi="Arial" w:cs="Arial"/>
        </w:rPr>
        <w:t>umožnia profesionalizáciu a stabilizáciu pracovného prostredia pre subjekty z KKS s cieľom tvorby nových pracovných miest, synergiu a spoluprácu medzi organizáciami a subjektmi KKS</w:t>
      </w:r>
      <w:r>
        <w:rPr>
          <w:rFonts w:ascii="Arial" w:hAnsi="Arial" w:cs="Arial"/>
          <w:b/>
        </w:rPr>
        <w:t xml:space="preserve"> </w:t>
      </w:r>
      <w:r>
        <w:rPr>
          <w:rFonts w:ascii="Arial" w:hAnsi="Arial" w:cs="Arial"/>
        </w:rPr>
        <w:t>v rámci prostredia kreatívneho centra.</w:t>
      </w:r>
      <w:r>
        <w:rPr>
          <w:rFonts w:ascii="Arial" w:hAnsi="Arial" w:cs="Arial"/>
          <w:b/>
        </w:rPr>
        <w:t xml:space="preserve"> </w:t>
      </w:r>
    </w:p>
    <w:p>
      <w:pPr>
        <w:ind w:left="708"/>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 xml:space="preserve">ktorá bude zahŕňať priestory ako experimentálna umelecká a kreatívna zóna, konzultačné priestory, </w:t>
      </w:r>
      <w:proofErr w:type="spellStart"/>
      <w:r>
        <w:rPr>
          <w:rFonts w:ascii="Arial" w:hAnsi="Arial" w:cs="Arial"/>
        </w:rPr>
        <w:t>co-working</w:t>
      </w:r>
      <w:proofErr w:type="spellEnd"/>
      <w:r>
        <w:rPr>
          <w:rFonts w:ascii="Arial" w:hAnsi="Arial" w:cs="Arial"/>
        </w:rPr>
        <w:t xml:space="preserve"> kancelárie a umelecké a produkčné štúdiá, dielne, ateliéry s technologickým vybavením (IKT, zriadenie dielní ako </w:t>
      </w:r>
      <w:proofErr w:type="spellStart"/>
      <w:r>
        <w:rPr>
          <w:rFonts w:ascii="Arial" w:hAnsi="Arial" w:cs="Arial"/>
        </w:rPr>
        <w:t>fablab</w:t>
      </w:r>
      <w:proofErr w:type="spellEnd"/>
      <w:r>
        <w:rPr>
          <w:rFonts w:ascii="Arial" w:hAnsi="Arial" w:cs="Arial"/>
        </w:rPr>
        <w:t xml:space="preserve"> – (2D, 3D roboti), </w:t>
      </w:r>
      <w:proofErr w:type="spellStart"/>
      <w:r>
        <w:rPr>
          <w:rFonts w:ascii="Arial" w:hAnsi="Arial" w:cs="Arial"/>
        </w:rPr>
        <w:t>laser-cut-scénické</w:t>
      </w:r>
      <w:proofErr w:type="spellEnd"/>
      <w:r>
        <w:rPr>
          <w:rFonts w:ascii="Arial" w:hAnsi="Arial" w:cs="Arial"/>
        </w:rPr>
        <w:t xml:space="preserve"> vybavenie, </w:t>
      </w:r>
      <w:proofErr w:type="spellStart"/>
      <w:r>
        <w:rPr>
          <w:rFonts w:ascii="Arial" w:hAnsi="Arial" w:cs="Arial"/>
        </w:rPr>
        <w:t>diy</w:t>
      </w:r>
      <w:proofErr w:type="spellEnd"/>
      <w:r>
        <w:rPr>
          <w:rFonts w:ascii="Arial" w:hAnsi="Arial" w:cs="Arial"/>
        </w:rPr>
        <w:t xml:space="preserve"> vybavenie, </w:t>
      </w:r>
      <w:proofErr w:type="spellStart"/>
      <w:r>
        <w:rPr>
          <w:rFonts w:ascii="Arial" w:hAnsi="Arial" w:cs="Arial"/>
        </w:rPr>
        <w:t>digitallab</w:t>
      </w:r>
      <w:proofErr w:type="spellEnd"/>
      <w:r>
        <w:rPr>
          <w:rFonts w:ascii="Arial" w:hAnsi="Arial" w:cs="Arial"/>
        </w:rPr>
        <w:t xml:space="preserve"> – multimediálne, vybavenie, </w:t>
      </w:r>
      <w:proofErr w:type="spellStart"/>
      <w:r>
        <w:rPr>
          <w:rFonts w:ascii="Arial" w:hAnsi="Arial" w:cs="Arial"/>
        </w:rPr>
        <w:t>soundlab</w:t>
      </w:r>
      <w:proofErr w:type="spellEnd"/>
      <w:r>
        <w:rPr>
          <w:rFonts w:ascii="Arial" w:hAnsi="Arial" w:cs="Arial"/>
        </w:rPr>
        <w:t xml:space="preserve"> – zvukové vybavenie, </w:t>
      </w:r>
      <w:proofErr w:type="spellStart"/>
      <w:r>
        <w:rPr>
          <w:rFonts w:ascii="Arial" w:hAnsi="Arial" w:cs="Arial"/>
        </w:rPr>
        <w:t>foodlab</w:t>
      </w:r>
      <w:proofErr w:type="spellEnd"/>
      <w:r>
        <w:rPr>
          <w:rFonts w:ascii="Arial" w:hAnsi="Arial" w:cs="Arial"/>
        </w:rPr>
        <w:t>, vybavenie pre prácu s textilom a pod.), seminárne a konferenčné priestory</w:t>
      </w:r>
      <w:r>
        <w:rPr>
          <w:rFonts w:ascii="Arial" w:hAnsi="Arial" w:cs="Arial"/>
          <w:b/>
        </w:rPr>
        <w:t xml:space="preserve">. </w:t>
      </w:r>
      <w:r>
        <w:rPr>
          <w:rFonts w:ascii="Arial" w:hAnsi="Arial" w:cs="Arial"/>
        </w:rPr>
        <w:t>Táto infraštruktúra bude k dispozícii jednak</w:t>
      </w:r>
      <w:r>
        <w:rPr>
          <w:rFonts w:ascii="Arial" w:hAnsi="Arial" w:cs="Arial"/>
          <w:b/>
        </w:rPr>
        <w:t xml:space="preserve"> </w:t>
      </w:r>
      <w:r>
        <w:rPr>
          <w:rFonts w:ascii="Arial" w:hAnsi="Arial" w:cs="Arial"/>
        </w:rPr>
        <w:t>účastníkom inkubačných aktivít počas doby „</w:t>
      </w:r>
      <w:proofErr w:type="spellStart"/>
      <w:r>
        <w:rPr>
          <w:rFonts w:ascii="Arial" w:hAnsi="Arial" w:cs="Arial"/>
        </w:rPr>
        <w:t>inkubovania</w:t>
      </w:r>
      <w:proofErr w:type="spellEnd"/>
      <w:r>
        <w:rPr>
          <w:rFonts w:ascii="Arial" w:hAnsi="Arial" w:cs="Arial"/>
        </w:rPr>
        <w: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ako je napríklad dizajn.</w:t>
      </w:r>
    </w:p>
    <w:p>
      <w:pPr>
        <w:ind w:left="708"/>
        <w:jc w:val="both"/>
        <w:rPr>
          <w:rFonts w:ascii="Arial" w:hAnsi="Arial" w:cs="Arial"/>
        </w:rPr>
      </w:pPr>
      <w:r>
        <w:rPr>
          <w:rFonts w:ascii="Arial" w:hAnsi="Arial" w:cs="Arial"/>
          <w:b/>
        </w:rPr>
        <w:t xml:space="preserve">Služby zvýhodneného krátkodobého prenájmu pracovného priestoru a technológií </w:t>
      </w:r>
      <w:r>
        <w:rPr>
          <w:rFonts w:ascii="Arial" w:hAnsi="Arial" w:cs="Arial"/>
        </w:rPr>
        <w:t>–</w:t>
      </w:r>
      <w:r>
        <w:rPr>
          <w:rFonts w:ascii="Arial" w:hAnsi="Arial" w:cs="Arial"/>
          <w:b/>
        </w:rPr>
        <w:t xml:space="preserve"> </w:t>
      </w:r>
      <w:r>
        <w:rPr>
          <w:rFonts w:ascii="Arial" w:hAnsi="Arial" w:cs="Arial"/>
        </w:rPr>
        <w:t xml:space="preserve">umožnia zvýhodnený prístup k najmodernejším technológiám, ktoré sú často finančne nedostupné pre subjekty KKS. Tiež sprostredkuje príležitosti na krátkodobé prenajímanie priestorov ako sú priestory pre uskutočnenie rôznych porád, konferencií, či prezentačných priestorov pre subjekty KKS. </w:t>
      </w:r>
    </w:p>
    <w:p>
      <w:pPr>
        <w:ind w:left="708"/>
        <w:jc w:val="both"/>
        <w:rPr>
          <w:rFonts w:ascii="Arial" w:hAnsi="Arial" w:cs="Arial"/>
        </w:rPr>
      </w:pPr>
      <w:r>
        <w:rPr>
          <w:rFonts w:ascii="Arial" w:hAnsi="Arial" w:cs="Arial"/>
          <w:b/>
        </w:rPr>
        <w:t xml:space="preserve">Komerčné prenájmy </w:t>
      </w:r>
      <w:r>
        <w:rPr>
          <w:rFonts w:ascii="Arial" w:hAnsi="Arial" w:cs="Arial"/>
        </w:rPr>
        <w:t>–</w:t>
      </w:r>
      <w:r>
        <w:rPr>
          <w:rFonts w:ascii="Arial" w:hAnsi="Arial" w:cs="Arial"/>
          <w:b/>
        </w:rPr>
        <w:t xml:space="preserve"> </w:t>
      </w:r>
      <w:r>
        <w:rPr>
          <w:rFonts w:ascii="Arial" w:hAnsi="Arial" w:cs="Arial"/>
        </w:rPr>
        <w:t xml:space="preserve">budú realizované s cieľom udržateľnosti vybudovanej infraštruktúry. </w:t>
      </w:r>
    </w:p>
    <w:p>
      <w:pPr>
        <w:jc w:val="both"/>
        <w:rPr>
          <w:rFonts w:ascii="Arial" w:hAnsi="Arial" w:cs="Arial"/>
          <w:u w:val="single"/>
        </w:rPr>
      </w:pPr>
      <w:r>
        <w:rPr>
          <w:rFonts w:ascii="Arial" w:hAnsi="Arial" w:cs="Arial"/>
          <w:u w:val="single"/>
        </w:rPr>
        <w:t>2) Podpora dopytu po kreatívnej tvorbe tzv. nových talentov (</w:t>
      </w:r>
      <w:proofErr w:type="spellStart"/>
      <w:r>
        <w:rPr>
          <w:rFonts w:ascii="Arial" w:hAnsi="Arial" w:cs="Arial"/>
          <w:i/>
          <w:u w:val="single"/>
        </w:rPr>
        <w:t>emerging</w:t>
      </w:r>
      <w:proofErr w:type="spellEnd"/>
      <w:r>
        <w:rPr>
          <w:rFonts w:ascii="Arial" w:hAnsi="Arial" w:cs="Arial"/>
          <w:i/>
          <w:u w:val="single"/>
        </w:rPr>
        <w:t xml:space="preserve"> </w:t>
      </w:r>
      <w:proofErr w:type="spellStart"/>
      <w:r>
        <w:rPr>
          <w:rFonts w:ascii="Arial" w:hAnsi="Arial" w:cs="Arial"/>
          <w:i/>
          <w:u w:val="single"/>
        </w:rPr>
        <w:t>talents</w:t>
      </w:r>
      <w:proofErr w:type="spellEnd"/>
      <w:r>
        <w:rPr>
          <w:rFonts w:ascii="Arial" w:hAnsi="Arial" w:cs="Arial"/>
          <w:u w:val="single"/>
        </w:rPr>
        <w:t>) v podporených kreatívnych centrách</w:t>
      </w:r>
    </w:p>
    <w:p>
      <w:pPr>
        <w:jc w:val="both"/>
        <w:rPr>
          <w:rFonts w:ascii="Arial" w:hAnsi="Arial" w:cs="Arial"/>
        </w:rPr>
      </w:pPr>
      <w:r>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Pr>
          <w:rFonts w:ascii="Arial" w:hAnsi="Arial" w:cs="Arial"/>
          <w:b/>
        </w:rPr>
        <w:t>špecifický druh propagačných aktivít</w:t>
      </w:r>
      <w:r>
        <w:rPr>
          <w:rFonts w:ascii="Arial" w:hAnsi="Arial" w:cs="Arial"/>
        </w:rPr>
        <w:t xml:space="preserve"> od výstavno-prezentačnej činnosti nekomerčného charakteru, osvetovú činnosť, služby zákazníkom,   zvyšovanie povedomia o kultúrnom a kreatívnom priemysle (konferencie, </w:t>
      </w:r>
      <w:proofErr w:type="spellStart"/>
      <w:r>
        <w:rPr>
          <w:rFonts w:ascii="Arial" w:hAnsi="Arial" w:cs="Arial"/>
        </w:rPr>
        <w:t>workshopy</w:t>
      </w:r>
      <w:proofErr w:type="spellEnd"/>
      <w:r>
        <w:rPr>
          <w:rFonts w:ascii="Arial" w:hAnsi="Arial" w:cs="Arial"/>
        </w:rPr>
        <w:t>, kampane, prehliadky, nie však samostatné festivaly, či podobné aktivity bez jasného prepojenia s činnosťou kreatívnych centier),  cielená podpora výkonu koordinovanej a kontinuálnej</w:t>
      </w:r>
      <w:r>
        <w:rPr>
          <w:rFonts w:ascii="Arial" w:hAnsi="Arial" w:cs="Arial"/>
          <w:b/>
        </w:rPr>
        <w:t xml:space="preserve"> </w:t>
      </w:r>
      <w:r>
        <w:rPr>
          <w:rFonts w:ascii="Arial" w:hAnsi="Arial" w:cs="Arial"/>
        </w:rPr>
        <w:t xml:space="preserve">propagácie výsledkov činností KKS so zameraním na slovenský trh aj na </w:t>
      </w:r>
      <w:r>
        <w:rPr>
          <w:rFonts w:ascii="Arial" w:hAnsi="Arial" w:cs="Arial"/>
        </w:rPr>
        <w:lastRenderedPageBreak/>
        <w:t>medzinárodný kontext v synergii a </w:t>
      </w:r>
      <w:proofErr w:type="spellStart"/>
      <w:r>
        <w:rPr>
          <w:rFonts w:ascii="Arial" w:hAnsi="Arial" w:cs="Arial"/>
        </w:rPr>
        <w:t>komplementarite</w:t>
      </w:r>
      <w:proofErr w:type="spellEnd"/>
      <w:r>
        <w:rPr>
          <w:rFonts w:ascii="Arial" w:hAnsi="Arial" w:cs="Arial"/>
        </w:rPr>
        <w:t xml:space="preserve"> s OP </w:t>
      </w:r>
      <w:proofErr w:type="spellStart"/>
      <w:r>
        <w:rPr>
          <w:rFonts w:ascii="Arial" w:hAnsi="Arial" w:cs="Arial"/>
        </w:rPr>
        <w:t>VaI</w:t>
      </w:r>
      <w:proofErr w:type="spellEnd"/>
      <w:r>
        <w:rPr>
          <w:rFonts w:ascii="Arial" w:hAnsi="Arial" w:cs="Arial"/>
        </w:rPr>
        <w:t xml:space="preserve">. Súčasťou bude aj vybudovanie výstavných, prezentačných a distribučných priestorov. </w:t>
      </w:r>
    </w:p>
    <w:p>
      <w:pPr>
        <w:jc w:val="both"/>
        <w:rPr>
          <w:rFonts w:ascii="Arial" w:hAnsi="Arial" w:cs="Arial"/>
          <w:u w:val="single"/>
        </w:rPr>
      </w:pPr>
      <w:r>
        <w:rPr>
          <w:rFonts w:ascii="Arial" w:hAnsi="Arial" w:cs="Arial"/>
          <w:u w:val="single"/>
        </w:rPr>
        <w:t>3) Finančné nástroje</w:t>
      </w:r>
    </w:p>
    <w:p>
      <w:pPr>
        <w:spacing w:after="60" w:line="240" w:lineRule="auto"/>
        <w:jc w:val="both"/>
        <w:rPr>
          <w:rFonts w:ascii="Arial" w:hAnsi="Arial" w:cs="Arial"/>
          <w:bCs/>
        </w:rPr>
      </w:pPr>
      <w:r>
        <w:rPr>
          <w:rFonts w:ascii="Arial" w:hAnsi="Arial" w:cs="Arial"/>
        </w:rPr>
        <w:t xml:space="preserve">Poskytovanie </w:t>
      </w:r>
      <w:r>
        <w:rPr>
          <w:rFonts w:ascii="Arial" w:hAnsi="Arial" w:cs="Arial"/>
          <w:b/>
        </w:rPr>
        <w:t>mikropôžičiek</w:t>
      </w:r>
      <w:r>
        <w:rPr>
          <w:rFonts w:ascii="Arial" w:hAnsi="Arial" w:cs="Arial"/>
        </w:rPr>
        <w:t xml:space="preserve"> na </w:t>
      </w:r>
      <w:r>
        <w:rPr>
          <w:rFonts w:ascii="Arial" w:hAnsi="Arial" w:cs="Arial"/>
          <w:bCs/>
        </w:rPr>
        <w:t>obstaranie hmotného a nehmotného majetku pre osoby v slobodnom povolaní a</w:t>
      </w:r>
      <w:r>
        <w:rPr>
          <w:rFonts w:ascii="Arial" w:hAnsi="Arial" w:cs="Arial"/>
        </w:rPr>
        <w:t xml:space="preserve"> MSP v kultúrnom priemysle</w:t>
      </w:r>
      <w:r>
        <w:rPr>
          <w:rStyle w:val="Odkaznapoznmkupodiarou"/>
          <w:rFonts w:ascii="Arial" w:hAnsi="Arial" w:cs="Arial"/>
        </w:rPr>
        <w:footnoteReference w:id="54"/>
      </w:r>
      <w:r>
        <w:rPr>
          <w:rFonts w:ascii="Arial" w:hAnsi="Arial" w:cs="Arial"/>
        </w:rPr>
        <w:t xml:space="preserve"> </w:t>
      </w:r>
      <w:r>
        <w:rPr>
          <w:rFonts w:ascii="Arial" w:hAnsi="Arial" w:cs="Arial"/>
          <w:bCs/>
        </w:rPr>
        <w:t>pre účely tvorby  pracovných miest</w:t>
      </w:r>
      <w:r>
        <w:rPr>
          <w:rFonts w:ascii="Arial" w:hAnsi="Arial" w:cs="Arial"/>
        </w:rPr>
        <w:t xml:space="preserve"> </w:t>
      </w:r>
    </w:p>
    <w:p>
      <w:pPr>
        <w:jc w:val="both"/>
        <w:rPr>
          <w:rFonts w:ascii="Arial" w:hAnsi="Arial" w:cs="Arial"/>
        </w:rPr>
      </w:pPr>
    </w:p>
    <w:p>
      <w:pPr>
        <w:jc w:val="both"/>
        <w:rPr>
          <w:rFonts w:ascii="Arial" w:hAnsi="Arial" w:cs="Arial"/>
        </w:rPr>
      </w:pPr>
      <w:r>
        <w:rPr>
          <w:rFonts w:ascii="Arial" w:hAnsi="Arial" w:cs="Arial"/>
        </w:rPr>
        <w:t xml:space="preserve">4) </w:t>
      </w:r>
      <w:r>
        <w:rPr>
          <w:rFonts w:ascii="Arial" w:hAnsi="Arial" w:cs="Arial"/>
          <w:u w:val="single"/>
        </w:rPr>
        <w:t>Poskytovanie nenávratnej finančnej pomoci</w:t>
      </w:r>
    </w:p>
    <w:p>
      <w:pPr>
        <w:jc w:val="both"/>
        <w:rPr>
          <w:rFonts w:ascii="Arial" w:hAnsi="Arial" w:cs="Arial"/>
        </w:rPr>
      </w:pPr>
      <w:r>
        <w:rPr>
          <w:rFonts w:ascii="Arial" w:hAnsi="Arial" w:cs="Arial"/>
        </w:rPr>
        <w:t xml:space="preserve">Poskytovanie </w:t>
      </w:r>
      <w:r>
        <w:rPr>
          <w:rFonts w:ascii="Arial" w:hAnsi="Arial" w:cs="Arial"/>
          <w:b/>
        </w:rPr>
        <w:t>grantov</w:t>
      </w:r>
      <w:r>
        <w:rPr>
          <w:rFonts w:ascii="Arial" w:hAnsi="Arial" w:cs="Arial"/>
        </w:rPr>
        <w:t xml:space="preserve"> na podporu rozvoja  subjektov v KKS a to konkrétne pre: </w:t>
      </w:r>
    </w:p>
    <w:p>
      <w:pPr>
        <w:pStyle w:val="Odsekzoznamu"/>
        <w:numPr>
          <w:ilvl w:val="0"/>
          <w:numId w:val="77"/>
        </w:numPr>
        <w:tabs>
          <w:tab w:val="left" w:pos="426"/>
        </w:tabs>
        <w:spacing w:after="60" w:line="240" w:lineRule="auto"/>
        <w:jc w:val="both"/>
        <w:rPr>
          <w:rFonts w:ascii="Arial" w:hAnsi="Arial" w:cs="Arial"/>
          <w:bCs/>
        </w:rPr>
      </w:pPr>
      <w:r>
        <w:rPr>
          <w:rFonts w:ascii="Arial" w:hAnsi="Arial" w:cs="Arial"/>
          <w:bCs/>
        </w:rPr>
        <w:t xml:space="preserve">obstaranie hmotného a nehmotného majetku pre osoby v slobodnom povolaní, </w:t>
      </w:r>
      <w:proofErr w:type="spellStart"/>
      <w:r>
        <w:rPr>
          <w:rFonts w:ascii="Arial" w:hAnsi="Arial" w:cs="Arial"/>
          <w:bCs/>
        </w:rPr>
        <w:t>mikro</w:t>
      </w:r>
      <w:proofErr w:type="spellEnd"/>
      <w:r>
        <w:rPr>
          <w:rFonts w:ascii="Arial" w:hAnsi="Arial" w:cs="Arial"/>
          <w:bCs/>
        </w:rPr>
        <w:t xml:space="preserve"> a malých podnikov </w:t>
      </w:r>
      <w:r>
        <w:rPr>
          <w:rFonts w:ascii="Arial" w:hAnsi="Arial" w:cs="Arial"/>
        </w:rPr>
        <w:t>v kultúrnom priemysle</w:t>
      </w:r>
      <w:r>
        <w:rPr>
          <w:rFonts w:ascii="Arial" w:hAnsi="Arial" w:cs="Arial"/>
          <w:bCs/>
        </w:rPr>
        <w:t xml:space="preserve"> pre účely tvorby  pracovných miest,</w:t>
      </w:r>
    </w:p>
    <w:p>
      <w:pPr>
        <w:pStyle w:val="Odsekzoznamu"/>
        <w:numPr>
          <w:ilvl w:val="0"/>
          <w:numId w:val="77"/>
        </w:numPr>
        <w:tabs>
          <w:tab w:val="left" w:pos="426"/>
        </w:tabs>
        <w:spacing w:after="60" w:line="240" w:lineRule="auto"/>
        <w:jc w:val="both"/>
        <w:rPr>
          <w:rFonts w:ascii="Arial" w:hAnsi="Arial" w:cs="Arial"/>
          <w:bCs/>
        </w:rPr>
      </w:pPr>
      <w:r>
        <w:rPr>
          <w:rFonts w:ascii="Arial" w:hAnsi="Arial" w:cs="Arial"/>
        </w:rPr>
        <w:t>výdavky na rekonštrukcie, úpravu a obnovu budov v súvislosti s nákupom nových technológií, zariadení,</w:t>
      </w:r>
    </w:p>
    <w:p>
      <w:pPr>
        <w:pStyle w:val="Odsekzoznamu"/>
        <w:numPr>
          <w:ilvl w:val="0"/>
          <w:numId w:val="77"/>
        </w:numPr>
        <w:tabs>
          <w:tab w:val="left" w:pos="1425"/>
        </w:tabs>
        <w:jc w:val="both"/>
        <w:rPr>
          <w:rFonts w:ascii="Arial" w:hAnsi="Arial" w:cs="Arial"/>
        </w:rPr>
      </w:pPr>
      <w:r>
        <w:rPr>
          <w:rFonts w:ascii="Arial" w:hAnsi="Arial" w:cs="Arial"/>
        </w:rPr>
        <w:t xml:space="preserve">podpora marketingových aktivít (účasť na </w:t>
      </w:r>
      <w:proofErr w:type="spellStart"/>
      <w:r>
        <w:rPr>
          <w:rFonts w:ascii="Arial" w:hAnsi="Arial" w:cs="Arial"/>
        </w:rPr>
        <w:t>workshopoch</w:t>
      </w:r>
      <w:proofErr w:type="spellEnd"/>
      <w:r>
        <w:rPr>
          <w:rFonts w:ascii="Arial" w:hAnsi="Arial" w:cs="Arial"/>
        </w:rPr>
        <w:t>, veľtrhoch, výstavách, propagácia miestnych výrobkov, spracovávanie marketingových stratégií pre miestne produkty, a pod.).</w:t>
      </w:r>
    </w:p>
    <w:p>
      <w:pPr>
        <w:jc w:val="both"/>
        <w:rPr>
          <w:rFonts w:ascii="Arial" w:hAnsi="Arial" w:cs="Arial"/>
        </w:rPr>
      </w:pPr>
      <w:r>
        <w:rPr>
          <w:rFonts w:ascii="Arial" w:hAnsi="Arial" w:cs="Arial"/>
        </w:rPr>
        <w:t xml:space="preserve">Podpora, ktorá pripraví začínajúce talenty, či už na trh práce, alebo založenie vlastného podniku je v synergii s komunitárnym programom </w:t>
      </w:r>
      <w:r>
        <w:rPr>
          <w:rFonts w:ascii="Arial" w:hAnsi="Arial" w:cs="Arial"/>
          <w:i/>
        </w:rPr>
        <w:t>Kreatívna Európa</w:t>
      </w:r>
      <w:r>
        <w:rPr>
          <w:rFonts w:ascii="Arial" w:hAnsi="Arial" w:cs="Arial"/>
        </w:rPr>
        <w:t>, ktorý je určený subjektom s minimálne 2 ročnou históriou, ktoré sú už etablované a zameriava sa na podporu najmä samotnej kreatívnej produkcie a spoluprácu na európskej úrovni. Subjekty vzniknuté a podporené v  IROP sa budú ďalej môcť uchádzať o podporu v </w:t>
      </w:r>
      <w:r>
        <w:rPr>
          <w:rFonts w:ascii="Arial" w:hAnsi="Arial" w:cs="Arial"/>
          <w:i/>
        </w:rPr>
        <w:t>Kreatívna Európa</w:t>
      </w:r>
      <w:r>
        <w:rPr>
          <w:rFonts w:ascii="Arial" w:hAnsi="Arial" w:cs="Arial"/>
        </w:rPr>
        <w:t>. Z dôvodu prevencie možného duplikovania financovania rovnakých aktivít z obidvoch programov, bude v zmluvných podmienkach uvedená klauzula o neoprávnenosti financovať aktivity, ktoré sú, alebo už boli v minulosti hradené z iných fondov EU.</w:t>
      </w:r>
    </w:p>
    <w:p>
      <w:pPr>
        <w:tabs>
          <w:tab w:val="left" w:pos="1425"/>
        </w:tabs>
        <w:jc w:val="both"/>
        <w:rPr>
          <w:rFonts w:ascii="Arial" w:hAnsi="Arial" w:cs="Arial"/>
        </w:rPr>
      </w:pPr>
      <w:r>
        <w:rPr>
          <w:rFonts w:ascii="Arial" w:hAnsi="Arial" w:cs="Arial"/>
        </w:rPr>
        <w:t xml:space="preserve">Zároveň je IROP v synergii s OP </w:t>
      </w:r>
      <w:proofErr w:type="spellStart"/>
      <w:r>
        <w:rPr>
          <w:rFonts w:ascii="Arial" w:hAnsi="Arial" w:cs="Arial"/>
        </w:rPr>
        <w:t>VaI</w:t>
      </w:r>
      <w:proofErr w:type="spellEnd"/>
      <w:r>
        <w:rPr>
          <w:rFonts w:ascii="Arial" w:hAnsi="Arial" w:cs="Arial"/>
        </w:rPr>
        <w:t xml:space="preserve">, ktorý sa zameriava na podporu podnikateľských subjektov v oblasti kreatívneho priemyslu, na budovanie trhu, internacionalizáciu a budovanie </w:t>
      </w:r>
      <w:proofErr w:type="spellStart"/>
      <w:r>
        <w:rPr>
          <w:rFonts w:ascii="Arial" w:hAnsi="Arial" w:cs="Arial"/>
        </w:rPr>
        <w:t>klastrov</w:t>
      </w:r>
      <w:proofErr w:type="spellEnd"/>
      <w:r>
        <w:rPr>
          <w:rFonts w:ascii="Arial" w:hAnsi="Arial" w:cs="Arial"/>
        </w:rPr>
        <w:t>. Zároveň vybuduje sieť podnikateľských centier, ktoré budú slúžiť ako poradenské centrá. Podporené začínajúce podniky sa tu môžu neskôr uchádzať o podporu s cieľom budovať nové biznis modely a rozširovať svoju pôsobnosť na medzinárodné trhy.</w:t>
      </w:r>
    </w:p>
    <w:p>
      <w:pPr>
        <w:tabs>
          <w:tab w:val="left" w:pos="1425"/>
        </w:tabs>
        <w:jc w:val="both"/>
        <w:rPr>
          <w:rFonts w:ascii="Arial" w:hAnsi="Arial" w:cs="Arial"/>
        </w:rPr>
      </w:pPr>
      <w:r>
        <w:rPr>
          <w:rFonts w:ascii="Arial" w:hAnsi="Arial" w:cs="Arial"/>
        </w:rPr>
        <w:t xml:space="preserve">Oprávnení prijímatelia: </w:t>
      </w:r>
    </w:p>
    <w:p>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samospráva</w:t>
      </w:r>
    </w:p>
    <w:p>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 občianske združenia</w:t>
      </w:r>
    </w:p>
    <w:p>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 podnikatelia podľa osobitných právnych predpisov</w:t>
      </w:r>
      <w:r>
        <w:rPr>
          <w:rFonts w:ascii="Helvetica" w:hAnsi="Helvetica"/>
          <w:color w:val="767E91"/>
        </w:rPr>
        <w:t xml:space="preserve"> - </w:t>
      </w:r>
      <w:r>
        <w:rPr>
          <w:rFonts w:ascii="Arial" w:hAnsi="Arial" w:cs="Arial"/>
        </w:rPr>
        <w:t xml:space="preserve">Slobodné povolania </w:t>
      </w:r>
    </w:p>
    <w:p>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poznmkupodiarou"/>
          <w:rFonts w:ascii="Arial" w:hAnsi="Arial" w:cs="Arial"/>
        </w:rPr>
        <w:footnoteReference w:id="55"/>
      </w:r>
      <w:r>
        <w:rPr>
          <w:rFonts w:ascii="Arial" w:hAnsi="Arial" w:cs="Arial"/>
        </w:rPr>
        <w:t xml:space="preserve"> </w:t>
      </w:r>
    </w:p>
    <w:p>
      <w:pPr>
        <w:pStyle w:val="Odsekzoznamu"/>
        <w:jc w:val="both"/>
        <w:rPr>
          <w:rFonts w:ascii="Arial" w:hAnsi="Arial" w:cs="Arial"/>
          <w:highlight w:val="yellow"/>
        </w:rPr>
      </w:pPr>
    </w:p>
    <w:p>
      <w:pPr>
        <w:jc w:val="both"/>
        <w:rPr>
          <w:rFonts w:ascii="Arial" w:hAnsi="Arial" w:cs="Arial"/>
        </w:rPr>
      </w:pPr>
      <w:r>
        <w:rPr>
          <w:rFonts w:ascii="Arial" w:hAnsi="Arial" w:cs="Arial"/>
        </w:rPr>
        <w:t>Cieľové skupiny:</w:t>
      </w:r>
    </w:p>
    <w:p>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nepodnikatelia</w:t>
      </w:r>
    </w:p>
    <w:p>
      <w:pPr>
        <w:pStyle w:val="Odsekzoznamu"/>
        <w:numPr>
          <w:ilvl w:val="0"/>
          <w:numId w:val="2"/>
        </w:numPr>
        <w:tabs>
          <w:tab w:val="clear" w:pos="360"/>
          <w:tab w:val="num" w:pos="720"/>
        </w:tabs>
        <w:ind w:left="720"/>
        <w:jc w:val="both"/>
        <w:rPr>
          <w:rFonts w:ascii="Arial" w:hAnsi="Arial" w:cs="Arial"/>
        </w:rPr>
      </w:pPr>
      <w:r>
        <w:rPr>
          <w:rFonts w:ascii="Arial" w:hAnsi="Arial" w:cs="Arial"/>
        </w:rPr>
        <w:lastRenderedPageBreak/>
        <w:t>Fyzické osoby podnikatelia podľa osobitných právnych predpisov</w:t>
      </w:r>
      <w:r>
        <w:rPr>
          <w:rFonts w:ascii="Helvetica" w:hAnsi="Helvetica"/>
          <w:color w:val="767E91"/>
        </w:rPr>
        <w:t xml:space="preserve"> - </w:t>
      </w:r>
      <w:r>
        <w:rPr>
          <w:rFonts w:ascii="Arial" w:hAnsi="Arial" w:cs="Arial"/>
        </w:rPr>
        <w:t xml:space="preserve">Slobodné povolania </w:t>
      </w:r>
    </w:p>
    <w:p>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poznmkupodiarou"/>
          <w:rFonts w:ascii="Arial" w:hAnsi="Arial" w:cs="Arial"/>
        </w:rPr>
        <w:footnoteReference w:id="56"/>
      </w:r>
      <w:r>
        <w:rPr>
          <w:rFonts w:ascii="Arial" w:hAnsi="Arial" w:cs="Arial"/>
        </w:rPr>
        <w:t xml:space="preserve"> </w:t>
      </w:r>
    </w:p>
    <w:p>
      <w:pPr>
        <w:pStyle w:val="Odsekzoznamu"/>
        <w:numPr>
          <w:ilvl w:val="0"/>
          <w:numId w:val="2"/>
        </w:numPr>
        <w:tabs>
          <w:tab w:val="clear" w:pos="360"/>
          <w:tab w:val="num" w:pos="720"/>
        </w:tabs>
        <w:ind w:left="720"/>
        <w:jc w:val="both"/>
        <w:rPr>
          <w:rFonts w:ascii="Arial" w:hAnsi="Arial" w:cs="Arial"/>
        </w:rPr>
      </w:pPr>
      <w:r>
        <w:rPr>
          <w:rFonts w:ascii="Arial" w:hAnsi="Arial" w:cs="Arial"/>
        </w:rPr>
        <w:t>Študenti a absolventi stredných umeleckých škôl, vysokých škôl</w:t>
      </w:r>
    </w:p>
    <w:p>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w:t>
      </w:r>
    </w:p>
    <w:p>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a samospráva</w:t>
      </w:r>
    </w:p>
    <w:p>
      <w:pPr>
        <w:pStyle w:val="Odsekzoznamu"/>
        <w:numPr>
          <w:ilvl w:val="0"/>
          <w:numId w:val="2"/>
        </w:numPr>
        <w:tabs>
          <w:tab w:val="clear" w:pos="360"/>
          <w:tab w:val="num" w:pos="720"/>
        </w:tabs>
        <w:ind w:left="720"/>
        <w:jc w:val="both"/>
        <w:rPr>
          <w:rFonts w:ascii="Arial" w:hAnsi="Arial" w:cs="Arial"/>
        </w:rPr>
      </w:pPr>
      <w:r>
        <w:rPr>
          <w:rFonts w:ascii="Arial" w:hAnsi="Arial" w:cs="Arial"/>
        </w:rPr>
        <w:t>Nezamestnané, neaktívne osoby, MRK, ktoré majú kreatívne vzdelanie, či talent v tejto oblasti</w:t>
      </w:r>
    </w:p>
    <w:p>
      <w:pPr>
        <w:jc w:val="both"/>
        <w:rPr>
          <w:rFonts w:ascii="Arial" w:hAnsi="Arial" w:cs="Arial"/>
        </w:rPr>
      </w:pPr>
      <w:r>
        <w:rPr>
          <w:rFonts w:ascii="Arial" w:hAnsi="Arial" w:cs="Arial"/>
        </w:rPr>
        <w:t>Cieľové územie:</w:t>
      </w:r>
    </w:p>
    <w:p>
      <w:pPr>
        <w:pStyle w:val="Odsekzoznamu"/>
        <w:numPr>
          <w:ilvl w:val="0"/>
          <w:numId w:val="2"/>
        </w:numPr>
        <w:tabs>
          <w:tab w:val="clear" w:pos="360"/>
          <w:tab w:val="num" w:pos="720"/>
        </w:tabs>
        <w:ind w:left="720"/>
        <w:jc w:val="both"/>
        <w:rPr>
          <w:rFonts w:ascii="Arial" w:hAnsi="Arial" w:cs="Arial"/>
        </w:rPr>
      </w:pPr>
      <w:r>
        <w:rPr>
          <w:rFonts w:ascii="Arial" w:hAnsi="Arial" w:cs="Arial"/>
        </w:rPr>
        <w:t>pre aktivity v bode 1) a 2) - celé územie SR. Investície budú koncentrované do mestských centier, kde sa nachádza kritická masa kreatívnych talentov, podnikov a potenciálnych spotrebiteľov kultúrnych a kreatívnych produktov a služieb.</w:t>
      </w:r>
    </w:p>
    <w:p>
      <w:pPr>
        <w:pStyle w:val="Odsekzoznamu"/>
        <w:numPr>
          <w:ilvl w:val="0"/>
          <w:numId w:val="2"/>
        </w:numPr>
        <w:tabs>
          <w:tab w:val="clear" w:pos="360"/>
          <w:tab w:val="num" w:pos="720"/>
        </w:tabs>
        <w:ind w:left="720"/>
        <w:jc w:val="both"/>
        <w:rPr>
          <w:rFonts w:ascii="Arial" w:hAnsi="Arial" w:cs="Arial"/>
        </w:rPr>
      </w:pPr>
      <w:r>
        <w:rPr>
          <w:rFonts w:ascii="Arial" w:hAnsi="Arial" w:cs="Arial"/>
        </w:rPr>
        <w:t>pre aktivity v bode 3) a 4) – celé územie SR okrem územia Bratislavského kraja.</w:t>
      </w:r>
    </w:p>
    <w:p>
      <w:pPr>
        <w:jc w:val="both"/>
        <w:rPr>
          <w:rFonts w:ascii="Arial" w:hAnsi="Arial" w:cs="Arial"/>
        </w:rPr>
      </w:pPr>
      <w:r>
        <w:rPr>
          <w:rFonts w:ascii="Arial" w:hAnsi="Arial" w:cs="Arial"/>
        </w:rPr>
        <w:t xml:space="preserve">Na plnenie špecifického cieľa 3.1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EÚ, ako aj ďalších dokumentov EK v oblasti štátnej pomoci.</w:t>
      </w:r>
    </w:p>
    <w:p>
      <w:pPr>
        <w:jc w:val="both"/>
        <w:rPr>
          <w:rFonts w:ascii="Arial" w:hAnsi="Arial" w:cs="Arial"/>
        </w:rPr>
      </w:pPr>
    </w:p>
    <w:p>
      <w:pPr>
        <w:pStyle w:val="Nadpis6"/>
        <w:rPr>
          <w:rFonts w:ascii="Arial" w:hAnsi="Arial" w:cs="Arial"/>
        </w:rPr>
      </w:pPr>
      <w:bookmarkStart w:id="52" w:name="_Toc387651828"/>
      <w:r>
        <w:rPr>
          <w:rFonts w:ascii="Arial" w:hAnsi="Arial" w:cs="Arial"/>
        </w:rPr>
        <w:t>2.3.1.2. Hlavné zásady výberu operácií</w:t>
      </w:r>
      <w:bookmarkEnd w:id="52"/>
    </w:p>
    <w:p>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pPr>
        <w:jc w:val="both"/>
        <w:rPr>
          <w:rFonts w:ascii="Arial" w:hAnsi="Arial" w:cs="Arial"/>
        </w:rPr>
      </w:pPr>
      <w:r>
        <w:rPr>
          <w:rFonts w:ascii="Arial" w:hAnsi="Arial" w:cs="Arial"/>
        </w:rPr>
        <w:t xml:space="preserve">V prípade podpory smerovanej do oblasti budúcich MSP a existujúcich MSP v kultúrnom priemysle bude kladený dôraz na: </w:t>
      </w:r>
    </w:p>
    <w:p>
      <w:pPr>
        <w:pStyle w:val="Odsekzoznamu"/>
        <w:numPr>
          <w:ilvl w:val="0"/>
          <w:numId w:val="80"/>
        </w:numPr>
        <w:jc w:val="both"/>
        <w:rPr>
          <w:rFonts w:ascii="Arial" w:hAnsi="Arial" w:cs="Arial"/>
        </w:rPr>
      </w:pPr>
      <w:r>
        <w:rPr>
          <w:rFonts w:ascii="Arial" w:hAnsi="Arial" w:cs="Arial"/>
        </w:rPr>
        <w:t xml:space="preserve">kvalitu projektu, t. j. odborné posúdenie stupňa potenciálneho prežitia podniku, stupňa inovácie/produktu/služby a vplyvu realizácie projektu s cieľom dosiahnutia zamestnanosti či </w:t>
      </w:r>
      <w:proofErr w:type="spellStart"/>
      <w:r>
        <w:rPr>
          <w:rFonts w:ascii="Arial" w:hAnsi="Arial" w:cs="Arial"/>
        </w:rPr>
        <w:t>samozamestnania</w:t>
      </w:r>
      <w:proofErr w:type="spellEnd"/>
      <w:r>
        <w:rPr>
          <w:rFonts w:ascii="Arial" w:hAnsi="Arial" w:cs="Arial"/>
        </w:rPr>
        <w:t xml:space="preserve">, pri vypracovaní odborných posudkov pre posúdenie kvality projektu budú vyberaní odborní hodnotitelia z jednotlivých profesijných oblastí, </w:t>
      </w:r>
    </w:p>
    <w:p>
      <w:pPr>
        <w:pStyle w:val="Odsekzoznamu"/>
        <w:numPr>
          <w:ilvl w:val="0"/>
          <w:numId w:val="80"/>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pPr>
        <w:pStyle w:val="Odsekzoznamu"/>
        <w:numPr>
          <w:ilvl w:val="0"/>
          <w:numId w:val="80"/>
        </w:numPr>
        <w:jc w:val="both"/>
        <w:rPr>
          <w:rFonts w:ascii="Arial" w:hAnsi="Arial" w:cs="Arial"/>
        </w:rPr>
      </w:pPr>
      <w:r>
        <w:rPr>
          <w:rFonts w:ascii="Arial" w:hAnsi="Arial" w:cs="Arial"/>
        </w:rPr>
        <w:t xml:space="preserve">zvýhodnené budú projekty vytvárajúce pracovné miesta, ktoré budú vytvorené v priamej súvislosti s realizáciou projektu, </w:t>
      </w:r>
    </w:p>
    <w:p>
      <w:pPr>
        <w:pStyle w:val="Odsekzoznamu"/>
        <w:numPr>
          <w:ilvl w:val="0"/>
          <w:numId w:val="80"/>
        </w:numPr>
        <w:jc w:val="both"/>
        <w:rPr>
          <w:rFonts w:ascii="Arial" w:hAnsi="Arial" w:cs="Arial"/>
        </w:rPr>
      </w:pPr>
      <w:r>
        <w:rPr>
          <w:rFonts w:ascii="Arial" w:hAnsi="Arial" w:cs="Arial"/>
        </w:rPr>
        <w:t>zvýhodnené budú projekty vytvárajúce pracovné miesta pre skupiny neaktívnych, či nezamestnaných osôb, ktoré bude vytvorené v priamej súvislosti s realizáciou projektu.</w:t>
      </w:r>
    </w:p>
    <w:p>
      <w:pPr>
        <w:jc w:val="both"/>
        <w:rPr>
          <w:rFonts w:ascii="Arial" w:hAnsi="Arial" w:cs="Arial"/>
        </w:rPr>
      </w:pPr>
      <w:r>
        <w:rPr>
          <w:rFonts w:ascii="Arial" w:hAnsi="Arial" w:cs="Arial"/>
        </w:rPr>
        <w:t>V prípade podpory smerovanej prijímateľom nenávratného finančného príspevku budú predmetom výberu projekty, ktorých žiadateľ je v čase podania žiadosti majiteľom, alebo dlhodobým správcom fyzickej infraštruktúry - budovy, kde sa budú plánované aktivity realizovať a:</w:t>
      </w:r>
    </w:p>
    <w:p>
      <w:pPr>
        <w:pStyle w:val="Odsekzoznamu"/>
        <w:numPr>
          <w:ilvl w:val="0"/>
          <w:numId w:val="79"/>
        </w:numPr>
        <w:jc w:val="both"/>
        <w:rPr>
          <w:rFonts w:ascii="Arial" w:hAnsi="Arial" w:cs="Arial"/>
        </w:rPr>
      </w:pPr>
      <w:r>
        <w:rPr>
          <w:rFonts w:ascii="Arial" w:hAnsi="Arial" w:cs="Arial"/>
        </w:rPr>
        <w:lastRenderedPageBreak/>
        <w:t>projekt bude realizovaný integrovaným prístupom (fyzická infraštruktúra aj mäkké opatrenia) a bude vychádzať z príslušnej regionálnej integrovanej územnej stratégie,</w:t>
      </w:r>
    </w:p>
    <w:p>
      <w:pPr>
        <w:pStyle w:val="Odsekzoznamu"/>
        <w:numPr>
          <w:ilvl w:val="0"/>
          <w:numId w:val="79"/>
        </w:numPr>
        <w:jc w:val="both"/>
        <w:rPr>
          <w:rFonts w:ascii="Arial" w:hAnsi="Arial" w:cs="Arial"/>
        </w:rPr>
      </w:pPr>
      <w:r>
        <w:rPr>
          <w:rFonts w:ascii="Arial" w:hAnsi="Arial" w:cs="Arial"/>
        </w:rPr>
        <w:t>fyzická infraštruktúra vznikne konverziou objektov nevyužívaného, či nevhodne využívaného kultúrneho dedičstva, či kultúrnej infraštruktúry s cieľom využívania endogénnych zdrojov,</w:t>
      </w:r>
    </w:p>
    <w:p>
      <w:pPr>
        <w:pStyle w:val="Odsekzoznamu"/>
        <w:numPr>
          <w:ilvl w:val="0"/>
          <w:numId w:val="79"/>
        </w:numPr>
        <w:jc w:val="both"/>
        <w:rPr>
          <w:rFonts w:ascii="Arial" w:hAnsi="Arial" w:cs="Arial"/>
        </w:rPr>
      </w:pPr>
      <w:r>
        <w:rPr>
          <w:rFonts w:ascii="Arial" w:hAnsi="Arial" w:cs="Arial"/>
        </w:rPr>
        <w:t xml:space="preserve">fyzický objekt zakomponuje v rámci projektu nové funkcie pre účely zatraktívnenia </w:t>
      </w:r>
      <w:proofErr w:type="spellStart"/>
      <w:r>
        <w:rPr>
          <w:rFonts w:ascii="Arial" w:hAnsi="Arial" w:cs="Arial"/>
        </w:rPr>
        <w:t>urbánnych</w:t>
      </w:r>
      <w:proofErr w:type="spellEnd"/>
      <w:r>
        <w:rPr>
          <w:rFonts w:ascii="Arial" w:hAnsi="Arial" w:cs="Arial"/>
        </w:rPr>
        <w:t xml:space="preserve"> a vidieckych sídiel (nekomerčné v zmysle </w:t>
      </w:r>
      <w:proofErr w:type="spellStart"/>
      <w:r>
        <w:rPr>
          <w:rFonts w:ascii="Arial" w:hAnsi="Arial" w:cs="Arial"/>
          <w:i/>
        </w:rPr>
        <w:t>public</w:t>
      </w:r>
      <w:proofErr w:type="spellEnd"/>
      <w:r>
        <w:rPr>
          <w:rFonts w:ascii="Arial" w:hAnsi="Arial" w:cs="Arial"/>
          <w:i/>
        </w:rPr>
        <w:t xml:space="preserve"> </w:t>
      </w:r>
      <w:proofErr w:type="spellStart"/>
      <w:r>
        <w:rPr>
          <w:rFonts w:ascii="Arial" w:hAnsi="Arial" w:cs="Arial"/>
          <w:i/>
        </w:rPr>
        <w:t>art</w:t>
      </w:r>
      <w:proofErr w:type="spellEnd"/>
      <w:r>
        <w:rPr>
          <w:rFonts w:ascii="Arial" w:hAnsi="Arial" w:cs="Arial"/>
          <w:i/>
        </w:rPr>
        <w:t xml:space="preserve"> </w:t>
      </w:r>
      <w:proofErr w:type="spellStart"/>
      <w:r>
        <w:rPr>
          <w:rFonts w:ascii="Arial" w:hAnsi="Arial" w:cs="Arial"/>
          <w:i/>
        </w:rPr>
        <w:t>objects</w:t>
      </w:r>
      <w:proofErr w:type="spellEnd"/>
      <w:r>
        <w:rPr>
          <w:rFonts w:ascii="Arial" w:hAnsi="Arial" w:cs="Arial"/>
        </w:rPr>
        <w:t xml:space="preserve">, mestský </w:t>
      </w:r>
      <w:proofErr w:type="spellStart"/>
      <w:r>
        <w:rPr>
          <w:rFonts w:ascii="Arial" w:hAnsi="Arial" w:cs="Arial"/>
        </w:rPr>
        <w:t>mobiliár</w:t>
      </w:r>
      <w:proofErr w:type="spellEnd"/>
      <w:r>
        <w:rPr>
          <w:rFonts w:ascii="Arial" w:hAnsi="Arial" w:cs="Arial"/>
        </w:rPr>
        <w:t xml:space="preserve"> v okolí objektu a pod.),</w:t>
      </w:r>
    </w:p>
    <w:p>
      <w:pPr>
        <w:pStyle w:val="Odsekzoznamu"/>
        <w:numPr>
          <w:ilvl w:val="0"/>
          <w:numId w:val="79"/>
        </w:numPr>
        <w:jc w:val="both"/>
        <w:rPr>
          <w:rFonts w:ascii="Arial" w:hAnsi="Arial" w:cs="Arial"/>
        </w:rPr>
      </w:pPr>
      <w:r>
        <w:rPr>
          <w:rFonts w:ascii="Arial" w:hAnsi="Arial" w:cs="Arial"/>
        </w:rPr>
        <w:t>pre projekt bude platiť efektívna bonifikácia, pokiaľ pri obnova/výstavba budov alebo ich častí bude spĺňať tepelno-technické vlastnosti stavebných konštrukcií a budov parametre nad rámec aktuálne požadovanej úrovne energetickej hospodárnosti podľa STN 73 0540-2: 2012,</w:t>
      </w:r>
    </w:p>
    <w:p>
      <w:pPr>
        <w:pStyle w:val="Odsekzoznamu"/>
        <w:numPr>
          <w:ilvl w:val="0"/>
          <w:numId w:val="79"/>
        </w:numPr>
        <w:jc w:val="both"/>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79"/>
        </w:numPr>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79"/>
        </w:numPr>
        <w:jc w:val="both"/>
      </w:pPr>
      <w:r>
        <w:rPr>
          <w:rFonts w:ascii="Arial" w:hAnsi="Arial" w:cs="Arial"/>
        </w:rPr>
        <w:t>projekt uplatňuje zásadu „znečisťovateľ platí“.</w:t>
      </w:r>
    </w:p>
    <w:p>
      <w:pPr>
        <w:pStyle w:val="Nadpis6"/>
        <w:rPr>
          <w:rFonts w:ascii="Arial" w:hAnsi="Arial" w:cs="Arial"/>
        </w:rPr>
      </w:pPr>
      <w:bookmarkStart w:id="53" w:name="_Toc387651829"/>
      <w:r>
        <w:rPr>
          <w:rFonts w:ascii="Arial" w:hAnsi="Arial" w:cs="Arial"/>
        </w:rPr>
        <w:t>2.3.1.3. Plánované využitie finančných nástrojov</w:t>
      </w:r>
      <w:bookmarkEnd w:id="53"/>
    </w:p>
    <w:p>
      <w:pPr>
        <w:spacing w:before="240"/>
        <w:jc w:val="both"/>
        <w:rPr>
          <w:rFonts w:ascii="Arial" w:hAnsi="Arial" w:cs="Arial"/>
          <w:color w:val="000000" w:themeColor="text1"/>
        </w:rPr>
      </w:pPr>
      <w:bookmarkStart w:id="54" w:name="_Toc378169908"/>
      <w:r>
        <w:rPr>
          <w:rFonts w:ascii="Arial" w:hAnsi="Arial" w:cs="Arial"/>
        </w:rPr>
        <w:t>Finančné nástroje môžu byť použité na podporu implementácie tých aktivít, pri ktorých bude preukázané efektívnejšie využitie finančných prostriedkov z  </w:t>
      </w:r>
      <w:r>
        <w:rPr>
          <w:rFonts w:ascii="Arial" w:hAnsi="Arial" w:cs="Arial"/>
          <w:color w:val="000000" w:themeColor="text1"/>
        </w:rPr>
        <w:t>EŠIF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bookmarkEnd w:id="54"/>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EŠIF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55" w:name="_Toc387651830"/>
      <w:r>
        <w:rPr>
          <w:rFonts w:ascii="Arial" w:hAnsi="Arial" w:cs="Arial"/>
        </w:rPr>
        <w:lastRenderedPageBreak/>
        <w:t>2.3.1.4. Plánované využitie veľkých projektov</w:t>
      </w:r>
      <w:bookmarkEnd w:id="55"/>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56" w:name="_Toc387651831"/>
      <w:r>
        <w:rPr>
          <w:rFonts w:ascii="Arial" w:hAnsi="Arial" w:cs="Arial"/>
        </w:rPr>
        <w:t>2.3.1.5. Ukazovatele výstupu podľa investičnej priority a ak je to vhodné, podľa kategórie regiónu</w:t>
      </w:r>
      <w:bookmarkEnd w:id="56"/>
    </w:p>
    <w:p>
      <w:pPr>
        <w:spacing w:before="120"/>
        <w:rPr>
          <w:rFonts w:ascii="Arial" w:hAnsi="Arial" w:cs="Arial"/>
        </w:rPr>
      </w:pPr>
      <w:r>
        <w:rPr>
          <w:rStyle w:val="Siln"/>
          <w:rFonts w:ascii="Arial" w:hAnsi="Arial" w:cs="Arial"/>
        </w:rPr>
        <w:t>Tabuľka č. 21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80"/>
        <w:gridCol w:w="1571"/>
        <w:gridCol w:w="1134"/>
        <w:gridCol w:w="709"/>
        <w:gridCol w:w="992"/>
        <w:gridCol w:w="567"/>
        <w:gridCol w:w="567"/>
        <w:gridCol w:w="1476"/>
        <w:gridCol w:w="659"/>
        <w:gridCol w:w="1095"/>
      </w:tblGrid>
      <w:tr>
        <w:trPr>
          <w:trHeight w:val="278"/>
        </w:trPr>
        <w:tc>
          <w:tcPr>
            <w:tcW w:w="38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7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610"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zriadených a fungujúcich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Kreatívne centrum</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Kreatívne centrum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účastníkov inkubačnej schémy</w:t>
            </w:r>
            <w:r>
              <w:rPr>
                <w:rFonts w:ascii="Arial" w:hAnsi="Arial" w:cs="Arial"/>
                <w:sz w:val="16"/>
                <w:szCs w:val="16"/>
              </w:rPr>
              <w:tab/>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účastníkov inkubačnej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Účastník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aktivít na podporu dopytu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vertAlign w:val="superscript"/>
              </w:rPr>
            </w:pPr>
            <w:r>
              <w:rPr>
                <w:rFonts w:ascii="Arial" w:hAnsi="Arial" w:cs="Arial"/>
                <w:sz w:val="16"/>
                <w:szCs w:val="16"/>
              </w:rPr>
              <w:t>Aktivita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aktivít na podporu dopytu</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Aktivita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Súkromné investície zodpovedajúce verejnej podpore podnikov (pôžičky)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cs="Segoe UI"/>
                <w:sz w:val="16"/>
                <w:szCs w:val="16"/>
                <w:lang w:val="fr-FR"/>
              </w:rPr>
            </w:pPr>
            <w:r>
              <w:rPr>
                <w:rFonts w:cs="Segoe UI"/>
                <w:sz w:val="16"/>
                <w:szCs w:val="16"/>
                <w:lang w:val="fr-FR"/>
              </w:rPr>
              <w:t>20 000 000</w:t>
            </w:r>
          </w:p>
          <w:p>
            <w:pPr>
              <w:spacing w:after="0" w:line="240" w:lineRule="auto"/>
              <w:rPr>
                <w:rFonts w:ascii="Arial" w:hAnsi="Arial" w:cs="Arial"/>
                <w:sz w:val="16"/>
                <w:szCs w:val="16"/>
              </w:rPr>
            </w:pPr>
            <w:r>
              <w:rPr>
                <w:rFonts w:cs="Segoe UI"/>
                <w:sz w:val="16"/>
                <w:szCs w:val="16"/>
                <w:lang w:val="fr-FR"/>
              </w:rPr>
              <w:t>(Na základe ex ante analýzy)</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Súkromné investície zodpovedajúce verejnej podpore podnikov (granty)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EUR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76" w:type="dxa"/>
            <w:tcBorders>
              <w:left w:val="single" w:sz="8" w:space="0" w:color="4E67C8"/>
              <w:bottom w:val="single" w:sz="8" w:space="0" w:color="4E67C8"/>
              <w:right w:val="single" w:sz="8" w:space="0" w:color="4E67C8"/>
            </w:tcBorders>
            <w:shd w:val="clear" w:color="auto" w:fill="auto"/>
          </w:tcPr>
          <w:p>
            <w:pPr>
              <w:spacing w:after="0" w:line="240" w:lineRule="auto"/>
              <w:rPr>
                <w:rFonts w:cs="Segoe UI"/>
                <w:sz w:val="16"/>
                <w:szCs w:val="16"/>
                <w:lang w:val="fr-FR"/>
              </w:rPr>
            </w:pPr>
            <w:r>
              <w:rPr>
                <w:rFonts w:cs="Segoe UI"/>
                <w:sz w:val="16"/>
                <w:szCs w:val="16"/>
                <w:lang w:val="fr-FR"/>
              </w:rPr>
              <w:t>50 000 000</w:t>
            </w:r>
          </w:p>
          <w:p>
            <w:pPr>
              <w:spacing w:after="0" w:line="240" w:lineRule="auto"/>
              <w:rPr>
                <w:rFonts w:ascii="Arial" w:hAnsi="Arial" w:cs="Arial"/>
                <w:sz w:val="16"/>
                <w:szCs w:val="16"/>
              </w:rPr>
            </w:pPr>
            <w:r>
              <w:rPr>
                <w:rFonts w:cs="Segoe UI"/>
                <w:sz w:val="16"/>
                <w:szCs w:val="16"/>
                <w:lang w:val="fr-FR"/>
              </w:rPr>
              <w:t>(Na základe ex ante analýzy)</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Bdr>
          <w:bottom w:val="single" w:sz="12" w:space="1" w:color="auto"/>
        </w:pBdr>
        <w:rPr>
          <w:rFonts w:ascii="Arial" w:hAnsi="Arial" w:cs="Arial"/>
          <w:sz w:val="20"/>
        </w:rPr>
      </w:pPr>
    </w:p>
    <w:p>
      <w:bookmarkStart w:id="57" w:name="_Toc383369306"/>
      <w:bookmarkStart w:id="58" w:name="_Toc387651832"/>
    </w:p>
    <w:p/>
    <w:p/>
    <w:p/>
    <w:p/>
    <w:p/>
    <w:p>
      <w:pPr>
        <w:pStyle w:val="Nadpis5"/>
        <w:shd w:val="clear" w:color="auto" w:fill="B8C1E9"/>
        <w:rPr>
          <w:rFonts w:ascii="Arial" w:hAnsi="Arial" w:cs="Arial"/>
        </w:rPr>
      </w:pPr>
      <w:r>
        <w:rPr>
          <w:rFonts w:ascii="Arial" w:hAnsi="Arial" w:cs="Arial"/>
        </w:rPr>
        <w:lastRenderedPageBreak/>
        <w:t>Výkonnostný rámec</w:t>
      </w:r>
      <w:bookmarkEnd w:id="57"/>
      <w:bookmarkEnd w:id="58"/>
    </w:p>
    <w:p>
      <w:pPr>
        <w:rPr>
          <w:rFonts w:ascii="Arial" w:hAnsi="Arial" w:cs="Arial"/>
        </w:rPr>
      </w:pPr>
    </w:p>
    <w:p>
      <w:pPr>
        <w:rPr>
          <w:rStyle w:val="Zvraznenie"/>
          <w:rFonts w:ascii="Arial" w:hAnsi="Arial" w:cs="Arial"/>
        </w:rPr>
      </w:pPr>
      <w:r>
        <w:rPr>
          <w:rStyle w:val="Siln"/>
          <w:rFonts w:ascii="Arial" w:hAnsi="Arial" w:cs="Arial"/>
        </w:rPr>
        <w:t>Tabuľka č. 22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1010"/>
        <w:gridCol w:w="629"/>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77"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101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MaŽ</w:t>
            </w:r>
            <w:proofErr w:type="spellEnd"/>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67 036 000</w:t>
            </w: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101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255 860 548</w:t>
            </w:r>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5 240 000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20 000 </w:t>
            </w:r>
            <w:proofErr w:type="spellStart"/>
            <w:r>
              <w:rPr>
                <w:rFonts w:ascii="Arial" w:hAnsi="Arial" w:cs="Arial"/>
                <w:sz w:val="14"/>
                <w:szCs w:val="14"/>
              </w:rPr>
              <w:t>000</w:t>
            </w:r>
            <w:proofErr w:type="spellEnd"/>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zriadených a fungujúcich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Kreatívne centrum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w:t>
            </w:r>
          </w:p>
          <w:p>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Ukazovateľ predstavuje výraznú časť alokácie PO3 a je podstatnou aktivitou</w:t>
            </w: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Kreatívne centrum </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Ukazovateľ predstavuje výraznú časť alokácie PO3 a je podstatnou aktivitou</w:t>
            </w:r>
          </w:p>
        </w:tc>
      </w:tr>
    </w:tbl>
    <w:p>
      <w:pPr>
        <w:rPr>
          <w:rStyle w:val="Zvraznenie"/>
          <w:rFonts w:ascii="Arial" w:hAnsi="Arial" w:cs="Arial"/>
        </w:rPr>
      </w:pPr>
    </w:p>
    <w:p>
      <w:pPr>
        <w:pStyle w:val="Nadpis5"/>
        <w:shd w:val="clear" w:color="auto" w:fill="B8C1E9"/>
        <w:rPr>
          <w:rFonts w:ascii="Arial" w:hAnsi="Arial" w:cs="Arial"/>
        </w:rPr>
      </w:pPr>
      <w:bookmarkStart w:id="59" w:name="_Toc383369307"/>
      <w:bookmarkStart w:id="60" w:name="_Toc387651833"/>
      <w:r>
        <w:rPr>
          <w:rFonts w:ascii="Arial" w:hAnsi="Arial" w:cs="Arial"/>
        </w:rPr>
        <w:t>Kategórie intervencie</w:t>
      </w:r>
      <w:bookmarkEnd w:id="59"/>
      <w:bookmarkEnd w:id="60"/>
    </w:p>
    <w:p>
      <w:pPr>
        <w:spacing w:before="120"/>
        <w:rPr>
          <w:rStyle w:val="Zvraznenie"/>
          <w:rFonts w:ascii="Arial" w:hAnsi="Arial" w:cs="Arial"/>
        </w:rPr>
      </w:pPr>
      <w:r>
        <w:rPr>
          <w:rStyle w:val="Siln"/>
          <w:rFonts w:ascii="Arial" w:hAnsi="Arial" w:cs="Arial"/>
        </w:rPr>
        <w:t>Tabuľka č. 23</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58</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48 000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48 000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8 360 548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38 250 000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24 000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62 475 000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26 775 000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235 860 548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 xml:space="preserve">102 000 </w:t>
            </w:r>
            <w:proofErr w:type="spellStart"/>
            <w:r>
              <w:rPr>
                <w:rFonts w:ascii="Arial"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83 860 548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 xml:space="preserve">70 000 </w:t>
            </w:r>
            <w:proofErr w:type="spellStart"/>
            <w:r>
              <w:rPr>
                <w:rFonts w:ascii="Arial"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 xml:space="preserve">92 000 </w:t>
            </w:r>
            <w:proofErr w:type="spellStart"/>
            <w:r>
              <w:rPr>
                <w:rFonts w:ascii="Arial"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93 860 548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 xml:space="preserve">70 000 </w:t>
            </w:r>
            <w:proofErr w:type="spellStart"/>
            <w:r>
              <w:rPr>
                <w:rFonts w:ascii="Arial"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58</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8 400 000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3 600 000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20 000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15 000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5 000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15 000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5 000 </w:t>
            </w:r>
            <w:proofErr w:type="spellStart"/>
            <w:r>
              <w:rPr>
                <w:rFonts w:ascii="Arial" w:eastAsia="Times New Roman" w:hAnsi="Arial" w:cs="Arial"/>
                <w:bCs/>
                <w:iCs/>
                <w:sz w:val="16"/>
                <w:szCs w:val="16"/>
              </w:rPr>
              <w:t>000</w:t>
            </w:r>
            <w:proofErr w:type="spellEnd"/>
          </w:p>
        </w:tc>
      </w:tr>
    </w:tbl>
    <w:p>
      <w:pPr>
        <w:rPr>
          <w:rFonts w:ascii="Arial" w:hAnsi="Arial" w:cs="Arial"/>
          <w:i/>
          <w:color w:val="4EACF3"/>
        </w:rPr>
      </w:pPr>
    </w:p>
    <w:p>
      <w:pPr>
        <w:pStyle w:val="Nadpis5"/>
        <w:shd w:val="clear" w:color="auto" w:fill="B8C1E9"/>
        <w:rPr>
          <w:rFonts w:ascii="Arial" w:hAnsi="Arial" w:cs="Arial"/>
        </w:rPr>
      </w:pPr>
      <w:bookmarkStart w:id="61" w:name="_Toc387651834"/>
      <w:r>
        <w:rPr>
          <w:rFonts w:ascii="Arial" w:hAnsi="Arial" w:cs="Arial"/>
        </w:rPr>
        <w:t>Súhrn plánovaného využitia technickej pomoci vrátane, ak je to vhodné, akcií na posilnenie administratívnej spôsobilosti orgánov zapojených do riadenia a kontroly programu a príjemcov</w:t>
      </w:r>
      <w:bookmarkEnd w:id="61"/>
      <w:r>
        <w:rPr>
          <w:rFonts w:ascii="Arial" w:hAnsi="Arial" w:cs="Arial"/>
        </w:rPr>
        <w:t xml:space="preserve"> </w:t>
      </w:r>
    </w:p>
    <w:p/>
    <w:p>
      <w:pPr>
        <w:spacing w:after="0" w:line="240" w:lineRule="auto"/>
        <w:jc w:val="both"/>
        <w:rPr>
          <w:rFonts w:ascii="Arial" w:hAnsi="Arial" w:cs="Arial"/>
          <w:color w:val="000000"/>
          <w:lang w:eastAsia="sk-SK"/>
        </w:rPr>
        <w:sectPr>
          <w:pgSz w:w="11906" w:h="16838"/>
          <w:pgMar w:top="1417" w:right="1417" w:bottom="1417" w:left="1417" w:header="708" w:footer="708" w:gutter="0"/>
          <w:cols w:space="708"/>
          <w:docGrid w:linePitch="360"/>
        </w:sectPr>
      </w:pPr>
      <w:r>
        <w:rPr>
          <w:rFonts w:ascii="Arial" w:hAnsi="Arial" w:cs="Arial"/>
          <w:color w:val="000000"/>
          <w:lang w:eastAsia="sk-SK"/>
        </w:rPr>
        <w:t>N/A</w:t>
      </w:r>
    </w:p>
    <w:p>
      <w:pPr>
        <w:pStyle w:val="Nadpis3"/>
        <w:shd w:val="clear" w:color="auto" w:fill="21306A"/>
        <w:rPr>
          <w:rFonts w:ascii="Arial" w:hAnsi="Arial" w:cs="Arial"/>
          <w:color w:val="FFFFFF"/>
          <w:sz w:val="28"/>
          <w:szCs w:val="28"/>
        </w:rPr>
      </w:pPr>
      <w:bookmarkStart w:id="62" w:name="_Toc360515268"/>
      <w:bookmarkStart w:id="63" w:name="_Toc387651835"/>
      <w:r>
        <w:rPr>
          <w:rFonts w:ascii="Arial" w:hAnsi="Arial" w:cs="Arial"/>
          <w:color w:val="FFFFFF"/>
          <w:sz w:val="28"/>
          <w:szCs w:val="28"/>
        </w:rPr>
        <w:lastRenderedPageBreak/>
        <w:t xml:space="preserve">2.4. Prioritná os č. 4: </w:t>
      </w:r>
      <w:bookmarkEnd w:id="62"/>
      <w:r>
        <w:rPr>
          <w:rFonts w:ascii="Arial" w:hAnsi="Arial" w:cs="Arial"/>
          <w:color w:val="FFFFFF"/>
          <w:sz w:val="28"/>
          <w:szCs w:val="28"/>
        </w:rPr>
        <w:t>Zlepšenie kvality života v regiónoch s dôrazom na životné prostredie.</w:t>
      </w:r>
      <w:bookmarkEnd w:id="63"/>
      <w:r>
        <w:rPr>
          <w:rFonts w:ascii="Arial" w:hAnsi="Arial" w:cs="Arial"/>
          <w:color w:val="FFFFFF"/>
          <w:sz w:val="28"/>
          <w:szCs w:val="28"/>
        </w:rPr>
        <w:t xml:space="preserve"> </w:t>
      </w:r>
    </w:p>
    <w:p>
      <w:pPr>
        <w:pStyle w:val="Text1"/>
        <w:ind w:left="0"/>
        <w:rPr>
          <w:rFonts w:ascii="Arial" w:eastAsia="Trebuchet MS" w:hAnsi="Arial" w:cs="Arial"/>
          <w:color w:val="4EACF3"/>
          <w:sz w:val="22"/>
          <w:szCs w:val="22"/>
          <w:lang w:val="sk-SK"/>
        </w:rPr>
      </w:pPr>
    </w:p>
    <w:p>
      <w:pPr>
        <w:jc w:val="both"/>
        <w:rPr>
          <w:rFonts w:ascii="Arial" w:hAnsi="Arial" w:cs="Arial"/>
        </w:rPr>
      </w:pPr>
      <w:r>
        <w:rPr>
          <w:rFonts w:ascii="Arial" w:hAnsi="Arial" w:cs="Arial"/>
        </w:rPr>
        <w:t xml:space="preserve">Prioritná os č. 4 v sebe zahŕňa dva tematické ciele, a to tematický cieľ č. 4 – Podpora prechodu na </w:t>
      </w:r>
      <w:proofErr w:type="spellStart"/>
      <w:r>
        <w:rPr>
          <w:rFonts w:ascii="Arial" w:hAnsi="Arial" w:cs="Arial"/>
        </w:rPr>
        <w:t>nízkouhlíkové</w:t>
      </w:r>
      <w:proofErr w:type="spellEnd"/>
      <w:r>
        <w:rPr>
          <w:rFonts w:ascii="Arial" w:hAnsi="Arial" w:cs="Arial"/>
        </w:rPr>
        <w:t xml:space="preserve"> hospodárstvo vo všetkých sektoroch a tematický cieľ 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 a budovaním prvkov zelenej infraštruktúry sa dosiahne zlepšenia environmentálnych aspektov v sídlach,  vhodnými adaptačnými opatreniami sa zvýši odolnosť sídelného prostredia na zmenu klímy a zníži sa zraniteľnosť v rámci jednotlivých sektorov (oblastí). Revitalizáciou zanedbaných plôch a areálov sa efektívne využijú budovy a areály, ktoré budú následne prispievať k zvýšeniu konkurencieschopnosti regiónov z hľadiska kvality života, podnikania a zamestnanosti. </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b/>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223 241 051</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19 923 564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jc w:val="both"/>
        <w:rPr>
          <w:rFonts w:ascii="Arial" w:hAnsi="Arial" w:cs="Arial"/>
        </w:rPr>
      </w:pPr>
    </w:p>
    <w:p>
      <w:pPr>
        <w:pStyle w:val="Nadpis4"/>
        <w:shd w:val="clear" w:color="auto" w:fill="21306A"/>
        <w:jc w:val="both"/>
        <w:rPr>
          <w:rFonts w:ascii="Arial" w:hAnsi="Arial" w:cs="Arial"/>
          <w:color w:val="FFFFFF"/>
        </w:rPr>
      </w:pPr>
      <w:bookmarkStart w:id="64" w:name="_Toc387651836"/>
      <w:r>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64"/>
    </w:p>
    <w:p>
      <w:pPr>
        <w:spacing w:before="240"/>
        <w:jc w:val="both"/>
        <w:rPr>
          <w:rFonts w:ascii="Arial" w:hAnsi="Arial" w:cs="Arial"/>
          <w:b/>
        </w:rPr>
      </w:pPr>
      <w:r>
        <w:rPr>
          <w:rFonts w:ascii="Arial" w:hAnsi="Arial" w:cs="Arial"/>
          <w:b/>
        </w:rPr>
        <w:t>Špecifický cieľ č. 4.1:</w:t>
      </w:r>
    </w:p>
    <w:p>
      <w:pPr>
        <w:shd w:val="clear" w:color="auto" w:fill="D9D9D9"/>
        <w:jc w:val="both"/>
        <w:rPr>
          <w:rStyle w:val="Zvraznenie"/>
          <w:rFonts w:ascii="Arial" w:hAnsi="Arial" w:cs="Arial"/>
        </w:rPr>
      </w:pPr>
      <w:r>
        <w:rPr>
          <w:rStyle w:val="Zvraznenie"/>
          <w:rFonts w:ascii="Arial" w:hAnsi="Arial" w:cs="Arial"/>
        </w:rPr>
        <w:t>Zvýšenie energetickej efektívnosti budov na bývanie</w:t>
      </w:r>
    </w:p>
    <w:p>
      <w:pPr>
        <w:jc w:val="both"/>
        <w:rPr>
          <w:rFonts w:ascii="Arial" w:hAnsi="Arial" w:cs="Arial"/>
        </w:rPr>
      </w:pPr>
      <w:r>
        <w:rPr>
          <w:rFonts w:ascii="Arial" w:hAnsi="Arial" w:cs="Arial"/>
        </w:rPr>
        <w:t>V záujme dosiahnutia maximálnej úspory energie v sektore bývania bude potrebné zamerať sa na dosiahnutie komplexnej obnovy existujúcich budov umožnením ich systematickej (nie čiastočnej) obnovy nad rámec nákladovo-optimálnych požiadaviek uvedených v Smernici o energetickej hospodárnosti budov</w:t>
      </w:r>
      <w:r>
        <w:rPr>
          <w:rStyle w:val="Odkaznapoznmkupodiarou"/>
          <w:rFonts w:ascii="Arial" w:hAnsi="Arial" w:cs="Arial"/>
        </w:rPr>
        <w:footnoteReference w:id="57"/>
      </w:r>
      <w:r>
        <w:rPr>
          <w:rFonts w:ascii="Arial" w:hAnsi="Arial" w:cs="Arial"/>
        </w:rPr>
        <w:t xml:space="preserve">. Zároveň sa očakáva podporovať inovačné </w:t>
      </w:r>
      <w:proofErr w:type="spellStart"/>
      <w:r>
        <w:rPr>
          <w:rFonts w:ascii="Arial" w:hAnsi="Arial" w:cs="Arial"/>
        </w:rPr>
        <w:t>nízkouhlíkové</w:t>
      </w:r>
      <w:proofErr w:type="spellEnd"/>
      <w:r>
        <w:rPr>
          <w:rFonts w:ascii="Arial" w:hAnsi="Arial" w:cs="Arial"/>
        </w:rPr>
        <w:t xml:space="preserve"> technológie a systémový prístup k stavbám znižovaním energetickej náročnosti. Pre dosiahnutie parametrov takmer nulovej budovy je potrebné vychádzať z akceptovania a stanovenia troch na seba nadväzujúcich kritérií:</w:t>
      </w:r>
    </w:p>
    <w:p>
      <w:pPr>
        <w:pStyle w:val="Odsekzoznamu"/>
        <w:numPr>
          <w:ilvl w:val="0"/>
          <w:numId w:val="54"/>
        </w:numPr>
        <w:jc w:val="both"/>
        <w:rPr>
          <w:rFonts w:ascii="Arial" w:hAnsi="Arial" w:cs="Arial"/>
        </w:rPr>
      </w:pPr>
      <w:r>
        <w:rPr>
          <w:rFonts w:ascii="Arial" w:hAnsi="Arial" w:cs="Arial"/>
        </w:rPr>
        <w:t>Zníženie mernej potreby tepla na vykurovanie na minimum.</w:t>
      </w:r>
    </w:p>
    <w:p>
      <w:pPr>
        <w:pStyle w:val="Odsekzoznamu"/>
        <w:numPr>
          <w:ilvl w:val="0"/>
          <w:numId w:val="54"/>
        </w:numPr>
        <w:jc w:val="both"/>
        <w:rPr>
          <w:rFonts w:ascii="Arial" w:hAnsi="Arial" w:cs="Arial"/>
        </w:rPr>
      </w:pPr>
      <w:r>
        <w:rPr>
          <w:rFonts w:ascii="Arial" w:hAnsi="Arial" w:cs="Arial"/>
        </w:rPr>
        <w:t>Zníženie spotreby primárnej energie na vykurovanie, chladenie, vetranie, prípravu teplej vody a osvetlenie.</w:t>
      </w:r>
    </w:p>
    <w:p>
      <w:pPr>
        <w:pStyle w:val="Odsekzoznamu"/>
        <w:numPr>
          <w:ilvl w:val="0"/>
          <w:numId w:val="54"/>
        </w:numPr>
        <w:jc w:val="both"/>
        <w:rPr>
          <w:rFonts w:ascii="Arial" w:hAnsi="Arial" w:cs="Arial"/>
        </w:rPr>
      </w:pPr>
      <w:r>
        <w:rPr>
          <w:rFonts w:ascii="Arial" w:hAnsi="Arial" w:cs="Arial"/>
        </w:rPr>
        <w:t>Značné pokrytie celkovej potreby primárnej energie obnoviteľnými zdrojmi energie (ďalej len „OZE“).</w:t>
      </w:r>
      <w:r>
        <w:rPr>
          <w:rStyle w:val="Odkaznapoznmkupodiarou"/>
          <w:rFonts w:ascii="Arial" w:hAnsi="Arial" w:cs="Arial"/>
        </w:rPr>
        <w:footnoteReference w:id="58"/>
      </w:r>
    </w:p>
    <w:p>
      <w:pPr>
        <w:jc w:val="both"/>
        <w:rPr>
          <w:rFonts w:ascii="Arial" w:hAnsi="Arial" w:cs="Arial"/>
          <w:b/>
        </w:rPr>
      </w:pPr>
      <w:r>
        <w:rPr>
          <w:rFonts w:ascii="Arial" w:hAnsi="Arial" w:cs="Arial"/>
          <w:b/>
        </w:rPr>
        <w:t>Výsledok podpory IROP:</w:t>
      </w:r>
    </w:p>
    <w:p>
      <w:pPr>
        <w:pStyle w:val="Odsekzoznamu"/>
        <w:numPr>
          <w:ilvl w:val="0"/>
          <w:numId w:val="62"/>
        </w:numPr>
        <w:jc w:val="both"/>
        <w:rPr>
          <w:rFonts w:ascii="Arial" w:hAnsi="Arial" w:cs="Arial"/>
          <w:szCs w:val="24"/>
        </w:rPr>
      </w:pPr>
      <w:r>
        <w:rPr>
          <w:rFonts w:ascii="Arial" w:hAnsi="Arial" w:cs="Arial"/>
          <w:szCs w:val="24"/>
        </w:rPr>
        <w:t>zníženie energetickej náročnosti budov na bývanie.</w:t>
      </w:r>
    </w:p>
    <w:p>
      <w:pPr>
        <w:jc w:val="both"/>
        <w:rPr>
          <w:rStyle w:val="Zvraznenie"/>
          <w:rFonts w:ascii="Arial" w:hAnsi="Arial" w:cs="Arial"/>
        </w:rPr>
      </w:pPr>
      <w:r>
        <w:rPr>
          <w:rStyle w:val="Siln"/>
          <w:rFonts w:ascii="Arial" w:hAnsi="Arial" w:cs="Arial"/>
        </w:rPr>
        <w:t>Tabuľka č. 24</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4"/>
        <w:gridCol w:w="1316"/>
        <w:gridCol w:w="937"/>
        <w:gridCol w:w="974"/>
        <w:gridCol w:w="1293"/>
        <w:gridCol w:w="1293"/>
        <w:gridCol w:w="906"/>
        <w:gridCol w:w="1132"/>
        <w:gridCol w:w="1053"/>
      </w:tblGrid>
      <w:tr>
        <w:tc>
          <w:tcPr>
            <w:tcW w:w="3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Energetická hospodárnosť budov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kWh/(m</w:t>
            </w:r>
            <w:r>
              <w:rPr>
                <w:rFonts w:ascii="Arial" w:hAnsi="Arial" w:cs="Arial"/>
                <w:sz w:val="16"/>
                <w:szCs w:val="16"/>
                <w:vertAlign w:val="superscript"/>
              </w:rPr>
              <w:t>2</w:t>
            </w:r>
            <w:r>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3 roky</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Energetická hospodárnosť budov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8"/>
              </w:rPr>
              <w:t>kWh/(m</w:t>
            </w:r>
            <w:r>
              <w:rPr>
                <w:rFonts w:ascii="Arial" w:hAnsi="Arial" w:cs="Arial"/>
                <w:sz w:val="16"/>
                <w:szCs w:val="18"/>
                <w:vertAlign w:val="superscript"/>
              </w:rPr>
              <w:t>2</w:t>
            </w:r>
            <w:r>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Raz za 3 roky</w:t>
            </w:r>
          </w:p>
        </w:tc>
      </w:tr>
    </w:tbl>
    <w:p>
      <w:pPr>
        <w:rPr>
          <w:rFonts w:ascii="Arial" w:hAnsi="Arial" w:cs="Arial"/>
        </w:rPr>
      </w:pPr>
    </w:p>
    <w:p>
      <w:pPr>
        <w:rPr>
          <w:rFonts w:ascii="Arial" w:hAnsi="Arial" w:cs="Arial"/>
        </w:rPr>
      </w:pPr>
    </w:p>
    <w:p>
      <w:pPr>
        <w:rPr>
          <w:rFonts w:ascii="Arial" w:hAnsi="Arial" w:cs="Arial"/>
        </w:rPr>
      </w:pPr>
    </w:p>
    <w:p>
      <w:pPr>
        <w:pStyle w:val="Nadpis5"/>
        <w:shd w:val="clear" w:color="auto" w:fill="B8C1E9"/>
        <w:rPr>
          <w:rFonts w:ascii="Arial" w:hAnsi="Arial" w:cs="Arial"/>
        </w:rPr>
      </w:pPr>
      <w:bookmarkStart w:id="65" w:name="_Toc387651837"/>
      <w:r>
        <w:rPr>
          <w:rFonts w:ascii="Arial" w:hAnsi="Arial" w:cs="Arial"/>
        </w:rPr>
        <w:lastRenderedPageBreak/>
        <w:t>Akcia, ktorá sa má podporiť v rámci investičnej priority</w:t>
      </w:r>
      <w:bookmarkEnd w:id="65"/>
      <w:r>
        <w:rPr>
          <w:rFonts w:ascii="Arial" w:hAnsi="Arial" w:cs="Arial"/>
        </w:rPr>
        <w:t xml:space="preserve"> </w:t>
      </w:r>
    </w:p>
    <w:p>
      <w:pPr>
        <w:pStyle w:val="Nadpis6"/>
        <w:rPr>
          <w:rFonts w:ascii="Arial" w:hAnsi="Arial" w:cs="Arial"/>
        </w:rPr>
      </w:pPr>
      <w:bookmarkStart w:id="66" w:name="_Toc387651838"/>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66"/>
      <w:r>
        <w:rPr>
          <w:rFonts w:ascii="Arial" w:hAnsi="Arial" w:cs="Arial"/>
        </w:rPr>
        <w:t xml:space="preserve"> </w:t>
      </w:r>
    </w:p>
    <w:p>
      <w:pPr>
        <w:tabs>
          <w:tab w:val="left" w:pos="1425"/>
        </w:tabs>
        <w:jc w:val="both"/>
        <w:rPr>
          <w:rFonts w:ascii="Arial" w:hAnsi="Arial" w:cs="Arial"/>
        </w:rPr>
      </w:pPr>
    </w:p>
    <w:p>
      <w:pPr>
        <w:jc w:val="both"/>
        <w:rPr>
          <w:rFonts w:ascii="Arial" w:hAnsi="Arial" w:cs="Arial"/>
        </w:rPr>
      </w:pPr>
      <w:r>
        <w:rPr>
          <w:rFonts w:ascii="Arial" w:hAnsi="Arial" w:cs="Arial"/>
          <w:b/>
        </w:rPr>
        <w:t>Špecifický cieľ č. 4.1</w:t>
      </w:r>
      <w:r>
        <w:rPr>
          <w:rFonts w:ascii="Arial" w:hAnsi="Arial" w:cs="Arial"/>
        </w:rPr>
        <w:t xml:space="preserve"> sa dosiahne realizáciou nasledovných aktivít: </w:t>
      </w:r>
    </w:p>
    <w:p>
      <w:pPr>
        <w:pStyle w:val="Odsekzoznamu"/>
        <w:numPr>
          <w:ilvl w:val="0"/>
          <w:numId w:val="34"/>
        </w:numPr>
        <w:jc w:val="both"/>
        <w:rPr>
          <w:rFonts w:ascii="Arial" w:hAnsi="Arial" w:cs="Arial"/>
        </w:rPr>
      </w:pPr>
      <w:r>
        <w:rPr>
          <w:rFonts w:ascii="Arial" w:hAnsi="Arial" w:cs="Arial"/>
        </w:rPr>
        <w:t>zlepšovanie tepelno-technických vlastností stavebných konštrukcií bytových domov,</w:t>
      </w:r>
    </w:p>
    <w:p>
      <w:pPr>
        <w:pStyle w:val="Odsekzoznamu"/>
        <w:numPr>
          <w:ilvl w:val="0"/>
          <w:numId w:val="34"/>
        </w:numPr>
        <w:jc w:val="both"/>
        <w:rPr>
          <w:rFonts w:ascii="Arial" w:hAnsi="Arial" w:cs="Arial"/>
        </w:rPr>
      </w:pPr>
      <w:r>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p>
    <w:p>
      <w:pPr>
        <w:pStyle w:val="Odsekzoznamu"/>
        <w:numPr>
          <w:ilvl w:val="0"/>
          <w:numId w:val="34"/>
        </w:numPr>
        <w:jc w:val="both"/>
        <w:rPr>
          <w:rFonts w:ascii="Arial" w:hAnsi="Arial" w:cs="Arial"/>
        </w:rPr>
      </w:pPr>
      <w:r>
        <w:rPr>
          <w:rFonts w:ascii="Arial" w:hAnsi="Arial" w:cs="Arial"/>
        </w:rPr>
        <w:t>modernizácia osvetlenia za účelom zníženia spotreby energie,</w:t>
      </w:r>
    </w:p>
    <w:p>
      <w:pPr>
        <w:pStyle w:val="Odsekzoznamu"/>
        <w:numPr>
          <w:ilvl w:val="0"/>
          <w:numId w:val="34"/>
        </w:numPr>
        <w:jc w:val="both"/>
        <w:rPr>
          <w:rFonts w:ascii="Arial" w:hAnsi="Arial" w:cs="Arial"/>
        </w:rPr>
      </w:pPr>
      <w:r>
        <w:rPr>
          <w:rFonts w:ascii="Arial" w:hAnsi="Arial" w:cs="Arial"/>
        </w:rPr>
        <w:t>modernizácia výťahov  za účelom zníženia spotreby energie,</w:t>
      </w:r>
    </w:p>
    <w:p>
      <w:pPr>
        <w:pStyle w:val="Odsekzoznamu"/>
        <w:numPr>
          <w:ilvl w:val="0"/>
          <w:numId w:val="34"/>
        </w:numPr>
        <w:jc w:val="both"/>
        <w:rPr>
          <w:rFonts w:ascii="Arial" w:hAnsi="Arial" w:cs="Arial"/>
        </w:rPr>
      </w:pPr>
      <w:r>
        <w:rPr>
          <w:rFonts w:ascii="Arial" w:hAnsi="Arial" w:cs="Arial"/>
        </w:rPr>
        <w:t>odstránenie systémových porúch bytových domov zateplením za účelom zníženia spotreby energie.</w:t>
      </w:r>
    </w:p>
    <w:p>
      <w:pPr>
        <w:jc w:val="both"/>
        <w:rPr>
          <w:rFonts w:ascii="Arial" w:hAnsi="Arial" w:cs="Arial"/>
        </w:rPr>
      </w:pPr>
      <w:r>
        <w:rPr>
          <w:rFonts w:ascii="Arial" w:hAnsi="Arial" w:cs="Arial"/>
        </w:rPr>
        <w:t xml:space="preserve">Oprávnení prijímatelia: </w:t>
      </w:r>
    </w:p>
    <w:p>
      <w:pPr>
        <w:pStyle w:val="Odsekzoznamu"/>
        <w:numPr>
          <w:ilvl w:val="0"/>
          <w:numId w:val="64"/>
        </w:numPr>
        <w:tabs>
          <w:tab w:val="clear" w:pos="360"/>
          <w:tab w:val="num" w:pos="720"/>
        </w:tabs>
        <w:ind w:left="720"/>
        <w:jc w:val="both"/>
        <w:rPr>
          <w:rFonts w:ascii="Arial" w:hAnsi="Arial" w:cs="Arial"/>
        </w:rPr>
      </w:pPr>
      <w:r>
        <w:rPr>
          <w:rFonts w:ascii="Arial" w:hAnsi="Arial" w:cs="Arial"/>
        </w:rPr>
        <w:t>rozpočtové a príspevkové organizácie, spoločenstvá vlastníkov bytov a nebytových priestorov.</w:t>
      </w:r>
    </w:p>
    <w:p>
      <w:pPr>
        <w:jc w:val="both"/>
        <w:rPr>
          <w:rFonts w:ascii="Arial" w:hAnsi="Arial" w:cs="Arial"/>
        </w:rPr>
      </w:pPr>
      <w:r>
        <w:rPr>
          <w:rFonts w:ascii="Arial" w:hAnsi="Arial" w:cs="Arial"/>
        </w:rPr>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pPr>
        <w:jc w:val="both"/>
        <w:rPr>
          <w:rFonts w:ascii="Arial" w:hAnsi="Arial" w:cs="Arial"/>
        </w:rPr>
      </w:pPr>
      <w:r>
        <w:rPr>
          <w:rFonts w:ascii="Arial" w:hAnsi="Arial" w:cs="Arial"/>
        </w:rPr>
        <w:t>Cieľové územie:</w:t>
      </w:r>
    </w:p>
    <w:p>
      <w:pPr>
        <w:pStyle w:val="Odsekzoznamu"/>
        <w:numPr>
          <w:ilvl w:val="0"/>
          <w:numId w:val="64"/>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r>
        <w:rPr>
          <w:rFonts w:ascii="Times New Roman" w:eastAsia="Times New Roman" w:hAnsi="Times New Roman"/>
          <w:sz w:val="24"/>
          <w:szCs w:val="24"/>
          <w:lang w:eastAsia="sk-SK"/>
        </w:rPr>
        <w:t xml:space="preserve"> </w:t>
      </w:r>
    </w:p>
    <w:p>
      <w:pPr>
        <w:jc w:val="both"/>
        <w:rPr>
          <w:rFonts w:ascii="Arial" w:hAnsi="Arial" w:cs="Arial"/>
        </w:rPr>
      </w:pPr>
      <w:r>
        <w:rPr>
          <w:rFonts w:ascii="Arial" w:hAnsi="Arial" w:cs="Arial"/>
        </w:rPr>
        <w:t xml:space="preserve">Na plnenie špecifického cieľa č. 4.1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pStyle w:val="Nadpis6"/>
        <w:rPr>
          <w:rFonts w:ascii="Arial" w:hAnsi="Arial" w:cs="Arial"/>
        </w:rPr>
      </w:pPr>
      <w:bookmarkStart w:id="67" w:name="_Toc387651839"/>
      <w:r>
        <w:rPr>
          <w:rFonts w:ascii="Arial" w:hAnsi="Arial" w:cs="Arial"/>
        </w:rPr>
        <w:t>2.4.1.2. Hlavné zásady výberu operácií</w:t>
      </w:r>
      <w:bookmarkEnd w:id="67"/>
    </w:p>
    <w:p>
      <w:pPr>
        <w:spacing w:after="120"/>
        <w:ind w:left="720"/>
        <w:rPr>
          <w:rFonts w:eastAsia="Calibri"/>
          <w:b/>
          <w:bCs/>
          <w:szCs w:val="24"/>
        </w:rPr>
      </w:pPr>
    </w:p>
    <w:p>
      <w:pPr>
        <w:jc w:val="both"/>
        <w:rPr>
          <w:rFonts w:ascii="Arial" w:hAnsi="Arial" w:cs="Arial"/>
        </w:rPr>
      </w:pPr>
      <w:r>
        <w:rPr>
          <w:rFonts w:ascii="Arial" w:hAnsi="Arial" w:cs="Arial"/>
        </w:rPr>
        <w:t>Pre efektívne dosiahnutie čo najväčšieho príspevku operácií/projektov k naplneniu špecifického cieľa 4.1 a dosiahnutie stanovených výsledkov navrhované operácie/projekty rešpektujú nasledovné princípy:</w:t>
      </w:r>
    </w:p>
    <w:p>
      <w:pPr>
        <w:pStyle w:val="Odsekzoznamu"/>
        <w:numPr>
          <w:ilvl w:val="0"/>
          <w:numId w:val="34"/>
        </w:numPr>
        <w:jc w:val="both"/>
        <w:rPr>
          <w:rFonts w:ascii="Arial" w:hAnsi="Arial" w:cs="Arial"/>
        </w:rPr>
      </w:pPr>
      <w:r>
        <w:rPr>
          <w:rFonts w:ascii="Arial" w:hAnsi="Arial" w:cs="Arial"/>
        </w:rPr>
        <w:t>pre operácie/projekty na obnovu bytových budov nad rámec nákladovo-optimálnych požiadaviek uvedených v Smernici o energetickej hospodárnosti budov/aktuálne požadovanej úrovne energetickej hospodárnosti podľa STN 73 0540-2: 2012 sa zavedie efektívna bonifikácia;</w:t>
      </w:r>
    </w:p>
    <w:p>
      <w:pPr>
        <w:pStyle w:val="Odsekzoznamu"/>
        <w:numPr>
          <w:ilvl w:val="0"/>
          <w:numId w:val="34"/>
        </w:numPr>
        <w:jc w:val="both"/>
        <w:rPr>
          <w:rFonts w:ascii="Arial" w:hAnsi="Arial" w:cs="Arial"/>
        </w:rPr>
      </w:pPr>
      <w:r>
        <w:rPr>
          <w:rFonts w:ascii="Arial" w:hAnsi="Arial" w:cs="Arial"/>
        </w:rPr>
        <w:t>podpora je podmienená existenciou energetického auditu a overenia plánovaných úspor;</w:t>
      </w:r>
    </w:p>
    <w:p>
      <w:pPr>
        <w:pStyle w:val="Odsekzoznamu"/>
        <w:numPr>
          <w:ilvl w:val="0"/>
          <w:numId w:val="34"/>
        </w:numPr>
        <w:jc w:val="both"/>
        <w:rPr>
          <w:rFonts w:ascii="Arial" w:hAnsi="Arial" w:cs="Arial"/>
        </w:rPr>
      </w:pPr>
      <w:r>
        <w:rPr>
          <w:rFonts w:ascii="Arial" w:hAnsi="Arial" w:cs="Arial"/>
        </w:rPr>
        <w:lastRenderedPageBreak/>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34"/>
        </w:numPr>
        <w:jc w:val="both"/>
        <w:rPr>
          <w:rFonts w:ascii="Arial" w:hAnsi="Arial" w:cs="Arial"/>
        </w:rPr>
      </w:pPr>
      <w:r>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34"/>
        </w:numPr>
        <w:jc w:val="both"/>
        <w:rPr>
          <w:rFonts w:ascii="Arial" w:hAnsi="Arial" w:cs="Arial"/>
        </w:rPr>
      </w:pPr>
      <w:r>
        <w:rPr>
          <w:rFonts w:ascii="Arial" w:hAnsi="Arial" w:cs="Arial"/>
        </w:rPr>
        <w:t>projekt uplatňuje zásadu „znečisťovateľ platí“.</w:t>
      </w:r>
    </w:p>
    <w:p>
      <w:pPr>
        <w:pStyle w:val="Nadpis6"/>
        <w:rPr>
          <w:rFonts w:ascii="Arial" w:hAnsi="Arial" w:cs="Arial"/>
        </w:rPr>
      </w:pPr>
      <w:bookmarkStart w:id="68" w:name="_Toc387651840"/>
      <w:r>
        <w:rPr>
          <w:rFonts w:ascii="Arial" w:hAnsi="Arial" w:cs="Arial"/>
        </w:rPr>
        <w:t>2.4.1.3. Plánované využitie finančných nástrojov</w:t>
      </w:r>
      <w:bookmarkEnd w:id="68"/>
    </w:p>
    <w:p>
      <w:pPr>
        <w:spacing w:before="240"/>
        <w:jc w:val="both"/>
        <w:rPr>
          <w:rFonts w:ascii="Arial" w:hAnsi="Arial" w:cs="Arial"/>
        </w:rPr>
      </w:pPr>
      <w:bookmarkStart w:id="69" w:name="_Toc378169920"/>
      <w:bookmarkStart w:id="70" w:name="_Toc383337495"/>
      <w:bookmarkStart w:id="71" w:name="_Toc383369315"/>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72" w:name="_Toc387651841"/>
      <w:bookmarkEnd w:id="69"/>
      <w:bookmarkEnd w:id="70"/>
      <w:bookmarkEnd w:id="71"/>
      <w:r>
        <w:rPr>
          <w:rFonts w:ascii="Arial" w:hAnsi="Arial" w:cs="Arial"/>
        </w:rPr>
        <w:t>2.4.1.4. Plánované využitie veľkých projektov</w:t>
      </w:r>
      <w:bookmarkEnd w:id="72"/>
    </w:p>
    <w:p>
      <w:pPr>
        <w:jc w:val="both"/>
        <w:rPr>
          <w:rFonts w:ascii="Arial" w:hAnsi="Arial" w:cs="Arial"/>
        </w:rPr>
      </w:pPr>
      <w:bookmarkStart w:id="73" w:name="_Toc369530738"/>
      <w:bookmarkStart w:id="74" w:name="_Toc369876850"/>
      <w:bookmarkStart w:id="75" w:name="_Toc377990756"/>
      <w:r>
        <w:rPr>
          <w:rFonts w:ascii="Arial" w:hAnsi="Arial" w:cs="Arial"/>
        </w:rPr>
        <w:t xml:space="preserve">V tejto investičnej priorite nie sú podporované projekty z kategórie veľkých projektov podľa čl. 100 – 103 </w:t>
      </w:r>
      <w:bookmarkEnd w:id="73"/>
      <w:bookmarkEnd w:id="74"/>
      <w:bookmarkEnd w:id="75"/>
      <w:r>
        <w:rPr>
          <w:rFonts w:ascii="Arial" w:hAnsi="Arial" w:cs="Arial"/>
        </w:rPr>
        <w:t>nariadenia EP a Rady (EÚ) č. 1303/2013.</w:t>
      </w:r>
    </w:p>
    <w:p>
      <w:pPr>
        <w:jc w:val="both"/>
        <w:rPr>
          <w:rFonts w:ascii="Arial" w:hAnsi="Arial" w:cs="Arial"/>
        </w:rPr>
      </w:pPr>
    </w:p>
    <w:p>
      <w:pPr>
        <w:jc w:val="both"/>
        <w:rPr>
          <w:rFonts w:ascii="Arial" w:hAnsi="Arial" w:cs="Arial"/>
        </w:rPr>
      </w:pPr>
    </w:p>
    <w:p>
      <w:pPr>
        <w:pStyle w:val="Nadpis6"/>
        <w:rPr>
          <w:rFonts w:ascii="Arial" w:hAnsi="Arial" w:cs="Arial"/>
        </w:rPr>
      </w:pPr>
      <w:bookmarkStart w:id="76" w:name="_Toc387651842"/>
      <w:r>
        <w:rPr>
          <w:rFonts w:ascii="Arial" w:hAnsi="Arial" w:cs="Arial"/>
        </w:rPr>
        <w:lastRenderedPageBreak/>
        <w:t>2.4.1.5. Ukazovatele výstupov podľa investičnej priority a ak je to vhodné, podľa kategórie regiónu</w:t>
      </w:r>
      <w:bookmarkEnd w:id="76"/>
    </w:p>
    <w:p>
      <w:pPr>
        <w:spacing w:before="120"/>
        <w:rPr>
          <w:rFonts w:ascii="Arial" w:hAnsi="Arial" w:cs="Arial"/>
        </w:rPr>
      </w:pPr>
      <w:r>
        <w:rPr>
          <w:rStyle w:val="Siln"/>
          <w:rFonts w:ascii="Arial" w:hAnsi="Arial" w:cs="Arial"/>
        </w:rPr>
        <w:t>Tabuľka č. 25</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1"/>
        <w:gridCol w:w="1400"/>
        <w:gridCol w:w="1041"/>
        <w:gridCol w:w="969"/>
        <w:gridCol w:w="976"/>
        <w:gridCol w:w="657"/>
        <w:gridCol w:w="662"/>
        <w:gridCol w:w="1017"/>
        <w:gridCol w:w="1132"/>
        <w:gridCol w:w="1053"/>
      </w:tblGrid>
      <w:tr>
        <w:trPr>
          <w:trHeight w:val="278"/>
        </w:trPr>
        <w:tc>
          <w:tcPr>
            <w:tcW w:w="38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0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4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336"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3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4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65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66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0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3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domácností zaradených do zlepšenej energetickej triedy</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Domácnosť </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26 229</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color w:val="000000"/>
                <w:sz w:val="16"/>
                <w:szCs w:val="16"/>
              </w:rPr>
            </w:pPr>
            <w:r>
              <w:rPr>
                <w:rFonts w:ascii="Arial" w:hAnsi="Arial" w:cs="Arial"/>
                <w:color w:val="000000"/>
                <w:sz w:val="16"/>
                <w:szCs w:val="16"/>
              </w:rPr>
              <w:t>Štatistický úrad SR a ŠFRB</w:t>
            </w:r>
          </w:p>
          <w:p>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pPr>
            <w:r>
              <w:rPr>
                <w:rFonts w:ascii="Arial" w:hAnsi="Arial" w:cs="Arial"/>
                <w:sz w:val="16"/>
                <w:szCs w:val="16"/>
              </w:rPr>
              <w:t>Počet domácností zaradených do zlepšenej energetickej triedy</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Domácnosť</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11 570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color w:val="000000"/>
                <w:sz w:val="16"/>
                <w:szCs w:val="16"/>
              </w:rPr>
            </w:pPr>
            <w:r>
              <w:rPr>
                <w:rFonts w:ascii="Arial" w:hAnsi="Arial" w:cs="Arial"/>
                <w:color w:val="000000"/>
                <w:sz w:val="16"/>
                <w:szCs w:val="16"/>
              </w:rPr>
              <w:t>Štatistický úrad SR a ŠFRB</w:t>
            </w:r>
          </w:p>
          <w:p>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Spotreba PEZ v budovách na bývanie</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roofErr w:type="spellStart"/>
            <w:r>
              <w:rPr>
                <w:rFonts w:ascii="Arial" w:hAnsi="Arial" w:cs="Arial"/>
                <w:sz w:val="16"/>
                <w:szCs w:val="16"/>
              </w:rPr>
              <w:t>MWh</w:t>
            </w:r>
            <w:proofErr w:type="spellEnd"/>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425 000,00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0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Spotreba PEZ v budovách na bývanie</w:t>
            </w:r>
          </w:p>
        </w:tc>
        <w:tc>
          <w:tcPr>
            <w:tcW w:w="104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roofErr w:type="spellStart"/>
            <w:r>
              <w:rPr>
                <w:rFonts w:ascii="Arial" w:hAnsi="Arial" w:cs="Arial"/>
                <w:sz w:val="16"/>
                <w:szCs w:val="16"/>
              </w:rPr>
              <w:t>MWh</w:t>
            </w:r>
            <w:proofErr w:type="spellEnd"/>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65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0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50 000,00</w:t>
            </w:r>
          </w:p>
        </w:tc>
        <w:tc>
          <w:tcPr>
            <w:tcW w:w="113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Monitorovací systém energetickej efektívnosti (SIEA),</w:t>
            </w:r>
          </w:p>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rPr>
      </w:pPr>
    </w:p>
    <w:p>
      <w:pPr>
        <w:pStyle w:val="Nadpis4"/>
        <w:shd w:val="clear" w:color="auto" w:fill="21306A"/>
        <w:rPr>
          <w:rFonts w:ascii="Arial" w:hAnsi="Arial" w:cs="Arial"/>
          <w:color w:val="FFFFFF"/>
        </w:rPr>
      </w:pPr>
      <w:bookmarkStart w:id="77" w:name="_Toc387651843"/>
      <w:r>
        <w:rPr>
          <w:rFonts w:ascii="Arial" w:hAnsi="Arial" w:cs="Arial"/>
          <w:color w:val="FFFFFF"/>
        </w:rPr>
        <w:t xml:space="preserve">2.4.2. Investičná priorita č. 4.2: Investovanie do sektora vodného hospodárstva s cieľom splniť požiadavky environmentálneho </w:t>
      </w:r>
      <w:proofErr w:type="spellStart"/>
      <w:r>
        <w:rPr>
          <w:rFonts w:ascii="Arial" w:hAnsi="Arial" w:cs="Arial"/>
          <w:color w:val="FFFFFF"/>
        </w:rPr>
        <w:t>acquis</w:t>
      </w:r>
      <w:proofErr w:type="spellEnd"/>
      <w:r>
        <w:rPr>
          <w:rFonts w:ascii="Arial" w:hAnsi="Arial" w:cs="Arial"/>
          <w:color w:val="FFFFFF"/>
        </w:rPr>
        <w:t xml:space="preserve"> Únie a pokryť potreby, ktoré členské štáty špecifikovali v súvislosti s investíciami nad rámec týchto požiadaviek</w:t>
      </w:r>
      <w:bookmarkEnd w:id="77"/>
    </w:p>
    <w:p>
      <w:pPr>
        <w:rPr>
          <w:rFonts w:ascii="Arial" w:hAnsi="Arial" w:cs="Arial"/>
        </w:rPr>
      </w:pPr>
    </w:p>
    <w:p>
      <w:pPr>
        <w:rPr>
          <w:rFonts w:ascii="Arial" w:hAnsi="Arial" w:cs="Arial"/>
          <w:b/>
          <w:color w:val="4EACF3"/>
        </w:rPr>
      </w:pPr>
      <w:bookmarkStart w:id="78" w:name="_Toc369530741"/>
      <w:bookmarkStart w:id="79" w:name="_Toc369876853"/>
      <w:bookmarkStart w:id="80" w:name="_Toc377990759"/>
      <w:bookmarkStart w:id="81" w:name="_Toc378169924"/>
      <w:bookmarkStart w:id="82" w:name="_Toc383369319"/>
      <w:r>
        <w:rPr>
          <w:rFonts w:ascii="Arial" w:hAnsi="Arial" w:cs="Arial"/>
          <w:b/>
        </w:rPr>
        <w:t>Špecifický cieľ č. 4.2.1:</w:t>
      </w:r>
      <w:bookmarkEnd w:id="78"/>
      <w:bookmarkEnd w:id="79"/>
      <w:bookmarkEnd w:id="80"/>
      <w:bookmarkEnd w:id="81"/>
      <w:bookmarkEnd w:id="82"/>
      <w:r>
        <w:rPr>
          <w:rFonts w:ascii="Arial" w:hAnsi="Arial" w:cs="Arial"/>
          <w:b/>
        </w:rPr>
        <w:t xml:space="preserve"> </w:t>
      </w:r>
    </w:p>
    <w:p>
      <w:pPr>
        <w:shd w:val="clear" w:color="auto" w:fill="D9D9D9"/>
        <w:jc w:val="both"/>
        <w:rPr>
          <w:rStyle w:val="Zvraznenie"/>
          <w:rFonts w:ascii="Arial" w:hAnsi="Arial" w:cs="Arial"/>
        </w:rPr>
      </w:pPr>
      <w:r>
        <w:rPr>
          <w:rStyle w:val="Zvraznenie"/>
          <w:rFonts w:ascii="Arial" w:hAnsi="Arial" w:cs="Arial"/>
        </w:rPr>
        <w:t>Zvýšenie dostupnosti zdrojov podzemných vôd pre zásobovanie obyvateľstva pitnou vodou</w:t>
      </w:r>
    </w:p>
    <w:p>
      <w:pPr>
        <w:jc w:val="both"/>
        <w:rPr>
          <w:rStyle w:val="Siln"/>
          <w:rFonts w:ascii="Arial" w:hAnsi="Arial" w:cs="Arial"/>
          <w:b w:val="0"/>
        </w:rPr>
      </w:pPr>
      <w:r>
        <w:rPr>
          <w:rStyle w:val="Siln"/>
          <w:rFonts w:ascii="Arial" w:hAnsi="Arial" w:cs="Arial"/>
          <w:b w:val="0"/>
        </w:rPr>
        <w:t xml:space="preserve">V rámci uvedenej aktivity sa  jedná o zabezpečenie zásobovania pitnou vodou v oblastiach postihnutých dopadmi zmeny klímy, v dôsledku ktorých vzniká potreba nových  zdrojov  podzemných vôd. </w:t>
      </w:r>
      <w:r>
        <w:rPr>
          <w:rStyle w:val="Siln"/>
          <w:rFonts w:ascii="Arial" w:hAnsi="Arial" w:cs="Arial"/>
        </w:rPr>
        <w:t>Na zásobovanie obyvateľstva pitnou vodou sa v SR prednostne v</w:t>
      </w:r>
      <w:r>
        <w:rPr>
          <w:rStyle w:val="Siln"/>
          <w:rFonts w:ascii="Arial" w:hAnsi="Arial" w:cs="Arial"/>
          <w:b w:val="0"/>
        </w:rPr>
        <w:t> </w:t>
      </w:r>
      <w:r>
        <w:rPr>
          <w:rStyle w:val="Siln"/>
          <w:rFonts w:ascii="Arial" w:hAnsi="Arial" w:cs="Arial"/>
        </w:rPr>
        <w:t>podiele viac ako 80% využívajú kvalitné zdroje podzemnej vody.</w:t>
      </w:r>
      <w:r>
        <w:rPr>
          <w:rStyle w:val="Siln"/>
          <w:rFonts w:ascii="Arial" w:hAnsi="Arial" w:cs="Arial"/>
          <w:b w:val="0"/>
        </w:rPr>
        <w:t xml:space="preserve"> Pri riešení tejto problematiky sa bude vychádzať z Národných správ SR o zmene klímy, ktoré sú vypracovávané v rámci plnenia záväzkov podľa článku 4 a 12 Rámcového dohovoru OSN o zmene klímy, Vodného plánu SR 2009 – 2015 a Stratégie adaptácie SR na nepriaznivé dôsledky zmeny klímy.</w:t>
      </w:r>
    </w:p>
    <w:p>
      <w:pPr>
        <w:jc w:val="both"/>
        <w:rPr>
          <w:rStyle w:val="Siln"/>
          <w:rFonts w:ascii="Arial" w:hAnsi="Arial" w:cs="Arial"/>
          <w:b w:val="0"/>
        </w:rPr>
      </w:pPr>
      <w:r>
        <w:rPr>
          <w:rStyle w:val="Siln"/>
          <w:rFonts w:ascii="Arial" w:hAnsi="Arial" w:cs="Arial"/>
          <w:b w:val="0"/>
        </w:rPr>
        <w:t>Uvedené vychádza z dlhodobých pozorovaní vplyvu klimatickej zmeny na jednotlivé regióny Slovenska, výsledkom čoho je rozdelenie hlavných povodí SR do troch základných skupín s ohľadom na dopad klimatickej zmeny na zásoby podzemných vôd, pričom vo všetkých skupinách je dokumentovaný jednoznačný pokles. Do prvej skupiny možno zaradiť povodie Nitry s veľmi miernym dopadom klimatickej zmeny na zásoby podzemných vôd t.j. – 6 254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do druhej skupiny povodí s významným vplyvom klimatickej zmeny na zásoby </w:t>
      </w:r>
      <w:r>
        <w:rPr>
          <w:rStyle w:val="Siln"/>
          <w:rFonts w:ascii="Arial" w:hAnsi="Arial" w:cs="Arial"/>
          <w:b w:val="0"/>
        </w:rPr>
        <w:lastRenderedPageBreak/>
        <w:t>podzemných vôd sú zaradené povodia Bodrogu – 24 931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Hornádu – 29 971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Váhu – 31 421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Dunaja – 43 602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a Ipľa – 48 860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Do tretej skupiny povodí s veľmi významným vplyvom klimatickej zmeny na zásoby podzemných vôd sú zaradené povodia Popradu – 90 288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Slanej – 101 056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Bodvy –102 270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a Moravy – 105 032 m</w:t>
      </w:r>
      <w:r>
        <w:rPr>
          <w:rStyle w:val="Siln"/>
          <w:rFonts w:ascii="Arial" w:hAnsi="Arial" w:cs="Arial"/>
          <w:b w:val="0"/>
          <w:vertAlign w:val="superscript"/>
        </w:rPr>
        <w:t>3</w:t>
      </w:r>
      <w:r>
        <w:rPr>
          <w:rStyle w:val="Siln"/>
          <w:rFonts w:ascii="Arial" w:hAnsi="Arial" w:cs="Arial"/>
          <w:b w:val="0"/>
        </w:rPr>
        <w:t>.km</w:t>
      </w:r>
      <w:r>
        <w:rPr>
          <w:rStyle w:val="Siln"/>
          <w:rFonts w:ascii="Arial" w:hAnsi="Arial" w:cs="Arial"/>
          <w:b w:val="0"/>
          <w:vertAlign w:val="superscript"/>
        </w:rPr>
        <w:t>-2</w:t>
      </w:r>
      <w:r>
        <w:rPr>
          <w:rStyle w:val="Siln"/>
          <w:rFonts w:ascii="Arial" w:hAnsi="Arial" w:cs="Arial"/>
          <w:b w:val="0"/>
        </w:rPr>
        <w:t xml:space="preserve">. (Správa SR o stave implementácie RSV spracovaná pre EK v súlade s článkom 5, </w:t>
      </w:r>
      <w:proofErr w:type="spellStart"/>
      <w:r>
        <w:rPr>
          <w:rStyle w:val="Siln"/>
          <w:rFonts w:ascii="Arial" w:hAnsi="Arial" w:cs="Arial"/>
          <w:b w:val="0"/>
        </w:rPr>
        <w:t>príl</w:t>
      </w:r>
      <w:proofErr w:type="spellEnd"/>
      <w:r>
        <w:rPr>
          <w:rStyle w:val="Siln"/>
          <w:rFonts w:ascii="Arial" w:hAnsi="Arial" w:cs="Arial"/>
          <w:b w:val="0"/>
        </w:rPr>
        <w:t xml:space="preserve">. II,III, a čl.6 </w:t>
      </w:r>
      <w:proofErr w:type="spellStart"/>
      <w:r>
        <w:rPr>
          <w:rStyle w:val="Siln"/>
          <w:rFonts w:ascii="Arial" w:hAnsi="Arial" w:cs="Arial"/>
          <w:b w:val="0"/>
        </w:rPr>
        <w:t>príl</w:t>
      </w:r>
      <w:proofErr w:type="spellEnd"/>
      <w:r>
        <w:rPr>
          <w:rStyle w:val="Siln"/>
          <w:rFonts w:ascii="Arial" w:hAnsi="Arial" w:cs="Arial"/>
          <w:b w:val="0"/>
        </w:rPr>
        <w:t xml:space="preserve">. IV RSV 2000/60/ES. PM </w:t>
      </w:r>
      <w:proofErr w:type="spellStart"/>
      <w:r>
        <w:rPr>
          <w:rStyle w:val="Siln"/>
          <w:rFonts w:ascii="Arial" w:hAnsi="Arial" w:cs="Arial"/>
          <w:b w:val="0"/>
        </w:rPr>
        <w:t>Consulting</w:t>
      </w:r>
      <w:proofErr w:type="spellEnd"/>
      <w:r>
        <w:rPr>
          <w:rStyle w:val="Siln"/>
          <w:rFonts w:ascii="Arial" w:hAnsi="Arial" w:cs="Arial"/>
          <w:b w:val="0"/>
        </w:rPr>
        <w:t xml:space="preserve"> </w:t>
      </w:r>
      <w:proofErr w:type="spellStart"/>
      <w:r>
        <w:rPr>
          <w:rStyle w:val="Siln"/>
          <w:rFonts w:ascii="Arial" w:hAnsi="Arial" w:cs="Arial"/>
          <w:b w:val="0"/>
        </w:rPr>
        <w:t>Engineering</w:t>
      </w:r>
      <w:proofErr w:type="spellEnd"/>
      <w:r>
        <w:rPr>
          <w:rStyle w:val="Siln"/>
          <w:rFonts w:ascii="Arial" w:hAnsi="Arial" w:cs="Arial"/>
          <w:b w:val="0"/>
        </w:rPr>
        <w:t xml:space="preserve"> 2006: Projekt RFP 213/FS/001 </w:t>
      </w:r>
      <w:proofErr w:type="spellStart"/>
      <w:r>
        <w:rPr>
          <w:rStyle w:val="Siln"/>
          <w:rFonts w:ascii="Arial" w:hAnsi="Arial" w:cs="Arial"/>
          <w:b w:val="0"/>
        </w:rPr>
        <w:t>Re-assessment</w:t>
      </w:r>
      <w:proofErr w:type="spellEnd"/>
      <w:r>
        <w:rPr>
          <w:rStyle w:val="Siln"/>
          <w:rFonts w:ascii="Arial" w:hAnsi="Arial" w:cs="Arial"/>
          <w:b w:val="0"/>
        </w:rPr>
        <w:t xml:space="preserve"> </w:t>
      </w:r>
      <w:proofErr w:type="spellStart"/>
      <w:r>
        <w:rPr>
          <w:rStyle w:val="Siln"/>
          <w:rFonts w:ascii="Arial" w:hAnsi="Arial" w:cs="Arial"/>
          <w:b w:val="0"/>
        </w:rPr>
        <w:t>of</w:t>
      </w:r>
      <w:proofErr w:type="spellEnd"/>
      <w:r>
        <w:rPr>
          <w:rStyle w:val="Siln"/>
          <w:rFonts w:ascii="Arial" w:hAnsi="Arial" w:cs="Arial"/>
          <w:b w:val="0"/>
        </w:rPr>
        <w:t xml:space="preserve"> </w:t>
      </w:r>
      <w:proofErr w:type="spellStart"/>
      <w:r>
        <w:rPr>
          <w:rStyle w:val="Siln"/>
          <w:rFonts w:ascii="Arial" w:hAnsi="Arial" w:cs="Arial"/>
          <w:b w:val="0"/>
        </w:rPr>
        <w:t>Groundwater</w:t>
      </w:r>
      <w:proofErr w:type="spellEnd"/>
      <w:r>
        <w:rPr>
          <w:rStyle w:val="Siln"/>
          <w:rFonts w:ascii="Arial" w:hAnsi="Arial" w:cs="Arial"/>
          <w:b w:val="0"/>
        </w:rPr>
        <w:t xml:space="preserve"> </w:t>
      </w:r>
      <w:proofErr w:type="spellStart"/>
      <w:r>
        <w:rPr>
          <w:rStyle w:val="Siln"/>
          <w:rFonts w:ascii="Arial" w:hAnsi="Arial" w:cs="Arial"/>
          <w:b w:val="0"/>
        </w:rPr>
        <w:t>Resources</w:t>
      </w:r>
      <w:proofErr w:type="spellEnd"/>
      <w:r>
        <w:rPr>
          <w:rStyle w:val="Siln"/>
          <w:rFonts w:ascii="Arial" w:hAnsi="Arial" w:cs="Arial"/>
          <w:b w:val="0"/>
        </w:rPr>
        <w:t xml:space="preserve"> in </w:t>
      </w:r>
      <w:proofErr w:type="spellStart"/>
      <w:r>
        <w:rPr>
          <w:rStyle w:val="Siln"/>
          <w:rFonts w:ascii="Arial" w:hAnsi="Arial" w:cs="Arial"/>
          <w:b w:val="0"/>
        </w:rPr>
        <w:t>the</w:t>
      </w:r>
      <w:proofErr w:type="spellEnd"/>
      <w:r>
        <w:rPr>
          <w:rStyle w:val="Siln"/>
          <w:rFonts w:ascii="Arial" w:hAnsi="Arial" w:cs="Arial"/>
          <w:b w:val="0"/>
        </w:rPr>
        <w:t xml:space="preserve"> </w:t>
      </w:r>
      <w:proofErr w:type="spellStart"/>
      <w:r>
        <w:rPr>
          <w:rStyle w:val="Siln"/>
          <w:rFonts w:ascii="Arial" w:hAnsi="Arial" w:cs="Arial"/>
          <w:b w:val="0"/>
        </w:rPr>
        <w:t>Republic</w:t>
      </w:r>
      <w:proofErr w:type="spellEnd"/>
      <w:r>
        <w:rPr>
          <w:rStyle w:val="Siln"/>
          <w:rFonts w:ascii="Arial" w:hAnsi="Arial" w:cs="Arial"/>
          <w:b w:val="0"/>
        </w:rPr>
        <w:t xml:space="preserve"> </w:t>
      </w:r>
      <w:proofErr w:type="spellStart"/>
      <w:r>
        <w:rPr>
          <w:rStyle w:val="Siln"/>
          <w:rFonts w:ascii="Arial" w:hAnsi="Arial" w:cs="Arial"/>
          <w:b w:val="0"/>
        </w:rPr>
        <w:t>of</w:t>
      </w:r>
      <w:proofErr w:type="spellEnd"/>
      <w:r>
        <w:rPr>
          <w:rStyle w:val="Siln"/>
          <w:rFonts w:ascii="Arial" w:hAnsi="Arial" w:cs="Arial"/>
          <w:b w:val="0"/>
        </w:rPr>
        <w:t xml:space="preserve"> Slovakia, IR. </w:t>
      </w:r>
    </w:p>
    <w:p>
      <w:pPr>
        <w:jc w:val="both"/>
        <w:rPr>
          <w:rStyle w:val="Siln"/>
          <w:rFonts w:ascii="Arial" w:hAnsi="Arial" w:cs="Arial"/>
          <w:b w:val="0"/>
        </w:rPr>
      </w:pPr>
      <w:r>
        <w:rPr>
          <w:rStyle w:val="Siln"/>
          <w:rFonts w:ascii="Arial" w:hAnsi="Arial" w:cs="Arial"/>
          <w:b w:val="0"/>
        </w:rPr>
        <w:t>Ako príklad z praktického manažmentu dostupnosti vodných zdrojov je možné uviesť výsledky v rámci územnej pôsobnosti Stredoslovenskej vodárenskej prevádzkovej spoločnosti, a.s. kde je potrebné riešiť z hľadiska dlhodobého deficitu vody na vodných zdrojoch (výrazný pokles výdatností vodných zdrojov  v období sucha až na minimum, resp. vymŕzanie vodných zdrojov v období silných mrazov) nasledovné problematické oblasti:</w:t>
      </w:r>
    </w:p>
    <w:p>
      <w:pPr>
        <w:pStyle w:val="Odsekzoznamu"/>
        <w:numPr>
          <w:ilvl w:val="0"/>
          <w:numId w:val="62"/>
        </w:numPr>
        <w:jc w:val="both"/>
        <w:rPr>
          <w:rStyle w:val="Siln"/>
          <w:rFonts w:ascii="Arial" w:hAnsi="Arial" w:cs="Arial"/>
          <w:b w:val="0"/>
        </w:rPr>
      </w:pPr>
      <w:r>
        <w:rPr>
          <w:rStyle w:val="Siln"/>
          <w:rFonts w:ascii="Arial" w:hAnsi="Arial" w:cs="Arial"/>
          <w:b w:val="0"/>
        </w:rPr>
        <w:t xml:space="preserve">oblasť Horehronského </w:t>
      </w:r>
      <w:proofErr w:type="spellStart"/>
      <w:r>
        <w:rPr>
          <w:rStyle w:val="Siln"/>
          <w:rFonts w:ascii="Arial" w:hAnsi="Arial" w:cs="Arial"/>
          <w:b w:val="0"/>
        </w:rPr>
        <w:t>podolia</w:t>
      </w:r>
      <w:proofErr w:type="spellEnd"/>
      <w:r>
        <w:rPr>
          <w:rStyle w:val="Siln"/>
          <w:rFonts w:ascii="Arial" w:hAnsi="Arial" w:cs="Arial"/>
          <w:b w:val="0"/>
        </w:rPr>
        <w:t>,</w:t>
      </w:r>
    </w:p>
    <w:p>
      <w:pPr>
        <w:pStyle w:val="Odsekzoznamu"/>
        <w:numPr>
          <w:ilvl w:val="0"/>
          <w:numId w:val="62"/>
        </w:numPr>
        <w:jc w:val="both"/>
        <w:rPr>
          <w:rStyle w:val="Siln"/>
          <w:rFonts w:ascii="Arial" w:hAnsi="Arial" w:cs="Arial"/>
          <w:b w:val="0"/>
        </w:rPr>
      </w:pPr>
      <w:r>
        <w:rPr>
          <w:rStyle w:val="Siln"/>
          <w:rFonts w:ascii="Arial" w:hAnsi="Arial" w:cs="Arial"/>
          <w:b w:val="0"/>
        </w:rPr>
        <w:t>oblasť širšieho okolia Teplého vrchu,</w:t>
      </w:r>
    </w:p>
    <w:p>
      <w:pPr>
        <w:pStyle w:val="Odsekzoznamu"/>
        <w:numPr>
          <w:ilvl w:val="0"/>
          <w:numId w:val="62"/>
        </w:numPr>
        <w:jc w:val="both"/>
        <w:rPr>
          <w:rStyle w:val="Siln"/>
          <w:rFonts w:ascii="Arial" w:hAnsi="Arial" w:cs="Arial"/>
          <w:b w:val="0"/>
        </w:rPr>
      </w:pPr>
      <w:r>
        <w:rPr>
          <w:rStyle w:val="Siln"/>
          <w:rFonts w:ascii="Arial" w:hAnsi="Arial" w:cs="Arial"/>
          <w:b w:val="0"/>
        </w:rPr>
        <w:t>oblasť Novohradských vrchov,</w:t>
      </w:r>
    </w:p>
    <w:p>
      <w:pPr>
        <w:pStyle w:val="Odsekzoznamu"/>
        <w:numPr>
          <w:ilvl w:val="0"/>
          <w:numId w:val="62"/>
        </w:numPr>
        <w:jc w:val="both"/>
        <w:rPr>
          <w:rStyle w:val="Siln"/>
          <w:rFonts w:ascii="Arial" w:hAnsi="Arial" w:cs="Arial"/>
          <w:b w:val="0"/>
        </w:rPr>
      </w:pPr>
      <w:r>
        <w:rPr>
          <w:rStyle w:val="Siln"/>
          <w:rFonts w:ascii="Arial" w:hAnsi="Arial" w:cs="Arial"/>
          <w:b w:val="0"/>
        </w:rPr>
        <w:t>oblasť Ipeľskej kotliny,</w:t>
      </w:r>
    </w:p>
    <w:p>
      <w:pPr>
        <w:pStyle w:val="Odsekzoznamu"/>
        <w:numPr>
          <w:ilvl w:val="0"/>
          <w:numId w:val="62"/>
        </w:numPr>
        <w:jc w:val="both"/>
        <w:rPr>
          <w:rStyle w:val="Siln"/>
          <w:rFonts w:ascii="Arial" w:hAnsi="Arial" w:cs="Arial"/>
          <w:b w:val="0"/>
        </w:rPr>
      </w:pPr>
      <w:r>
        <w:rPr>
          <w:rStyle w:val="Siln"/>
          <w:rFonts w:ascii="Arial" w:hAnsi="Arial" w:cs="Arial"/>
          <w:b w:val="0"/>
        </w:rPr>
        <w:t>oblasť Štiavnických vrchov,</w:t>
      </w:r>
    </w:p>
    <w:p>
      <w:pPr>
        <w:pStyle w:val="Odsekzoznamu"/>
        <w:numPr>
          <w:ilvl w:val="0"/>
          <w:numId w:val="62"/>
        </w:numPr>
        <w:jc w:val="both"/>
        <w:rPr>
          <w:rStyle w:val="Siln"/>
          <w:rFonts w:ascii="Arial" w:hAnsi="Arial" w:cs="Arial"/>
          <w:b w:val="0"/>
        </w:rPr>
      </w:pPr>
      <w:r>
        <w:rPr>
          <w:rStyle w:val="Siln"/>
          <w:rFonts w:ascii="Arial" w:hAnsi="Arial" w:cs="Arial"/>
          <w:b w:val="0"/>
        </w:rPr>
        <w:t>oblasť Hornonitrianskej kotliny.</w:t>
      </w:r>
    </w:p>
    <w:p>
      <w:pPr>
        <w:jc w:val="both"/>
        <w:rPr>
          <w:rStyle w:val="Siln"/>
          <w:rFonts w:ascii="Arial" w:hAnsi="Arial" w:cs="Arial"/>
        </w:rPr>
      </w:pPr>
      <w:r>
        <w:rPr>
          <w:rStyle w:val="Siln"/>
          <w:rFonts w:ascii="Arial" w:hAnsi="Arial" w:cs="Arial"/>
        </w:rPr>
        <w:t xml:space="preserve">Výsledok podpory IROP: </w:t>
      </w:r>
    </w:p>
    <w:p>
      <w:pPr>
        <w:pStyle w:val="Odsekzoznamu"/>
        <w:numPr>
          <w:ilvl w:val="0"/>
          <w:numId w:val="62"/>
        </w:numPr>
        <w:jc w:val="both"/>
        <w:rPr>
          <w:rStyle w:val="Siln"/>
          <w:rFonts w:ascii="Arial" w:hAnsi="Arial" w:cs="Arial"/>
          <w:b w:val="0"/>
        </w:rPr>
      </w:pPr>
      <w:r>
        <w:rPr>
          <w:rStyle w:val="Siln"/>
          <w:rFonts w:ascii="Arial" w:hAnsi="Arial" w:cs="Arial"/>
          <w:b w:val="0"/>
        </w:rPr>
        <w:t>zlepšenie podmienok a prístupu k pitnej vode pre obyvateľstvo v regiónoch s deficitom pitnej vody,</w:t>
      </w:r>
    </w:p>
    <w:p>
      <w:pPr>
        <w:pStyle w:val="Odsekzoznamu"/>
        <w:numPr>
          <w:ilvl w:val="0"/>
          <w:numId w:val="62"/>
        </w:numPr>
        <w:jc w:val="both"/>
        <w:rPr>
          <w:rStyle w:val="Siln"/>
          <w:rFonts w:ascii="Arial" w:hAnsi="Arial" w:cs="Arial"/>
          <w:b w:val="0"/>
        </w:rPr>
      </w:pPr>
      <w:r>
        <w:rPr>
          <w:rStyle w:val="Siln"/>
          <w:rFonts w:ascii="Arial" w:hAnsi="Arial" w:cs="Arial"/>
          <w:b w:val="0"/>
        </w:rPr>
        <w:t>zvýšenie kvality dodávanej pitnej vody.</w:t>
      </w:r>
    </w:p>
    <w:p>
      <w:pPr>
        <w:jc w:val="both"/>
        <w:rPr>
          <w:rStyle w:val="Zvraznenie"/>
          <w:rFonts w:ascii="Arial" w:hAnsi="Arial" w:cs="Arial"/>
        </w:rPr>
      </w:pPr>
      <w:r>
        <w:rPr>
          <w:rStyle w:val="Siln"/>
          <w:rFonts w:ascii="Arial" w:hAnsi="Arial" w:cs="Arial"/>
        </w:rPr>
        <w:t>Tabuľka č. 26</w:t>
      </w:r>
      <w:r>
        <w:rPr>
          <w:rStyle w:val="Zvraznenie"/>
          <w:rFonts w:ascii="Arial" w:hAnsi="Arial" w:cs="Arial"/>
        </w:rPr>
        <w:t xml:space="preserve"> Výsledkové ukazovatele pre špecifický cieľ č. 4.2.1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2"/>
        <w:gridCol w:w="1586"/>
        <w:gridCol w:w="1124"/>
        <w:gridCol w:w="966"/>
        <w:gridCol w:w="1293"/>
        <w:gridCol w:w="1293"/>
        <w:gridCol w:w="901"/>
        <w:gridCol w:w="690"/>
        <w:gridCol w:w="1053"/>
      </w:tblGrid>
      <w:tr>
        <w:tc>
          <w:tcPr>
            <w:tcW w:w="38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2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novovybudovaných zdrojov podzemných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Zdroj podzemnej vody</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rPr>
              <w:t>*</w:t>
            </w:r>
          </w:p>
        </w:tc>
        <w:tc>
          <w:tcPr>
            <w:tcW w:w="6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AVS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zrekonštruovaných zdrojov podzemných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 xml:space="preserve">Zdroj podzemných vôd </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rPr>
            </w:pPr>
            <w:r>
              <w:rPr>
                <w:rFonts w:ascii="Arial" w:hAnsi="Arial" w:cs="Arial"/>
              </w:rPr>
              <w:t>*</w:t>
            </w:r>
          </w:p>
        </w:tc>
        <w:tc>
          <w:tcPr>
            <w:tcW w:w="6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AVS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rPr>
          <w:rFonts w:ascii="Arial" w:hAnsi="Arial" w:cs="Arial"/>
          <w:sz w:val="18"/>
          <w:szCs w:val="18"/>
        </w:rPr>
      </w:pPr>
    </w:p>
    <w:p>
      <w:pPr>
        <w:rPr>
          <w:rFonts w:ascii="Arial" w:hAnsi="Arial" w:cs="Arial"/>
          <w:b/>
          <w:color w:val="4EACF3"/>
        </w:rPr>
      </w:pPr>
      <w:bookmarkStart w:id="83" w:name="_Toc369530742"/>
      <w:bookmarkStart w:id="84" w:name="_Toc369876854"/>
      <w:bookmarkStart w:id="85" w:name="_Toc377990760"/>
      <w:bookmarkStart w:id="86" w:name="_Toc378169925"/>
      <w:bookmarkStart w:id="87" w:name="_Toc383369320"/>
      <w:r>
        <w:rPr>
          <w:rFonts w:ascii="Arial" w:hAnsi="Arial" w:cs="Arial"/>
          <w:b/>
        </w:rPr>
        <w:t>Špecifický cieľ č. 4.2.2:</w:t>
      </w:r>
      <w:bookmarkEnd w:id="83"/>
      <w:bookmarkEnd w:id="84"/>
      <w:bookmarkEnd w:id="85"/>
      <w:bookmarkEnd w:id="86"/>
      <w:bookmarkEnd w:id="87"/>
      <w:r>
        <w:rPr>
          <w:rFonts w:ascii="Arial" w:hAnsi="Arial" w:cs="Arial"/>
          <w:b/>
        </w:rPr>
        <w:t xml:space="preserve"> </w:t>
      </w:r>
    </w:p>
    <w:p>
      <w:pPr>
        <w:shd w:val="clear" w:color="auto" w:fill="D9D9D9"/>
        <w:jc w:val="both"/>
        <w:rPr>
          <w:rStyle w:val="Zvraznenie"/>
          <w:rFonts w:ascii="Arial" w:hAnsi="Arial" w:cs="Arial"/>
        </w:rPr>
      </w:pPr>
      <w:r>
        <w:rPr>
          <w:rStyle w:val="Zvraznenie"/>
          <w:rFonts w:ascii="Arial" w:hAnsi="Arial" w:cs="Arial"/>
        </w:rPr>
        <w:t>Zabezpečenie bezproblémového zásobovania obyvateľstva kvalitnou pitnou vodou a efektívnej likvidácie odpadových vôd bez negatívnych dopadov na životné prostredie</w:t>
      </w:r>
    </w:p>
    <w:p>
      <w:pPr>
        <w:jc w:val="both"/>
        <w:rPr>
          <w:rStyle w:val="Siln"/>
          <w:rFonts w:ascii="Arial" w:hAnsi="Arial" w:cs="Arial"/>
          <w:b w:val="0"/>
        </w:rPr>
      </w:pPr>
      <w:r>
        <w:rPr>
          <w:rStyle w:val="Siln"/>
          <w:rFonts w:ascii="Arial" w:hAnsi="Arial" w:cs="Arial"/>
          <w:b w:val="0"/>
        </w:rPr>
        <w:t xml:space="preserve">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 </w:t>
      </w:r>
    </w:p>
    <w:p>
      <w:pPr>
        <w:jc w:val="both"/>
        <w:rPr>
          <w:rStyle w:val="Siln"/>
          <w:rFonts w:ascii="Arial" w:hAnsi="Arial" w:cs="Arial"/>
          <w:b w:val="0"/>
        </w:rPr>
      </w:pPr>
      <w:r>
        <w:rPr>
          <w:rStyle w:val="Siln"/>
          <w:rFonts w:ascii="Arial" w:hAnsi="Arial" w:cs="Arial"/>
          <w:b w:val="0"/>
        </w:rPr>
        <w:lastRenderedPageBreak/>
        <w:t xml:space="preserve">Medzi nedostatky týkajúce sa existujúcich kanalizačných systémov možno zahrnúť napr. časté zaústenie väčších profilov stôk do menších, ako následok dodatočného budovania privádzačov do ČOV, predimenzované profily zberačov, v ktorých sedimentuje znečistenie, vybudované v dôsledku veľkorysých prognóz rozvoja miest a iné.  </w:t>
      </w:r>
    </w:p>
    <w:p>
      <w:pPr>
        <w:jc w:val="both"/>
        <w:rPr>
          <w:rStyle w:val="Siln"/>
          <w:rFonts w:ascii="Arial" w:hAnsi="Arial" w:cs="Arial"/>
          <w:b w:val="0"/>
        </w:rPr>
      </w:pPr>
      <w:r>
        <w:rPr>
          <w:rStyle w:val="Siln"/>
          <w:rFonts w:ascii="Arial" w:hAnsi="Arial" w:cs="Arial"/>
          <w:b w:val="0"/>
        </w:rPr>
        <w:t xml:space="preserve">Základným koncepčným materiálom pre riešení aktivít v oblasti čistenia a likvidácie odpadových vôd je </w:t>
      </w:r>
      <w:r>
        <w:rPr>
          <w:rStyle w:val="Siln"/>
          <w:rFonts w:ascii="Arial" w:hAnsi="Arial" w:cs="Arial"/>
          <w:b w:val="0"/>
          <w:i/>
        </w:rPr>
        <w:t>Plán rozvoja verejných vodovodov a verejných kanalizácií, Vodný plán Slovenska, Nariadenie vlády Slovenskej republiky č. 279/ 2011 Z. z.,</w:t>
      </w:r>
      <w:r>
        <w:rPr>
          <w:rStyle w:val="Siln"/>
          <w:rFonts w:ascii="Arial" w:hAnsi="Arial" w:cs="Arial"/>
          <w:b w:val="0"/>
        </w:rPr>
        <w:t xml:space="preserve"> ktorým sa vyhlasuje záväzná časť Vodného plánu Slovenska obsahujúca program opatrení na dosiahnutie environmentálnych cieľov. </w:t>
      </w:r>
    </w:p>
    <w:p>
      <w:pPr>
        <w:jc w:val="both"/>
        <w:rPr>
          <w:rStyle w:val="Siln"/>
          <w:rFonts w:ascii="Arial" w:hAnsi="Arial" w:cs="Arial"/>
          <w:b w:val="0"/>
        </w:rPr>
      </w:pPr>
      <w:r>
        <w:rPr>
          <w:rStyle w:val="Siln"/>
          <w:rFonts w:ascii="Arial" w:hAnsi="Arial" w:cs="Arial"/>
          <w:b w:val="0"/>
        </w:rPr>
        <w:t>Rekonštrukcia a výstavba kanalizačných sietí a budovanie ČOV v obciach od 1 000 do 2 000 obyvateľov komplementárne prispieva k riešeniu problematiky pre naplnenie Rámcovej smernice o vode (2000/60/ES), ktorá je prioritne napĺňaná prostredníctvom opatrení v rámci OP KŽP (Investičná priorita 2 Prioritnej osi 1) prioritne v aglomeráciách nad 2 000 EO.</w:t>
      </w:r>
    </w:p>
    <w:p>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pPr>
        <w:pStyle w:val="Odsekzoznamu"/>
        <w:numPr>
          <w:ilvl w:val="0"/>
          <w:numId w:val="62"/>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 a zariadení,</w:t>
      </w:r>
    </w:p>
    <w:p>
      <w:pPr>
        <w:pStyle w:val="Odsekzoznamu"/>
        <w:numPr>
          <w:ilvl w:val="0"/>
          <w:numId w:val="62"/>
        </w:numPr>
        <w:jc w:val="both"/>
        <w:rPr>
          <w:rStyle w:val="Siln"/>
          <w:rFonts w:ascii="Arial" w:hAnsi="Arial" w:cs="Arial"/>
          <w:b w:val="0"/>
        </w:rPr>
      </w:pPr>
      <w:r>
        <w:rPr>
          <w:rStyle w:val="Siln"/>
          <w:rFonts w:ascii="Arial" w:hAnsi="Arial" w:cs="Arial"/>
          <w:b w:val="0"/>
        </w:rPr>
        <w:t xml:space="preserve">zamedzenie negatívneho pôsobenia odvádzaných odpadových vôd na životné prostredie a zdravie prostredníctvom oddelenia odvádzania odpadových vôd od dažďovej vody a výstavbou verejnej kanalizácie a ČOV vo vybraných obciach. </w:t>
      </w:r>
    </w:p>
    <w:p>
      <w:pPr>
        <w:jc w:val="both"/>
        <w:rPr>
          <w:rFonts w:ascii="Arial" w:hAnsi="Arial" w:cs="Arial"/>
          <w:i/>
          <w:iCs/>
        </w:rPr>
      </w:pPr>
      <w:r>
        <w:rPr>
          <w:rStyle w:val="Siln"/>
          <w:rFonts w:ascii="Arial" w:hAnsi="Arial" w:cs="Arial"/>
        </w:rPr>
        <w:t>Tabuľka č. 27</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9"/>
        <w:gridCol w:w="1376"/>
        <w:gridCol w:w="1088"/>
        <w:gridCol w:w="986"/>
        <w:gridCol w:w="1293"/>
        <w:gridCol w:w="1293"/>
        <w:gridCol w:w="959"/>
        <w:gridCol w:w="851"/>
        <w:gridCol w:w="1053"/>
      </w:tblGrid>
      <w:tr>
        <w:tc>
          <w:tcPr>
            <w:tcW w:w="38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obyvateľov napojených na verejnú kanalizáciu s čistením komunálnych odpadových vôd</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EO</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obyvateľov napojených na verejný vodovod</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Obyvateľ</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2012</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pStyle w:val="Nadpis5"/>
        <w:shd w:val="clear" w:color="auto" w:fill="B8C1E9"/>
        <w:rPr>
          <w:rFonts w:ascii="Arial" w:hAnsi="Arial" w:cs="Arial"/>
        </w:rPr>
      </w:pPr>
      <w:bookmarkStart w:id="88" w:name="_Toc387651844"/>
      <w:r>
        <w:rPr>
          <w:rFonts w:ascii="Arial" w:hAnsi="Arial" w:cs="Arial"/>
        </w:rPr>
        <w:t>Akcia, ktorá sa má podporiť  v rámci investičnej priority</w:t>
      </w:r>
      <w:bookmarkEnd w:id="88"/>
      <w:r>
        <w:rPr>
          <w:rFonts w:ascii="Arial" w:hAnsi="Arial" w:cs="Arial"/>
        </w:rPr>
        <w:t xml:space="preserve"> </w:t>
      </w:r>
    </w:p>
    <w:p>
      <w:pPr>
        <w:rPr>
          <w:rFonts w:ascii="Arial" w:hAnsi="Arial" w:cs="Arial"/>
        </w:rPr>
      </w:pPr>
    </w:p>
    <w:p>
      <w:pPr>
        <w:pStyle w:val="Nadpis6"/>
        <w:rPr>
          <w:rFonts w:ascii="Arial" w:hAnsi="Arial" w:cs="Arial"/>
        </w:rPr>
      </w:pPr>
      <w:bookmarkStart w:id="89" w:name="_Toc387651845"/>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89"/>
      <w:r>
        <w:rPr>
          <w:rFonts w:ascii="Arial" w:hAnsi="Arial" w:cs="Arial"/>
        </w:rPr>
        <w:t xml:space="preserve"> </w:t>
      </w:r>
    </w:p>
    <w:p>
      <w:pPr>
        <w:tabs>
          <w:tab w:val="left" w:pos="1425"/>
        </w:tabs>
        <w:jc w:val="both"/>
        <w:rPr>
          <w:rFonts w:ascii="Arial" w:hAnsi="Arial" w:cs="Arial"/>
        </w:rPr>
      </w:pPr>
    </w:p>
    <w:p>
      <w:pPr>
        <w:tabs>
          <w:tab w:val="left" w:pos="1425"/>
        </w:tabs>
        <w:jc w:val="both"/>
        <w:rPr>
          <w:rFonts w:ascii="Arial" w:hAnsi="Arial" w:cs="Arial"/>
        </w:rPr>
      </w:pPr>
      <w:r>
        <w:rPr>
          <w:rFonts w:ascii="Arial" w:hAnsi="Arial" w:cs="Arial"/>
          <w:b/>
        </w:rPr>
        <w:t>Špecifický cieľ č. 4.2.1</w:t>
      </w:r>
      <w:r>
        <w:rPr>
          <w:rFonts w:ascii="Arial" w:hAnsi="Arial" w:cs="Arial"/>
        </w:rPr>
        <w:t xml:space="preserve"> sa dosiahne realizáciou nasledovných aktivít:</w:t>
      </w:r>
    </w:p>
    <w:p>
      <w:pPr>
        <w:pStyle w:val="Odsekzoznamu"/>
        <w:numPr>
          <w:ilvl w:val="0"/>
          <w:numId w:val="38"/>
        </w:numPr>
        <w:tabs>
          <w:tab w:val="left" w:pos="1425"/>
        </w:tabs>
        <w:jc w:val="both"/>
        <w:rPr>
          <w:rFonts w:ascii="Arial" w:hAnsi="Arial" w:cs="Arial"/>
        </w:rPr>
      </w:pPr>
      <w:r>
        <w:rPr>
          <w:rFonts w:ascii="Arial" w:hAnsi="Arial" w:cs="Arial"/>
        </w:rPr>
        <w:t>budovanie nových zdrojov pitnej vody z podzemných vôd,</w:t>
      </w:r>
    </w:p>
    <w:p>
      <w:pPr>
        <w:pStyle w:val="Odsekzoznamu"/>
        <w:numPr>
          <w:ilvl w:val="0"/>
          <w:numId w:val="38"/>
        </w:numPr>
        <w:tabs>
          <w:tab w:val="left" w:pos="1425"/>
        </w:tabs>
        <w:jc w:val="both"/>
        <w:rPr>
          <w:rFonts w:ascii="Arial" w:hAnsi="Arial" w:cs="Arial"/>
        </w:rPr>
      </w:pPr>
      <w:r>
        <w:rPr>
          <w:rFonts w:ascii="Arial" w:hAnsi="Arial" w:cs="Arial"/>
        </w:rPr>
        <w:t>rekonštrukcia existujúcich zdrojov pitnej vody z podzemných vôd;</w:t>
      </w:r>
    </w:p>
    <w:p>
      <w:pPr>
        <w:pStyle w:val="Odsekzoznamu"/>
        <w:numPr>
          <w:ilvl w:val="0"/>
          <w:numId w:val="38"/>
        </w:numPr>
        <w:tabs>
          <w:tab w:val="left" w:pos="1425"/>
        </w:tabs>
        <w:jc w:val="both"/>
        <w:rPr>
          <w:rFonts w:ascii="Arial" w:hAnsi="Arial" w:cs="Arial"/>
        </w:rPr>
      </w:pPr>
      <w:r>
        <w:rPr>
          <w:rFonts w:ascii="Arial" w:hAnsi="Arial" w:cs="Arial"/>
        </w:rPr>
        <w:lastRenderedPageBreak/>
        <w:t>podporovať zvýšené využívanie lokálnych vodných zdrojov a dostupnosť záložných vodných zdrojov.</w:t>
      </w:r>
    </w:p>
    <w:p>
      <w:pPr>
        <w:tabs>
          <w:tab w:val="left" w:pos="1425"/>
        </w:tabs>
        <w:jc w:val="both"/>
        <w:rPr>
          <w:rFonts w:ascii="Arial" w:hAnsi="Arial" w:cs="Arial"/>
        </w:rPr>
      </w:pPr>
      <w:r>
        <w:rPr>
          <w:rFonts w:ascii="Arial" w:hAnsi="Arial" w:cs="Arial"/>
          <w:b/>
        </w:rPr>
        <w:t>Špecifický cieľ č. 4.2.2</w:t>
      </w:r>
      <w:r>
        <w:rPr>
          <w:rFonts w:ascii="Arial" w:hAnsi="Arial" w:cs="Arial"/>
        </w:rPr>
        <w:t xml:space="preserve"> sa dosiahne realizáciou nasledovných aktivít:</w:t>
      </w:r>
    </w:p>
    <w:p>
      <w:pPr>
        <w:pStyle w:val="Odsekzoznamu"/>
        <w:numPr>
          <w:ilvl w:val="0"/>
          <w:numId w:val="40"/>
        </w:numPr>
        <w:tabs>
          <w:tab w:val="left" w:pos="1425"/>
        </w:tabs>
        <w:jc w:val="both"/>
        <w:rPr>
          <w:rFonts w:ascii="Arial" w:hAnsi="Arial" w:cs="Arial"/>
        </w:rPr>
      </w:pPr>
      <w:r>
        <w:rPr>
          <w:rFonts w:ascii="Arial" w:hAnsi="Arial" w:cs="Arial"/>
        </w:rPr>
        <w:t>rekonštrukcia prívodov vody, vodovodných sietí a zariadení v obciach,</w:t>
      </w:r>
    </w:p>
    <w:p>
      <w:pPr>
        <w:pStyle w:val="Odsekzoznamu"/>
        <w:numPr>
          <w:ilvl w:val="0"/>
          <w:numId w:val="40"/>
        </w:numPr>
        <w:tabs>
          <w:tab w:val="left" w:pos="1425"/>
        </w:tabs>
        <w:jc w:val="both"/>
        <w:rPr>
          <w:rFonts w:ascii="Arial" w:hAnsi="Arial" w:cs="Arial"/>
        </w:rPr>
      </w:pPr>
      <w:r>
        <w:rPr>
          <w:rFonts w:ascii="Arial" w:hAnsi="Arial" w:cs="Arial"/>
        </w:rPr>
        <w:t>rekonštrukcia stokovej siete a zariadení v obciach,</w:t>
      </w:r>
    </w:p>
    <w:p>
      <w:pPr>
        <w:pStyle w:val="Odsekzoznamu"/>
        <w:numPr>
          <w:ilvl w:val="0"/>
          <w:numId w:val="40"/>
        </w:numPr>
        <w:tabs>
          <w:tab w:val="left" w:pos="1425"/>
        </w:tabs>
        <w:jc w:val="both"/>
        <w:rPr>
          <w:rFonts w:ascii="Arial" w:hAnsi="Arial" w:cs="Arial"/>
        </w:rPr>
      </w:pPr>
      <w:r>
        <w:rPr>
          <w:rFonts w:ascii="Arial" w:hAnsi="Arial" w:cs="Arial"/>
        </w:rPr>
        <w:t>budovanie verejných vodovodov, okrem prípadov ich súbežnej výstavby s výstavbou verejnej kanalizácie podľa aktualizovaného Národného programu SR pre vykonávanie smernice Rady 91/271/EHS,</w:t>
      </w:r>
    </w:p>
    <w:p>
      <w:pPr>
        <w:pStyle w:val="Odsekzoznamu"/>
        <w:numPr>
          <w:ilvl w:val="0"/>
          <w:numId w:val="40"/>
        </w:numPr>
        <w:tabs>
          <w:tab w:val="left" w:pos="1425"/>
        </w:tabs>
        <w:jc w:val="both"/>
        <w:rPr>
          <w:rFonts w:ascii="Arial" w:hAnsi="Arial" w:cs="Arial"/>
        </w:rPr>
      </w:pPr>
      <w:r>
        <w:rPr>
          <w:rFonts w:ascii="Arial" w:hAnsi="Arial" w:cs="Arial"/>
        </w:rPr>
        <w:t>budovanie verejných kanalizácií a čistiarní odpadových vôd pre obce do 2 000 obyvateľov s výnimkou obcí začlenených do aglomerácií nad 2 000 EO v zmysle Národného programu pre vykonávanie smernice 91/271/EHS.</w:t>
      </w:r>
    </w:p>
    <w:p>
      <w:pPr>
        <w:jc w:val="both"/>
        <w:rPr>
          <w:rFonts w:ascii="Arial" w:hAnsi="Arial" w:cs="Arial"/>
        </w:rPr>
      </w:pPr>
      <w:r>
        <w:rPr>
          <w:rFonts w:ascii="Arial" w:hAnsi="Arial" w:cs="Arial"/>
        </w:rPr>
        <w:t xml:space="preserve">Oprávnení prijímatelia pre špecifický cieľ č. </w:t>
      </w:r>
      <w:r>
        <w:rPr>
          <w:rFonts w:ascii="Arial" w:hAnsi="Arial" w:cs="Arial"/>
          <w:b/>
        </w:rPr>
        <w:t>4.2.1 a 4.2.2</w:t>
      </w:r>
      <w:r>
        <w:rPr>
          <w:rFonts w:ascii="Arial" w:hAnsi="Arial" w:cs="Arial"/>
        </w:rPr>
        <w:t xml:space="preserve">: </w:t>
      </w:r>
    </w:p>
    <w:p>
      <w:pPr>
        <w:pStyle w:val="Odsekzoznamu"/>
        <w:numPr>
          <w:ilvl w:val="0"/>
          <w:numId w:val="65"/>
        </w:numPr>
        <w:jc w:val="both"/>
        <w:rPr>
          <w:rFonts w:ascii="Arial" w:hAnsi="Arial" w:cs="Arial"/>
        </w:rPr>
      </w:pPr>
      <w:r>
        <w:rPr>
          <w:rFonts w:ascii="Arial" w:hAnsi="Arial" w:cs="Arial"/>
        </w:rPr>
        <w:t>verejný sektor (obce/mestá, združenia miest a obcí),</w:t>
      </w:r>
    </w:p>
    <w:p>
      <w:pPr>
        <w:pStyle w:val="Odsekzoznamu"/>
        <w:numPr>
          <w:ilvl w:val="0"/>
          <w:numId w:val="65"/>
        </w:numPr>
        <w:jc w:val="both"/>
        <w:rPr>
          <w:rFonts w:ascii="Arial" w:hAnsi="Arial" w:cs="Arial"/>
        </w:rPr>
      </w:pPr>
      <w:r>
        <w:rPr>
          <w:rFonts w:ascii="Arial" w:hAnsi="Arial" w:cs="Arial"/>
        </w:rPr>
        <w:t xml:space="preserve">vlastníci verejných vodovodov podľa § 3 ods. 2 zákona č. 442/2002 Z. z. o verejných vodovodoch a verejných kanalizáciách  a o zmene a doplnení zákona č. 276/ 2001  </w:t>
      </w:r>
      <w:proofErr w:type="spellStart"/>
      <w:r>
        <w:rPr>
          <w:rFonts w:ascii="Arial" w:hAnsi="Arial" w:cs="Arial"/>
        </w:rPr>
        <w:t>Z.z</w:t>
      </w:r>
      <w:proofErr w:type="spellEnd"/>
      <w:r>
        <w:rPr>
          <w:rFonts w:ascii="Arial" w:hAnsi="Arial" w:cs="Arial"/>
        </w:rPr>
        <w:t>. o regulácii v sieťových odvetviach v znení neskorších predpisov,</w:t>
      </w:r>
    </w:p>
    <w:p>
      <w:pPr>
        <w:pStyle w:val="Odsekzoznamu"/>
        <w:numPr>
          <w:ilvl w:val="0"/>
          <w:numId w:val="65"/>
        </w:numPr>
        <w:jc w:val="both"/>
        <w:rPr>
          <w:rFonts w:ascii="Arial" w:hAnsi="Arial" w:cs="Arial"/>
        </w:rPr>
      </w:pPr>
      <w:r>
        <w:rPr>
          <w:rFonts w:ascii="Arial" w:hAnsi="Arial" w:cs="Arial"/>
        </w:rPr>
        <w:t xml:space="preserve">právnické osoby oprávnené na podnikanie v oblasti verejných vodovodov vymedzené v § 5 ods. 3 zákona č. 442/2002 </w:t>
      </w:r>
      <w:proofErr w:type="spellStart"/>
      <w:r>
        <w:rPr>
          <w:rFonts w:ascii="Arial" w:hAnsi="Arial" w:cs="Arial"/>
        </w:rPr>
        <w:t>Z.z</w:t>
      </w:r>
      <w:proofErr w:type="spellEnd"/>
      <w:r>
        <w:rPr>
          <w:rFonts w:ascii="Arial" w:hAnsi="Arial" w:cs="Arial"/>
        </w:rPr>
        <w:t xml:space="preserve">. o verejných vodovodoch a verejných kanalizáciách a o zmene a doplnení zákona č. 276/2001 </w:t>
      </w:r>
      <w:proofErr w:type="spellStart"/>
      <w:r>
        <w:rPr>
          <w:rFonts w:ascii="Arial" w:hAnsi="Arial" w:cs="Arial"/>
        </w:rPr>
        <w:t>Z.z</w:t>
      </w:r>
      <w:proofErr w:type="spellEnd"/>
      <w:r>
        <w:rPr>
          <w:rFonts w:ascii="Arial" w:hAnsi="Arial" w:cs="Arial"/>
        </w:rPr>
        <w:t>. o regulácii v sieťových odvetviach v znení neskorších predpisov.</w:t>
      </w:r>
    </w:p>
    <w:p>
      <w:pPr>
        <w:jc w:val="both"/>
        <w:rPr>
          <w:rFonts w:ascii="Arial" w:hAnsi="Arial" w:cs="Arial"/>
        </w:rPr>
      </w:pPr>
      <w:r>
        <w:rPr>
          <w:rFonts w:ascii="Arial" w:hAnsi="Arial" w:cs="Arial"/>
        </w:rPr>
        <w:t xml:space="preserve">Cieľové skupiny pre špecifický cieľ č. </w:t>
      </w:r>
      <w:r>
        <w:rPr>
          <w:rFonts w:ascii="Arial" w:hAnsi="Arial" w:cs="Arial"/>
          <w:b/>
        </w:rPr>
        <w:t>4.2.1 a 4.2.2</w:t>
      </w:r>
      <w:r>
        <w:rPr>
          <w:rFonts w:ascii="Arial" w:hAnsi="Arial" w:cs="Arial"/>
        </w:rPr>
        <w:t>:</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a ďalšie subjekty (t.j. odberatelia pitnej vody, subjekty napojené na kanalizačnú sieť) pôsobiaci na území daného projektu.</w:t>
      </w:r>
    </w:p>
    <w:p>
      <w:pPr>
        <w:jc w:val="both"/>
        <w:rPr>
          <w:rFonts w:ascii="Arial" w:hAnsi="Arial" w:cs="Arial"/>
        </w:rPr>
      </w:pPr>
      <w:r>
        <w:rPr>
          <w:rFonts w:ascii="Arial" w:hAnsi="Arial" w:cs="Arial"/>
        </w:rPr>
        <w:t xml:space="preserve">Cieľové územie pre špecifický cieľ č. </w:t>
      </w:r>
      <w:r>
        <w:rPr>
          <w:rFonts w:ascii="Arial" w:hAnsi="Arial" w:cs="Arial"/>
          <w:b/>
        </w:rPr>
        <w:t>4.2.1 a 4.2.2</w:t>
      </w:r>
      <w:r>
        <w:rPr>
          <w:rFonts w:ascii="Arial" w:hAnsi="Arial" w:cs="Arial"/>
        </w:rPr>
        <w:t>:</w:t>
      </w:r>
    </w:p>
    <w:p>
      <w:pPr>
        <w:pStyle w:val="Odsekzoznamu"/>
        <w:numPr>
          <w:ilvl w:val="0"/>
          <w:numId w:val="64"/>
        </w:numPr>
        <w:tabs>
          <w:tab w:val="clear" w:pos="360"/>
          <w:tab w:val="num" w:pos="720"/>
        </w:tabs>
        <w:ind w:left="720"/>
        <w:jc w:val="both"/>
        <w:rPr>
          <w:rFonts w:ascii="Arial" w:hAnsi="Arial" w:cs="Arial"/>
        </w:rPr>
      </w:pPr>
      <w:r>
        <w:rPr>
          <w:rFonts w:ascii="Arial" w:hAnsi="Arial" w:cs="Arial"/>
        </w:rPr>
        <w:t>celé územie SR okrem Bratislavského kraja.</w:t>
      </w:r>
    </w:p>
    <w:p>
      <w:pPr>
        <w:jc w:val="both"/>
        <w:rPr>
          <w:rFonts w:ascii="Arial" w:hAnsi="Arial" w:cs="Arial"/>
        </w:rPr>
      </w:pPr>
    </w:p>
    <w:p>
      <w:pPr>
        <w:pStyle w:val="Nadpis6"/>
        <w:rPr>
          <w:rFonts w:ascii="Arial" w:hAnsi="Arial" w:cs="Arial"/>
        </w:rPr>
      </w:pPr>
      <w:bookmarkStart w:id="90" w:name="_Toc387651846"/>
      <w:r>
        <w:rPr>
          <w:rFonts w:ascii="Arial" w:hAnsi="Arial" w:cs="Arial"/>
        </w:rPr>
        <w:t>2.4.2.2. Hlavné zásady výberu operácií</w:t>
      </w:r>
      <w:bookmarkEnd w:id="90"/>
    </w:p>
    <w:p>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4.2.2</w:t>
      </w:r>
      <w:r>
        <w:rPr>
          <w:rFonts w:ascii="Arial" w:hAnsi="Arial" w:cs="Arial"/>
        </w:rPr>
        <w:t xml:space="preserve"> a dosiahnutie stanovených výsledkov navrhované operácie/projekty rešpektujú nasledovné princípy.</w:t>
      </w:r>
    </w:p>
    <w:p>
      <w:pPr>
        <w:spacing w:before="120"/>
        <w:rPr>
          <w:rFonts w:ascii="Arial" w:hAnsi="Arial" w:cs="Arial"/>
        </w:rPr>
      </w:pPr>
      <w:r>
        <w:rPr>
          <w:rFonts w:ascii="Arial" w:hAnsi="Arial" w:cs="Arial"/>
        </w:rPr>
        <w:t xml:space="preserve">Rekonštruované stokové siete musia spĺňať nasledovné funkčné požiadavky: </w:t>
      </w:r>
    </w:p>
    <w:p>
      <w:pPr>
        <w:pStyle w:val="Odsekzoznamu"/>
        <w:numPr>
          <w:ilvl w:val="0"/>
          <w:numId w:val="39"/>
        </w:numPr>
        <w:jc w:val="both"/>
        <w:rPr>
          <w:rFonts w:ascii="Arial" w:hAnsi="Arial" w:cs="Arial"/>
        </w:rPr>
      </w:pPr>
      <w:r>
        <w:rPr>
          <w:rFonts w:ascii="Arial" w:hAnsi="Arial" w:cs="Arial"/>
        </w:rPr>
        <w:t>pri prevádzke nesmie dochádzať k upchatiu stôk,</w:t>
      </w:r>
    </w:p>
    <w:p>
      <w:pPr>
        <w:pStyle w:val="Odsekzoznamu"/>
        <w:numPr>
          <w:ilvl w:val="0"/>
          <w:numId w:val="39"/>
        </w:numPr>
        <w:jc w:val="both"/>
        <w:rPr>
          <w:rFonts w:ascii="Arial" w:hAnsi="Arial" w:cs="Arial"/>
        </w:rPr>
      </w:pPr>
      <w:r>
        <w:rPr>
          <w:rFonts w:ascii="Arial" w:hAnsi="Arial" w:cs="Arial"/>
        </w:rPr>
        <w:t>periodicita zaplavenia a preťaženia musí vyhovieť predpísaným limitom,</w:t>
      </w:r>
    </w:p>
    <w:p>
      <w:pPr>
        <w:pStyle w:val="Odsekzoznamu"/>
        <w:numPr>
          <w:ilvl w:val="0"/>
          <w:numId w:val="39"/>
        </w:numPr>
        <w:jc w:val="both"/>
        <w:rPr>
          <w:rFonts w:ascii="Arial" w:hAnsi="Arial" w:cs="Arial"/>
        </w:rPr>
      </w:pPr>
      <w:r>
        <w:rPr>
          <w:rFonts w:ascii="Arial" w:hAnsi="Arial" w:cs="Arial"/>
        </w:rPr>
        <w:t>musí sa zabezpečiť ochrana verejného zdravia a životov,</w:t>
      </w:r>
    </w:p>
    <w:p>
      <w:pPr>
        <w:pStyle w:val="Odsekzoznamu"/>
        <w:numPr>
          <w:ilvl w:val="0"/>
          <w:numId w:val="39"/>
        </w:numPr>
        <w:jc w:val="both"/>
        <w:rPr>
          <w:rFonts w:ascii="Arial" w:hAnsi="Arial" w:cs="Arial"/>
        </w:rPr>
      </w:pPr>
      <w:r>
        <w:rPr>
          <w:rFonts w:ascii="Arial" w:hAnsi="Arial" w:cs="Arial"/>
        </w:rPr>
        <w:t>recipienty musia byť chránené pred znečisteným v rámci predpísaných limitov,</w:t>
      </w:r>
    </w:p>
    <w:p>
      <w:pPr>
        <w:pStyle w:val="Odsekzoznamu"/>
        <w:numPr>
          <w:ilvl w:val="0"/>
          <w:numId w:val="39"/>
        </w:numPr>
        <w:jc w:val="both"/>
        <w:rPr>
          <w:rFonts w:ascii="Arial" w:hAnsi="Arial" w:cs="Arial"/>
        </w:rPr>
      </w:pPr>
      <w:r>
        <w:rPr>
          <w:rFonts w:ascii="Arial" w:hAnsi="Arial" w:cs="Arial"/>
        </w:rPr>
        <w:t>kanalizačné potrubia a stoky nesmú ohrozovať existujúce a susediace stavby a inžinierske siete,</w:t>
      </w:r>
    </w:p>
    <w:p>
      <w:pPr>
        <w:pStyle w:val="Odsekzoznamu"/>
        <w:numPr>
          <w:ilvl w:val="0"/>
          <w:numId w:val="39"/>
        </w:numPr>
        <w:jc w:val="both"/>
        <w:rPr>
          <w:rFonts w:ascii="Arial" w:hAnsi="Arial" w:cs="Arial"/>
        </w:rPr>
      </w:pPr>
      <w:r>
        <w:rPr>
          <w:rFonts w:ascii="Arial" w:hAnsi="Arial" w:cs="Arial"/>
        </w:rPr>
        <w:t>musí sa dosiahnuť požadovaná životnosť a integrita,</w:t>
      </w:r>
    </w:p>
    <w:p>
      <w:pPr>
        <w:pStyle w:val="Odsekzoznamu"/>
        <w:numPr>
          <w:ilvl w:val="0"/>
          <w:numId w:val="39"/>
        </w:numPr>
        <w:jc w:val="both"/>
        <w:rPr>
          <w:rFonts w:ascii="Arial" w:hAnsi="Arial" w:cs="Arial"/>
        </w:rPr>
      </w:pPr>
      <w:r>
        <w:rPr>
          <w:rFonts w:ascii="Arial" w:hAnsi="Arial" w:cs="Arial"/>
        </w:rPr>
        <w:lastRenderedPageBreak/>
        <w:t>vodotesnosť kanalizačných potrubí a stôk musí zodpovedať skúšobným požiadavkám,</w:t>
      </w:r>
    </w:p>
    <w:p>
      <w:pPr>
        <w:pStyle w:val="Odsekzoznamu"/>
        <w:numPr>
          <w:ilvl w:val="0"/>
          <w:numId w:val="39"/>
        </w:numPr>
        <w:jc w:val="both"/>
        <w:rPr>
          <w:rFonts w:ascii="Arial" w:hAnsi="Arial" w:cs="Arial"/>
        </w:rPr>
      </w:pPr>
      <w:r>
        <w:rPr>
          <w:rFonts w:ascii="Arial" w:hAnsi="Arial" w:cs="Arial"/>
        </w:rPr>
        <w:t>musí sa zabrániť výskytu pachov a toxicity,</w:t>
      </w:r>
    </w:p>
    <w:p>
      <w:pPr>
        <w:pStyle w:val="Odsekzoznamu"/>
        <w:numPr>
          <w:ilvl w:val="0"/>
          <w:numId w:val="39"/>
        </w:numPr>
        <w:jc w:val="both"/>
        <w:rPr>
          <w:rFonts w:ascii="Arial" w:hAnsi="Arial" w:cs="Arial"/>
        </w:rPr>
      </w:pPr>
      <w:r>
        <w:rPr>
          <w:rFonts w:ascii="Arial" w:hAnsi="Arial" w:cs="Arial"/>
        </w:rPr>
        <w:t>musí sa zabezpečiť vhodný prístup na údržbu,</w:t>
      </w:r>
    </w:p>
    <w:p>
      <w:pPr>
        <w:pStyle w:val="Odsekzoznamu"/>
        <w:numPr>
          <w:ilvl w:val="0"/>
          <w:numId w:val="39"/>
        </w:numPr>
        <w:jc w:val="both"/>
        <w:rPr>
          <w:rFonts w:ascii="Arial" w:hAnsi="Arial" w:cs="Arial"/>
        </w:rPr>
      </w:pPr>
      <w:r>
        <w:rPr>
          <w:rFonts w:ascii="Arial" w:hAnsi="Arial" w:cs="Arial"/>
        </w:rPr>
        <w:t>projekt uplatňuje zásadu „znečisťovateľ platí“.</w:t>
      </w:r>
    </w:p>
    <w:p>
      <w:pPr>
        <w:pStyle w:val="Nadpis6"/>
        <w:rPr>
          <w:rFonts w:ascii="Arial" w:hAnsi="Arial" w:cs="Arial"/>
        </w:rPr>
      </w:pPr>
      <w:bookmarkStart w:id="91" w:name="_Toc387651847"/>
      <w:r>
        <w:rPr>
          <w:rFonts w:ascii="Arial" w:hAnsi="Arial" w:cs="Arial"/>
        </w:rPr>
        <w:t>2.4.2.3. Plánované využitie finančných nástrojov</w:t>
      </w:r>
      <w:bookmarkEnd w:id="91"/>
    </w:p>
    <w:p>
      <w:pPr>
        <w:spacing w:before="240"/>
        <w:jc w:val="both"/>
        <w:rPr>
          <w:rFonts w:ascii="Arial" w:hAnsi="Arial" w:cs="Arial"/>
        </w:rPr>
      </w:pPr>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p>
    <w:p>
      <w:pPr>
        <w:jc w:val="both"/>
        <w:rPr>
          <w:rFonts w:ascii="Arial" w:hAnsi="Arial" w:cs="Arial"/>
        </w:rPr>
      </w:pPr>
      <w:r>
        <w:rPr>
          <w:rFonts w:ascii="Arial" w:hAnsi="Arial" w:cs="Arial"/>
        </w:rPr>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p>
    <w:p>
      <w:pPr>
        <w:pStyle w:val="Nadpis6"/>
        <w:rPr>
          <w:rFonts w:ascii="Arial" w:hAnsi="Arial" w:cs="Arial"/>
        </w:rPr>
      </w:pPr>
      <w:bookmarkStart w:id="92" w:name="_Toc387651848"/>
      <w:r>
        <w:rPr>
          <w:rFonts w:ascii="Arial" w:hAnsi="Arial" w:cs="Arial"/>
        </w:rPr>
        <w:t>2.4.2.4. Plánované využitie veľkých projektov</w:t>
      </w:r>
      <w:bookmarkEnd w:id="92"/>
    </w:p>
    <w:p>
      <w:pPr>
        <w:jc w:val="both"/>
        <w:rPr>
          <w:rFonts w:ascii="Arial" w:hAnsi="Arial" w:cs="Arial"/>
        </w:rPr>
      </w:pPr>
      <w:bookmarkStart w:id="93" w:name="_Toc369530748"/>
      <w:bookmarkStart w:id="94" w:name="_Toc369876860"/>
      <w:bookmarkStart w:id="95" w:name="_Toc377990766"/>
      <w:r>
        <w:rPr>
          <w:rFonts w:ascii="Arial" w:hAnsi="Arial" w:cs="Arial"/>
        </w:rPr>
        <w:t xml:space="preserve">V tejto investičnej priorite nie sú podporované projekty z kategórie veľkých projektov podľa čl. 100 – 103 </w:t>
      </w:r>
      <w:bookmarkEnd w:id="93"/>
      <w:bookmarkEnd w:id="94"/>
      <w:bookmarkEnd w:id="95"/>
      <w:r>
        <w:rPr>
          <w:rFonts w:ascii="Arial" w:hAnsi="Arial" w:cs="Arial"/>
        </w:rPr>
        <w:t>nariadenia EP a Rady (EÚ) č. 1303/2013.</w:t>
      </w:r>
    </w:p>
    <w:p>
      <w:pPr>
        <w:pStyle w:val="Nadpis6"/>
        <w:rPr>
          <w:rFonts w:ascii="Arial" w:hAnsi="Arial" w:cs="Arial"/>
        </w:rPr>
      </w:pPr>
      <w:bookmarkStart w:id="96" w:name="_Toc387651849"/>
      <w:r>
        <w:rPr>
          <w:rFonts w:ascii="Arial" w:hAnsi="Arial" w:cs="Arial"/>
        </w:rPr>
        <w:t>2.4.2.5. Ukazovatele výstupov podľa investičnej priority a ak je to vhodné, podľa kategórie regiónu</w:t>
      </w:r>
      <w:bookmarkEnd w:id="96"/>
    </w:p>
    <w:p>
      <w:pPr>
        <w:spacing w:before="240"/>
        <w:rPr>
          <w:rFonts w:ascii="Arial" w:hAnsi="Arial" w:cs="Arial"/>
        </w:rPr>
      </w:pPr>
      <w:r>
        <w:rPr>
          <w:rStyle w:val="Siln"/>
          <w:rFonts w:ascii="Arial" w:hAnsi="Arial" w:cs="Arial"/>
        </w:rPr>
        <w:t>Tabuľka č. 28</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0"/>
        <w:gridCol w:w="1611"/>
        <w:gridCol w:w="1124"/>
        <w:gridCol w:w="1088"/>
        <w:gridCol w:w="1097"/>
        <w:gridCol w:w="750"/>
        <w:gridCol w:w="750"/>
        <w:gridCol w:w="675"/>
        <w:gridCol w:w="760"/>
        <w:gridCol w:w="1053"/>
      </w:tblGrid>
      <w:tr>
        <w:trPr>
          <w:trHeight w:val="278"/>
        </w:trPr>
        <w:tc>
          <w:tcPr>
            <w:tcW w:w="38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1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2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8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9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75"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6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8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2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8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9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6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8"/>
              </w:rPr>
            </w:pPr>
            <w:r>
              <w:rPr>
                <w:rFonts w:ascii="Arial" w:hAnsi="Arial" w:cs="Arial"/>
                <w:sz w:val="16"/>
                <w:szCs w:val="18"/>
              </w:rPr>
              <w:t xml:space="preserve">Počet obyvateľov so zlepšeným čistením komunálnych </w:t>
            </w:r>
            <w:r>
              <w:rPr>
                <w:rFonts w:ascii="Arial" w:hAnsi="Arial" w:cs="Arial"/>
                <w:sz w:val="16"/>
                <w:szCs w:val="18"/>
              </w:rPr>
              <w:lastRenderedPageBreak/>
              <w:t>odpadových vôd</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8"/>
              </w:rPr>
            </w:pPr>
            <w:r>
              <w:rPr>
                <w:rFonts w:ascii="Arial" w:hAnsi="Arial" w:cs="Arial"/>
                <w:sz w:val="16"/>
                <w:szCs w:val="18"/>
              </w:rPr>
              <w:lastRenderedPageBreak/>
              <w:t>EO</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8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61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Počet obyvateľov so zlepšenou dodávkou pitnej vody</w:t>
            </w:r>
          </w:p>
        </w:tc>
        <w:tc>
          <w:tcPr>
            <w:tcW w:w="112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8"/>
              </w:rPr>
              <w:t>Obyvateľ</w:t>
            </w:r>
          </w:p>
        </w:tc>
        <w:tc>
          <w:tcPr>
            <w:tcW w:w="108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6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pBdr>
          <w:bottom w:val="single" w:sz="12" w:space="1" w:color="auto"/>
        </w:pBdr>
        <w:rPr>
          <w:rFonts w:ascii="Arial" w:hAnsi="Arial" w:cs="Arial"/>
          <w:sz w:val="18"/>
          <w:szCs w:val="18"/>
        </w:rPr>
      </w:pPr>
    </w:p>
    <w:p>
      <w:pPr>
        <w:rPr>
          <w:rFonts w:ascii="Arial" w:hAnsi="Arial" w:cs="Arial"/>
          <w:sz w:val="18"/>
          <w:szCs w:val="18"/>
        </w:rPr>
      </w:pPr>
    </w:p>
    <w:p>
      <w:pPr>
        <w:pStyle w:val="Nadpis4"/>
        <w:shd w:val="clear" w:color="auto" w:fill="21306A"/>
        <w:rPr>
          <w:rFonts w:ascii="Arial" w:hAnsi="Arial" w:cs="Arial"/>
          <w:color w:val="FFFFFF"/>
        </w:rPr>
      </w:pPr>
      <w:bookmarkStart w:id="97" w:name="_Toc387651850"/>
      <w:r>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97"/>
    </w:p>
    <w:p>
      <w:pPr>
        <w:rPr>
          <w:rFonts w:ascii="Arial" w:hAnsi="Arial" w:cs="Arial"/>
        </w:rPr>
      </w:pPr>
    </w:p>
    <w:p>
      <w:pPr>
        <w:rPr>
          <w:rFonts w:ascii="Arial" w:hAnsi="Arial" w:cs="Arial"/>
          <w:b/>
          <w:color w:val="4EACF3"/>
        </w:rPr>
      </w:pPr>
      <w:bookmarkStart w:id="98" w:name="_Toc369530752"/>
      <w:bookmarkStart w:id="99" w:name="_Toc369876864"/>
      <w:bookmarkStart w:id="100" w:name="_Toc377990770"/>
      <w:bookmarkStart w:id="101" w:name="_Toc378169934"/>
      <w:r>
        <w:rPr>
          <w:rFonts w:ascii="Arial" w:hAnsi="Arial" w:cs="Arial"/>
          <w:b/>
        </w:rPr>
        <w:t>Špecifický cieľ č. 4.3.1:</w:t>
      </w:r>
      <w:bookmarkEnd w:id="98"/>
      <w:bookmarkEnd w:id="99"/>
      <w:bookmarkEnd w:id="100"/>
      <w:bookmarkEnd w:id="101"/>
      <w:r>
        <w:rPr>
          <w:rFonts w:ascii="Arial" w:hAnsi="Arial" w:cs="Arial"/>
          <w:b/>
        </w:rPr>
        <w:t xml:space="preserve"> </w:t>
      </w:r>
    </w:p>
    <w:p>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zmeny klímy ako aj zavádzaním systémových prvkov znižovania znečistenia ovzdušia a hluku.   </w:t>
      </w:r>
    </w:p>
    <w:p>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 </w:t>
      </w:r>
    </w:p>
    <w:p>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pPr>
        <w:jc w:val="both"/>
        <w:rPr>
          <w:rFonts w:ascii="Arial" w:hAnsi="Arial" w:cs="Arial"/>
        </w:rPr>
      </w:pPr>
      <w:r>
        <w:rPr>
          <w:rFonts w:ascii="Arial" w:hAnsi="Arial" w:cs="Arial"/>
        </w:rPr>
        <w:t>Adaptačné opatrenia</w:t>
      </w:r>
      <w:r>
        <w:rPr>
          <w:rStyle w:val="Odkaznapoznmkupodiarou"/>
          <w:rFonts w:ascii="Arial" w:hAnsi="Arial" w:cs="Arial"/>
        </w:rPr>
        <w:footnoteReference w:id="59"/>
      </w:r>
      <w:r>
        <w:rPr>
          <w:rFonts w:ascii="Arial" w:hAnsi="Arial" w:cs="Arial"/>
        </w:rPr>
        <w:t xml:space="preserve"> v urbanizovanom prostredí sú podmienkou kvality života v meniacej sa klíme. Vhodnými mechanizmami sa dosiahne zvýšenie odolnosti sídelného prostredia na negatívne dopady klímy, zvýšenie odolnosti sídiel na očakávané výzvy ďalšieho rozvoja spoločnosti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w:t>
      </w:r>
      <w:r>
        <w:rPr>
          <w:rFonts w:ascii="Arial" w:hAnsi="Arial" w:cs="Arial"/>
        </w:rPr>
        <w:lastRenderedPageBreak/>
        <w:t>stratégii pre životné prostredie v mestách</w:t>
      </w:r>
      <w:r>
        <w:rPr>
          <w:rStyle w:val="Odkaznapoznmkupodiarou"/>
          <w:rFonts w:ascii="Arial" w:hAnsi="Arial" w:cs="Arial"/>
        </w:rPr>
        <w:footnoteReference w:id="60"/>
      </w:r>
      <w:r>
        <w:rPr>
          <w:rFonts w:ascii="Arial" w:hAnsi="Arial" w:cs="Arial"/>
        </w:rPr>
        <w:t xml:space="preserve"> a Stratégii adaptácie SR na nepriaznivé dôsledky zmeny klímy.</w:t>
      </w:r>
    </w:p>
    <w:p>
      <w:pPr>
        <w:rPr>
          <w:rFonts w:ascii="Arial" w:hAnsi="Arial" w:cs="Arial"/>
        </w:rPr>
      </w:pPr>
      <w:bookmarkStart w:id="102" w:name="_Toc377990771"/>
      <w:bookmarkStart w:id="103" w:name="_Toc378169935"/>
      <w:bookmarkStart w:id="104" w:name="_Toc383369328"/>
      <w:r>
        <w:rPr>
          <w:rFonts w:ascii="Arial" w:hAnsi="Arial" w:cs="Arial"/>
        </w:rPr>
        <w:t>Opatrenia v rámci špecifického cieľa 4.3.1 môžu mať charakter:</w:t>
      </w:r>
      <w:bookmarkEnd w:id="102"/>
      <w:bookmarkEnd w:id="103"/>
      <w:bookmarkEnd w:id="104"/>
    </w:p>
    <w:p>
      <w:pPr>
        <w:pStyle w:val="Odsekzoznamu"/>
        <w:numPr>
          <w:ilvl w:val="0"/>
          <w:numId w:val="35"/>
        </w:numPr>
        <w:jc w:val="both"/>
        <w:rPr>
          <w:rFonts w:ascii="Arial" w:hAnsi="Arial" w:cs="Arial"/>
        </w:rPr>
      </w:pPr>
      <w:r>
        <w:rPr>
          <w:rFonts w:ascii="Arial" w:hAnsi="Arial" w:cs="Arial"/>
        </w:rPr>
        <w:t>„zelenej“ (využívanie vegetácie) a „modrej“ (využívanie vodných prvkov) infraštruktúry,</w:t>
      </w:r>
    </w:p>
    <w:p>
      <w:pPr>
        <w:pStyle w:val="Odsekzoznamu"/>
        <w:numPr>
          <w:ilvl w:val="0"/>
          <w:numId w:val="35"/>
        </w:numPr>
        <w:jc w:val="both"/>
        <w:rPr>
          <w:rFonts w:ascii="Arial" w:hAnsi="Arial" w:cs="Arial"/>
        </w:rPr>
      </w:pPr>
      <w:r>
        <w:rPr>
          <w:rFonts w:ascii="Arial" w:hAnsi="Arial" w:cs="Arial"/>
        </w:rPr>
        <w:t xml:space="preserve"> „mäkkých“ neinfraštruktúrnych prístupov (napr. informačno-osvetová činnosť, dotačná politika a pod.).</w:t>
      </w:r>
    </w:p>
    <w:p>
      <w:pPr>
        <w:jc w:val="both"/>
        <w:rPr>
          <w:rFonts w:ascii="Arial" w:hAnsi="Arial" w:cs="Arial"/>
          <w:b/>
        </w:rPr>
      </w:pPr>
      <w:r>
        <w:rPr>
          <w:rFonts w:ascii="Arial" w:hAnsi="Arial" w:cs="Arial"/>
          <w:b/>
        </w:rPr>
        <w:t xml:space="preserve">Výsledok podpory IROP: </w:t>
      </w:r>
    </w:p>
    <w:p>
      <w:pPr>
        <w:pStyle w:val="Odsekzoznamu"/>
        <w:numPr>
          <w:ilvl w:val="0"/>
          <w:numId w:val="62"/>
        </w:numPr>
        <w:jc w:val="both"/>
        <w:rPr>
          <w:rFonts w:ascii="Arial" w:hAnsi="Arial" w:cs="Arial"/>
        </w:rPr>
      </w:pPr>
      <w:r>
        <w:rPr>
          <w:rFonts w:ascii="Arial" w:hAnsi="Arial" w:cs="Arial"/>
        </w:rPr>
        <w:t>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pPr>
        <w:pStyle w:val="Odsekzoznamu"/>
        <w:numPr>
          <w:ilvl w:val="0"/>
          <w:numId w:val="62"/>
        </w:numPr>
        <w:jc w:val="both"/>
        <w:rPr>
          <w:rFonts w:ascii="Arial" w:hAnsi="Arial" w:cs="Arial"/>
        </w:rPr>
      </w:pPr>
      <w:r>
        <w:rPr>
          <w:rFonts w:ascii="Arial" w:hAnsi="Arial" w:cs="Arial"/>
        </w:rPr>
        <w:t xml:space="preserve">vytvorenie nových miest pre oddych obyvateľov prostredníctvom realizácie </w:t>
      </w:r>
      <w:proofErr w:type="spellStart"/>
      <w:r>
        <w:rPr>
          <w:rFonts w:ascii="Arial" w:hAnsi="Arial" w:cs="Arial"/>
        </w:rPr>
        <w:t>voľnočasových</w:t>
      </w:r>
      <w:proofErr w:type="spellEnd"/>
      <w:r>
        <w:rPr>
          <w:rFonts w:ascii="Arial" w:hAnsi="Arial" w:cs="Arial"/>
        </w:rPr>
        <w:t xml:space="preserve"> aktivít,</w:t>
      </w:r>
    </w:p>
    <w:p>
      <w:pPr>
        <w:pStyle w:val="Odsekzoznamu"/>
        <w:numPr>
          <w:ilvl w:val="0"/>
          <w:numId w:val="62"/>
        </w:numPr>
        <w:jc w:val="both"/>
        <w:rPr>
          <w:rFonts w:ascii="Arial" w:hAnsi="Arial" w:cs="Arial"/>
        </w:rPr>
      </w:pPr>
      <w:r>
        <w:rPr>
          <w:rFonts w:ascii="Arial" w:hAnsi="Arial" w:cs="Arial"/>
        </w:rPr>
        <w:t>zníženie zraniteľnosti krajiny klimatickými rizikami prostredníctvom adaptačných opatrení,</w:t>
      </w:r>
    </w:p>
    <w:p>
      <w:pPr>
        <w:pStyle w:val="Odsekzoznamu"/>
        <w:numPr>
          <w:ilvl w:val="0"/>
          <w:numId w:val="62"/>
        </w:numPr>
        <w:jc w:val="both"/>
        <w:rPr>
          <w:rFonts w:ascii="Arial" w:hAnsi="Arial" w:cs="Arial"/>
        </w:rPr>
      </w:pPr>
      <w:r>
        <w:rPr>
          <w:rFonts w:ascii="Arial" w:hAnsi="Arial" w:cs="Arial"/>
        </w:rPr>
        <w:t xml:space="preserve">budovanie adaptačnej kapacity – tvorba informačných podporných sociálnych štruktúr a podpornej správy. </w:t>
      </w:r>
    </w:p>
    <w:p>
      <w:pPr>
        <w:rPr>
          <w:rStyle w:val="Zvraznenie"/>
          <w:rFonts w:ascii="Arial" w:hAnsi="Arial" w:cs="Arial"/>
        </w:rPr>
      </w:pPr>
      <w:r>
        <w:rPr>
          <w:rStyle w:val="Siln"/>
          <w:rFonts w:ascii="Arial" w:hAnsi="Arial" w:cs="Arial"/>
        </w:rPr>
        <w:t>Tabuľka č. 29</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52"/>
        <w:gridCol w:w="1275"/>
        <w:gridCol w:w="963"/>
        <w:gridCol w:w="983"/>
        <w:gridCol w:w="1293"/>
        <w:gridCol w:w="1293"/>
        <w:gridCol w:w="986"/>
        <w:gridCol w:w="790"/>
        <w:gridCol w:w="1053"/>
      </w:tblGrid>
      <w:tr>
        <w:tc>
          <w:tcPr>
            <w:tcW w:w="6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dní s prekročenými limitnými hodnotami znečisťujúcej látky PM10 a PM2,5</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Deň</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SHMÚ</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rPr>
          <w:rFonts w:ascii="Arial" w:hAnsi="Arial" w:cs="Arial"/>
          <w:b/>
          <w:color w:val="4EACF3"/>
        </w:rPr>
      </w:pPr>
      <w:bookmarkStart w:id="105" w:name="_Toc377990772"/>
      <w:bookmarkStart w:id="106" w:name="_Toc378169936"/>
      <w:r>
        <w:rPr>
          <w:rFonts w:ascii="Arial" w:hAnsi="Arial" w:cs="Arial"/>
          <w:b/>
        </w:rPr>
        <w:t>Špecifický cieľ č. 4.3.2:</w:t>
      </w:r>
      <w:bookmarkEnd w:id="105"/>
      <w:bookmarkEnd w:id="106"/>
      <w:r>
        <w:rPr>
          <w:rFonts w:ascii="Arial" w:hAnsi="Arial" w:cs="Arial"/>
          <w:b/>
        </w:rPr>
        <w:t xml:space="preserve"> </w:t>
      </w:r>
    </w:p>
    <w:p>
      <w:pPr>
        <w:shd w:val="clear" w:color="auto" w:fill="D9D9D9"/>
        <w:jc w:val="both"/>
        <w:rPr>
          <w:rStyle w:val="Zvraznenie"/>
        </w:rPr>
      </w:pPr>
      <w:r>
        <w:rPr>
          <w:rStyle w:val="Zvraznenie"/>
          <w:rFonts w:ascii="Arial" w:hAnsi="Arial" w:cs="Arial"/>
        </w:rPr>
        <w:t>Regenerácia a využitie nevyužívaných objektov a areálov (</w:t>
      </w:r>
      <w:proofErr w:type="spellStart"/>
      <w:r>
        <w:rPr>
          <w:rStyle w:val="Zvraznenie"/>
          <w:rFonts w:ascii="Arial" w:hAnsi="Arial" w:cs="Arial"/>
        </w:rPr>
        <w:t>brownfields</w:t>
      </w:r>
      <w:proofErr w:type="spellEnd"/>
      <w:r>
        <w:rPr>
          <w:rStyle w:val="Zvraznenie"/>
          <w:rFonts w:ascii="Arial" w:hAnsi="Arial" w:cs="Arial"/>
        </w:rPr>
        <w:t>) a </w:t>
      </w:r>
      <w:proofErr w:type="spellStart"/>
      <w:r>
        <w:rPr>
          <w:rStyle w:val="Zvraznenie"/>
          <w:rFonts w:ascii="Arial" w:hAnsi="Arial" w:cs="Arial"/>
        </w:rPr>
        <w:t>vnútroblokov</w:t>
      </w:r>
      <w:proofErr w:type="spellEnd"/>
      <w:r>
        <w:rPr>
          <w:rStyle w:val="Zvraznenie"/>
          <w:rFonts w:ascii="Arial" w:hAnsi="Arial" w:cs="Arial"/>
        </w:rPr>
        <w:t xml:space="preserve"> sídlisk s cieľom zlepšenia kvality života obyvateľov v mestách, obciach a mestských oblastiach.</w:t>
      </w:r>
    </w:p>
    <w:p>
      <w:pPr>
        <w:jc w:val="both"/>
        <w:rPr>
          <w:rFonts w:ascii="Arial" w:hAnsi="Arial" w:cs="Arial"/>
        </w:rPr>
      </w:pPr>
      <w:r>
        <w:rPr>
          <w:rFonts w:ascii="Arial" w:hAnsi="Arial" w:cs="Arial"/>
        </w:rPr>
        <w:t>Hlavnou oblasťou špecifického cieľa 4.3.2. bude udržateľný rast, nakoľko príspevky do zanedbaných plôch a priestranstiev zabraňujú ďalšej degradácii územia a jeho znehodnocovaniu. Prvoradým cieľom je podpora rozvoja  ekonomických a sociálnych činností v území s dôrazom na využívanie zastavaného a v minulosti využívaného územia, ako vhodná alternatíva budovania na zelených plochách. Regenerácia opustených areálov a priestranstiev a </w:t>
      </w:r>
      <w:proofErr w:type="spellStart"/>
      <w:r>
        <w:rPr>
          <w:rFonts w:ascii="Arial" w:hAnsi="Arial" w:cs="Arial"/>
        </w:rPr>
        <w:t>vnútroblokov</w:t>
      </w:r>
      <w:proofErr w:type="spellEnd"/>
      <w:r>
        <w:rPr>
          <w:rFonts w:ascii="Arial" w:hAnsi="Arial" w:cs="Arial"/>
        </w:rPr>
        <w:t xml:space="preserve"> sídlisk môže pre mestá a obce priniesť okrem zlepšenia kvality mestského prostredia aj vytvorenie nových pracovných miest, podporu podnikania, </w:t>
      </w:r>
      <w:r>
        <w:rPr>
          <w:rFonts w:ascii="Arial" w:hAnsi="Arial" w:cs="Arial"/>
        </w:rPr>
        <w:lastRenderedPageBreak/>
        <w:t xml:space="preserve">posilnenie miestnej ekonomiky, rozšírenie ponuky a zlepšenie poskytovaných služieb v území, zlepšenie úrovne verejnej bezpečnosti a posilnenie environmentálnej stability. </w:t>
      </w:r>
    </w:p>
    <w:p>
      <w:pPr>
        <w:jc w:val="both"/>
        <w:rPr>
          <w:rFonts w:ascii="Arial" w:hAnsi="Arial" w:cs="Arial"/>
        </w:rPr>
      </w:pPr>
      <w:r>
        <w:rPr>
          <w:rFonts w:ascii="Arial" w:hAnsi="Arial" w:cs="Arial"/>
        </w:rPr>
        <w:t xml:space="preserve">Pri výbere vhodnej stratégie revitalizácie zanedbaných priestorov v mestách je dôležité vnímať územie ako celok aj s dopadmi na svoje okolie. Použitie vhodnej stratégie sa ukazuje ako kľúčové pre úspešnosť, udržateľnosť a efektívnosť revitalizačných procesov. Na obsahovej úrovni možno stratégie aplikovať ako regenerácie založené na výmene pôvodných štruktúr za nové, adaptácie založené na ochrane pôvodnej funkcie územia, kompletizácie funkčnej/fyzickej štruktúry, rekonštrukcie (renovácie) území, modernizácie a humanizácie území, ktoré sú zamerané na zlepšenie kvality životného prostredia a života obyvateľov v rámci regenerovaného územia a jeho okolia. </w:t>
      </w:r>
    </w:p>
    <w:p>
      <w:pPr>
        <w:jc w:val="both"/>
        <w:rPr>
          <w:rFonts w:ascii="Arial" w:hAnsi="Arial" w:cs="Arial"/>
        </w:rPr>
      </w:pPr>
      <w:r>
        <w:rPr>
          <w:rFonts w:ascii="Arial" w:hAnsi="Arial" w:cs="Arial"/>
        </w:rPr>
        <w:t>Vychádzajúc zo skúseností krajín EÚ môže byť budúce využitie hnedých zón a zanedbaných a opustených areálov a priestranstiev orientované ako čisto priemyselné využitie, zmiešaná priemyselná funkcia (ľahký priemysel, služby), zmiešaná mestská funkcia (bývanie, služby, teda polyfunkčné využitie) alebo využitie pre občiansku vybavenosť.</w:t>
      </w:r>
      <w:r>
        <w:rPr>
          <w:rStyle w:val="Odkaznapoznmkupodiarou"/>
          <w:rFonts w:ascii="Arial" w:hAnsi="Arial" w:cs="Arial"/>
        </w:rPr>
        <w:footnoteReference w:id="61"/>
      </w:r>
      <w:r>
        <w:rPr>
          <w:rFonts w:ascii="Arial" w:hAnsi="Arial" w:cs="Arial"/>
        </w:rPr>
        <w:t xml:space="preserve"> Kvalitné verejné priestory dôležitým prvkom rozvoja občianskej spoločnosti, podpory </w:t>
      </w:r>
      <w:proofErr w:type="spellStart"/>
      <w:r>
        <w:rPr>
          <w:rFonts w:ascii="Arial" w:hAnsi="Arial" w:cs="Arial"/>
        </w:rPr>
        <w:t>komunitného</w:t>
      </w:r>
      <w:proofErr w:type="spellEnd"/>
      <w:r>
        <w:rPr>
          <w:rFonts w:ascii="Arial" w:hAnsi="Arial" w:cs="Arial"/>
        </w:rPr>
        <w:t xml:space="preserve"> života a kvality života v mestách.</w:t>
      </w:r>
    </w:p>
    <w:p>
      <w:pPr>
        <w:jc w:val="both"/>
        <w:rPr>
          <w:rFonts w:ascii="Arial" w:hAnsi="Arial" w:cs="Arial"/>
          <w:b/>
        </w:rPr>
      </w:pPr>
      <w:r>
        <w:rPr>
          <w:rFonts w:ascii="Arial" w:hAnsi="Arial" w:cs="Arial"/>
          <w:b/>
        </w:rPr>
        <w:t xml:space="preserve">Výsledok podpory IROP: </w:t>
      </w:r>
    </w:p>
    <w:p>
      <w:pPr>
        <w:pStyle w:val="Odsekzoznamu"/>
        <w:numPr>
          <w:ilvl w:val="0"/>
          <w:numId w:val="62"/>
        </w:numPr>
        <w:jc w:val="both"/>
        <w:rPr>
          <w:rFonts w:ascii="Arial" w:hAnsi="Arial" w:cs="Arial"/>
        </w:rPr>
      </w:pPr>
      <w:r>
        <w:rPr>
          <w:rFonts w:ascii="Arial" w:hAnsi="Arial" w:cs="Arial"/>
        </w:rPr>
        <w:t xml:space="preserve">zlepšenie podnikateľského prostredia prostredníctvom opatrení revitalizácie </w:t>
      </w:r>
      <w:proofErr w:type="spellStart"/>
      <w:r>
        <w:rPr>
          <w:rFonts w:ascii="Arial" w:hAnsi="Arial" w:cs="Arial"/>
        </w:rPr>
        <w:t>brownfields</w:t>
      </w:r>
      <w:proofErr w:type="spellEnd"/>
      <w:r>
        <w:rPr>
          <w:rFonts w:ascii="Arial" w:hAnsi="Arial" w:cs="Arial"/>
        </w:rPr>
        <w:t>,</w:t>
      </w:r>
    </w:p>
    <w:p>
      <w:pPr>
        <w:pStyle w:val="Odsekzoznamu"/>
        <w:numPr>
          <w:ilvl w:val="0"/>
          <w:numId w:val="62"/>
        </w:numPr>
        <w:jc w:val="both"/>
        <w:rPr>
          <w:rFonts w:ascii="Arial" w:hAnsi="Arial" w:cs="Arial"/>
        </w:rPr>
      </w:pPr>
      <w:r>
        <w:rPr>
          <w:rFonts w:ascii="Arial" w:hAnsi="Arial" w:cs="Arial"/>
        </w:rPr>
        <w:t>zatraktívnenie a zlepšenie estetického vnímania doposiaľ nevyužívaných objektov a areálov,</w:t>
      </w:r>
    </w:p>
    <w:p>
      <w:pPr>
        <w:pStyle w:val="Odsekzoznamu"/>
        <w:numPr>
          <w:ilvl w:val="0"/>
          <w:numId w:val="62"/>
        </w:numPr>
        <w:jc w:val="both"/>
        <w:rPr>
          <w:rFonts w:ascii="Arial" w:hAnsi="Arial" w:cs="Arial"/>
        </w:rPr>
      </w:pPr>
      <w:r>
        <w:rPr>
          <w:rFonts w:ascii="Arial" w:hAnsi="Arial" w:cs="Arial"/>
        </w:rPr>
        <w:t xml:space="preserve">opatrenia smerujúce k regenerácii </w:t>
      </w:r>
      <w:proofErr w:type="spellStart"/>
      <w:r>
        <w:rPr>
          <w:rFonts w:ascii="Arial" w:hAnsi="Arial" w:cs="Arial"/>
        </w:rPr>
        <w:t>vnútroblokov</w:t>
      </w:r>
      <w:proofErr w:type="spellEnd"/>
      <w:r>
        <w:rPr>
          <w:rFonts w:ascii="Arial" w:hAnsi="Arial" w:cs="Arial"/>
        </w:rPr>
        <w:t xml:space="preserve"> sídlisk zvýšia kvalitu života v mestách, prispejú k zvýšeniu bezpečnosti a zároveň k zlepšeniu podnikateľského prostredia (formou podpory lokálnych malých podnikov poskytujúcich najmä služby) cez zatraktívnenie prostredia a zvýšenia jeho návštevnosti zo strany obyvateľov mesta.</w:t>
      </w:r>
    </w:p>
    <w:p>
      <w:pPr>
        <w:rPr>
          <w:rStyle w:val="Zvraznenie"/>
          <w:rFonts w:ascii="Arial" w:hAnsi="Arial" w:cs="Arial"/>
        </w:rPr>
      </w:pPr>
      <w:r>
        <w:rPr>
          <w:rStyle w:val="Siln"/>
          <w:rFonts w:ascii="Arial" w:hAnsi="Arial" w:cs="Arial"/>
        </w:rPr>
        <w:t>Tabuľka č. 30</w:t>
      </w:r>
      <w:r>
        <w:rPr>
          <w:rStyle w:val="Zvraznenie"/>
          <w:rFonts w:ascii="Arial" w:hAnsi="Arial" w:cs="Arial"/>
        </w:rPr>
        <w:t xml:space="preserve"> Výsledkové ukazovatele pre špecifický cieľ č. 4.3.2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52"/>
        <w:gridCol w:w="1275"/>
        <w:gridCol w:w="963"/>
        <w:gridCol w:w="983"/>
        <w:gridCol w:w="1293"/>
        <w:gridCol w:w="1293"/>
        <w:gridCol w:w="986"/>
        <w:gridCol w:w="790"/>
        <w:gridCol w:w="1053"/>
      </w:tblGrid>
      <w:tr>
        <w:tc>
          <w:tcPr>
            <w:tcW w:w="65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6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9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65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poskytovaných služieb pre verejnosť</w:t>
            </w:r>
          </w:p>
        </w:tc>
        <w:tc>
          <w:tcPr>
            <w:tcW w:w="96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Služba</w:t>
            </w:r>
          </w:p>
        </w:tc>
        <w:tc>
          <w:tcPr>
            <w:tcW w:w="9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8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
    <w:p>
      <w:pPr>
        <w:pStyle w:val="Nadpis5"/>
        <w:shd w:val="clear" w:color="auto" w:fill="B8C1E9"/>
        <w:rPr>
          <w:rFonts w:ascii="Arial" w:hAnsi="Arial" w:cs="Arial"/>
        </w:rPr>
      </w:pPr>
      <w:bookmarkStart w:id="107" w:name="_Toc387651851"/>
      <w:r>
        <w:rPr>
          <w:rFonts w:ascii="Arial" w:hAnsi="Arial" w:cs="Arial"/>
        </w:rPr>
        <w:lastRenderedPageBreak/>
        <w:t>Akcia, ktorá sa má podporiť v rámci investičnej priority</w:t>
      </w:r>
      <w:bookmarkEnd w:id="107"/>
      <w:r>
        <w:rPr>
          <w:rFonts w:ascii="Arial" w:hAnsi="Arial" w:cs="Arial"/>
        </w:rPr>
        <w:t xml:space="preserve"> </w:t>
      </w:r>
    </w:p>
    <w:p>
      <w:pPr>
        <w:pStyle w:val="Nadpis6"/>
        <w:rPr>
          <w:rFonts w:ascii="Arial" w:hAnsi="Arial" w:cs="Arial"/>
        </w:rPr>
      </w:pPr>
      <w:bookmarkStart w:id="108" w:name="_Toc387651852"/>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8"/>
      <w:r>
        <w:rPr>
          <w:rFonts w:ascii="Arial" w:hAnsi="Arial" w:cs="Arial"/>
        </w:rPr>
        <w:t xml:space="preserve"> </w:t>
      </w:r>
    </w:p>
    <w:p>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sa dosiahne realizáciou nasledovných aktivít:</w:t>
      </w:r>
    </w:p>
    <w:p>
      <w:pPr>
        <w:pStyle w:val="Odsekzoznamu"/>
        <w:numPr>
          <w:ilvl w:val="0"/>
          <w:numId w:val="37"/>
        </w:numPr>
        <w:ind w:left="714" w:hanging="357"/>
        <w:jc w:val="both"/>
        <w:rPr>
          <w:rFonts w:ascii="Arial" w:hAnsi="Arial" w:cs="Arial"/>
        </w:rPr>
      </w:pPr>
      <w:r>
        <w:rPr>
          <w:rFonts w:ascii="Arial" w:hAnsi="Arial" w:cs="Arial"/>
        </w:rPr>
        <w:t xml:space="preserve">spracovanie plánov na znižovanie znečistenia ovzdušia a hluku; </w:t>
      </w:r>
    </w:p>
    <w:p>
      <w:pPr>
        <w:pStyle w:val="Odsekzoznamu"/>
        <w:numPr>
          <w:ilvl w:val="0"/>
          <w:numId w:val="37"/>
        </w:numPr>
        <w:ind w:left="714" w:hanging="357"/>
        <w:jc w:val="both"/>
        <w:rPr>
          <w:rFonts w:ascii="Arial" w:hAnsi="Arial" w:cs="Arial"/>
        </w:rPr>
      </w:pPr>
      <w:r>
        <w:rPr>
          <w:rFonts w:ascii="Arial" w:hAnsi="Arial" w:cs="Arial"/>
        </w:rPr>
        <w:t xml:space="preserve">prirodzené krajinné prvky ako napr. malé vodné toky, ostrovčeky lesa, živé ploty, ktoré môžu slúžiť ako </w:t>
      </w:r>
      <w:proofErr w:type="spellStart"/>
      <w:r>
        <w:rPr>
          <w:rFonts w:ascii="Arial" w:hAnsi="Arial" w:cs="Arial"/>
        </w:rPr>
        <w:t>ekokoridory</w:t>
      </w:r>
      <w:proofErr w:type="spellEnd"/>
      <w:r>
        <w:rPr>
          <w:rFonts w:ascii="Arial" w:hAnsi="Arial" w:cs="Arial"/>
        </w:rPr>
        <w:t>, alebo nášľapné kamene pre voľne žijúce organizmy;</w:t>
      </w:r>
    </w:p>
    <w:p>
      <w:pPr>
        <w:pStyle w:val="Odsekzoznamu"/>
        <w:numPr>
          <w:ilvl w:val="0"/>
          <w:numId w:val="37"/>
        </w:numPr>
        <w:ind w:left="714" w:hanging="357"/>
        <w:jc w:val="both"/>
        <w:rPr>
          <w:rFonts w:ascii="Arial" w:hAnsi="Arial" w:cs="Arial"/>
        </w:rPr>
      </w:pPr>
      <w:r>
        <w:rPr>
          <w:rFonts w:ascii="Arial" w:hAnsi="Arial" w:cs="Arial"/>
        </w:rPr>
        <w:t xml:space="preserve">mestské prvky napr. prvky drobnej infraštruktúry </w:t>
      </w:r>
      <w:proofErr w:type="spellStart"/>
      <w:r>
        <w:rPr>
          <w:rFonts w:ascii="Arial" w:hAnsi="Arial" w:cs="Arial"/>
        </w:rPr>
        <w:t>urbánneho</w:t>
      </w:r>
      <w:proofErr w:type="spellEnd"/>
      <w:r>
        <w:rPr>
          <w:rFonts w:ascii="Arial" w:hAnsi="Arial" w:cs="Arial"/>
        </w:rPr>
        <w:t xml:space="preserve"> dizajnu, zelené parky, zelené steny a zelené strechy, ktoré biodiverzite poskytujú prostredie a ekosystémom umožňujú fungovanie a poskytovanie služieb prepojením mestských, prímestských a vidieckych oblastí;</w:t>
      </w:r>
    </w:p>
    <w:p>
      <w:pPr>
        <w:pStyle w:val="Odsekzoznamu"/>
        <w:numPr>
          <w:ilvl w:val="0"/>
          <w:numId w:val="37"/>
        </w:numPr>
        <w:ind w:left="714" w:hanging="357"/>
        <w:jc w:val="both"/>
        <w:rPr>
          <w:rFonts w:ascii="Arial" w:hAnsi="Arial" w:cs="Arial"/>
        </w:rPr>
      </w:pPr>
      <w:r>
        <w:rPr>
          <w:rFonts w:ascii="Arial" w:hAnsi="Arial" w:cs="Arial"/>
        </w:rPr>
        <w:t xml:space="preserve">aktivity v oblasti dopravnej infraštruktúry: zelené koridory pozdĺž cyklotrás, tzv. </w:t>
      </w:r>
      <w:proofErr w:type="spellStart"/>
      <w:r>
        <w:rPr>
          <w:rFonts w:ascii="Arial" w:hAnsi="Arial" w:cs="Arial"/>
        </w:rPr>
        <w:t>greenways</w:t>
      </w:r>
      <w:proofErr w:type="spellEnd"/>
      <w:r>
        <w:rPr>
          <w:rFonts w:ascii="Arial" w:hAnsi="Arial" w:cs="Arial"/>
        </w:rPr>
        <w:t xml:space="preserve"> (aleje, živé ploty, remízky) v súvislosti s podporou biodiverzity, ktoré nielen spájajú mesto s jeho zázemím, ale aj umožňujú pohodlnú a príjemnú prepravu v rámci sídla, zelené steny na protihlukových stenách, vegetačné stredové pásy;</w:t>
      </w:r>
    </w:p>
    <w:p>
      <w:pPr>
        <w:pStyle w:val="Odsekzoznamu"/>
        <w:numPr>
          <w:ilvl w:val="0"/>
          <w:numId w:val="37"/>
        </w:numPr>
        <w:ind w:left="714" w:hanging="357"/>
        <w:jc w:val="both"/>
        <w:rPr>
          <w:rFonts w:ascii="Arial" w:hAnsi="Arial" w:cs="Arial"/>
        </w:rPr>
      </w:pPr>
      <w:r>
        <w:rPr>
          <w:rFonts w:ascii="Arial" w:hAnsi="Arial" w:cs="Arial"/>
        </w:rPr>
        <w:t>zazelenanie miest (výsadba a regenerácia izolačnej zelene oddeľujúcej obytnú zástavbu od priemyselných stavieb, komerčných areálov alebo frekventovaných dopravných koridorov);</w:t>
      </w:r>
    </w:p>
    <w:p>
      <w:pPr>
        <w:pStyle w:val="Odsekzoznamu"/>
        <w:numPr>
          <w:ilvl w:val="0"/>
          <w:numId w:val="37"/>
        </w:numPr>
        <w:ind w:left="714" w:hanging="357"/>
        <w:jc w:val="both"/>
        <w:rPr>
          <w:rFonts w:ascii="Arial" w:hAnsi="Arial" w:cs="Arial"/>
        </w:rPr>
      </w:pPr>
      <w:r>
        <w:rPr>
          <w:rFonts w:ascii="Arial" w:hAnsi="Arial" w:cs="Arial"/>
        </w:rPr>
        <w:t>opatrenia pre zníženie znečistenia ovzdušia a hluku v urbanizovanom prostredí;</w:t>
      </w:r>
    </w:p>
    <w:p>
      <w:pPr>
        <w:pStyle w:val="Odsekzoznamu"/>
        <w:numPr>
          <w:ilvl w:val="0"/>
          <w:numId w:val="37"/>
        </w:numPr>
        <w:jc w:val="both"/>
        <w:rPr>
          <w:rFonts w:ascii="Arial" w:hAnsi="Arial" w:cs="Arial"/>
        </w:rPr>
      </w:pPr>
      <w:r>
        <w:rPr>
          <w:rFonts w:ascii="Arial" w:hAnsi="Arial" w:cs="Arial"/>
        </w:rPr>
        <w:t xml:space="preserve">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w:t>
      </w:r>
      <w:proofErr w:type="spellStart"/>
      <w:r>
        <w:rPr>
          <w:rFonts w:ascii="Arial" w:hAnsi="Arial" w:cs="Arial"/>
        </w:rPr>
        <w:t>vsaku</w:t>
      </w:r>
      <w:proofErr w:type="spellEnd"/>
      <w:r>
        <w:rPr>
          <w:rFonts w:ascii="Arial" w:hAnsi="Arial" w:cs="Arial"/>
        </w:rPr>
        <w:t xml:space="preserve"> a zberných jazierok, dažďových záhrad, zriaďovanie vegetačných striech;</w:t>
      </w:r>
    </w:p>
    <w:p>
      <w:pPr>
        <w:pStyle w:val="Odsekzoznamu"/>
        <w:numPr>
          <w:ilvl w:val="0"/>
          <w:numId w:val="37"/>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pPr>
        <w:pStyle w:val="Odsekzoznamu"/>
        <w:numPr>
          <w:ilvl w:val="0"/>
          <w:numId w:val="37"/>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pPr>
        <w:pStyle w:val="Odsekzoznamu"/>
        <w:numPr>
          <w:ilvl w:val="0"/>
          <w:numId w:val="37"/>
        </w:numPr>
        <w:jc w:val="both"/>
        <w:rPr>
          <w:rFonts w:ascii="Arial" w:hAnsi="Arial" w:cs="Arial"/>
        </w:rPr>
      </w:pPr>
      <w:r>
        <w:rPr>
          <w:rFonts w:ascii="Arial" w:hAnsi="Arial" w:cs="Arial"/>
        </w:rPr>
        <w:t>zavádzať postupy udržateľného hospodárenia so zrážkovými vodami formou  znižovania podielu nepriepustných povrchov – na verejných priestranstvách v meste ako aj na parkoviskách v maximálne možnej miere ponechávať priepustné povrchy (</w:t>
      </w:r>
      <w:proofErr w:type="spellStart"/>
      <w:r>
        <w:rPr>
          <w:rFonts w:ascii="Arial" w:hAnsi="Arial" w:cs="Arial"/>
        </w:rPr>
        <w:t>zatrávňovacie</w:t>
      </w:r>
      <w:proofErr w:type="spellEnd"/>
      <w:r>
        <w:rPr>
          <w:rFonts w:ascii="Arial" w:hAnsi="Arial" w:cs="Arial"/>
        </w:rPr>
        <w:t xml:space="preserve"> dlaždice, dlažby v pieskovom lôžku a pod.);</w:t>
      </w:r>
    </w:p>
    <w:p>
      <w:pPr>
        <w:pStyle w:val="Odsekzoznamu"/>
        <w:numPr>
          <w:ilvl w:val="0"/>
          <w:numId w:val="37"/>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pPr>
        <w:pStyle w:val="Odsekzoznamu"/>
        <w:numPr>
          <w:ilvl w:val="0"/>
          <w:numId w:val="37"/>
        </w:numPr>
        <w:jc w:val="both"/>
        <w:rPr>
          <w:rFonts w:ascii="Arial" w:hAnsi="Arial" w:cs="Arial"/>
        </w:rPr>
      </w:pPr>
      <w:r>
        <w:rPr>
          <w:rFonts w:ascii="Arial" w:hAnsi="Arial" w:cs="Arial"/>
        </w:rPr>
        <w:t xml:space="preserve">prispôsobiť výber kostrových drevín pre výsadbu v sídlach na predpokladané zvýšenie teploty a posun výškového vegetačného stupňa, zvýšiť diverzifikáciu druhovej a vekovej štruktúry drevín, vo väčšej miere vysádzať aj </w:t>
      </w:r>
      <w:proofErr w:type="spellStart"/>
      <w:r>
        <w:rPr>
          <w:rFonts w:ascii="Arial" w:hAnsi="Arial" w:cs="Arial"/>
        </w:rPr>
        <w:t>krátkoveké</w:t>
      </w:r>
      <w:proofErr w:type="spellEnd"/>
      <w:r>
        <w:rPr>
          <w:rFonts w:ascii="Arial" w:hAnsi="Arial" w:cs="Arial"/>
        </w:rPr>
        <w:t xml:space="preserve">  druhy stromov, a to v poraste aj ako cieľových drevín,</w:t>
      </w:r>
    </w:p>
    <w:p>
      <w:pPr>
        <w:pStyle w:val="Odsekzoznamu"/>
        <w:numPr>
          <w:ilvl w:val="0"/>
          <w:numId w:val="37"/>
        </w:numPr>
        <w:jc w:val="both"/>
        <w:rPr>
          <w:rFonts w:ascii="Arial" w:hAnsi="Arial" w:cs="Arial"/>
        </w:rPr>
      </w:pPr>
      <w:r>
        <w:rPr>
          <w:rFonts w:ascii="Arial" w:hAnsi="Arial" w:cs="Arial"/>
        </w:rPr>
        <w:lastRenderedPageBreak/>
        <w:t xml:space="preserve">v bezprostrednej blízkosti obytných zón v intravilánoch miest a obcí prispôsobiť manažment údržby a druhové zloženie verejnej zelene zdravotno-hygienickým štandardom kvality ovzdušia  s ohľadom na obsah </w:t>
      </w:r>
      <w:proofErr w:type="spellStart"/>
      <w:r>
        <w:rPr>
          <w:rFonts w:ascii="Arial" w:hAnsi="Arial" w:cs="Arial"/>
        </w:rPr>
        <w:t>alergénov</w:t>
      </w:r>
      <w:proofErr w:type="spellEnd"/>
      <w:r>
        <w:rPr>
          <w:rFonts w:ascii="Arial" w:hAnsi="Arial" w:cs="Arial"/>
        </w:rPr>
        <w:t>.</w:t>
      </w:r>
    </w:p>
    <w:p>
      <w:pPr>
        <w:jc w:val="both"/>
        <w:rPr>
          <w:rFonts w:ascii="Arial" w:hAnsi="Arial" w:cs="Arial"/>
        </w:rPr>
      </w:pPr>
      <w:r>
        <w:rPr>
          <w:rFonts w:ascii="Arial" w:hAnsi="Arial" w:cs="Arial"/>
        </w:rPr>
        <w:t xml:space="preserve">Oprávnení prijímatelia: </w:t>
      </w:r>
    </w:p>
    <w:p>
      <w:pPr>
        <w:pStyle w:val="Odsekzoznamu"/>
        <w:numPr>
          <w:ilvl w:val="0"/>
          <w:numId w:val="37"/>
        </w:numPr>
        <w:jc w:val="both"/>
        <w:rPr>
          <w:rFonts w:ascii="Arial" w:hAnsi="Arial" w:cs="Arial"/>
        </w:rPr>
      </w:pPr>
      <w:r>
        <w:rPr>
          <w:rFonts w:ascii="Arial" w:hAnsi="Arial" w:cs="Arial"/>
        </w:rPr>
        <w:t xml:space="preserve">obce, vyššie územné celky, MVO a občianske združenia, </w:t>
      </w:r>
      <w:r>
        <w:rPr>
          <w:rFonts w:ascii="Arial" w:hAnsi="Arial" w:cs="Arial"/>
          <w:lang w:eastAsia="sk-SK"/>
        </w:rPr>
        <w:t>Slovenská správa ciest, prevádzkovatelia/správcovia pozemných komunikácií (Národná diaľničná spoločnosť a.s.)</w:t>
      </w:r>
      <w:r>
        <w:rPr>
          <w:rFonts w:ascii="Arial" w:hAnsi="Arial" w:cs="Arial"/>
        </w:rPr>
        <w:t>.</w:t>
      </w:r>
    </w:p>
    <w:p>
      <w:pPr>
        <w:jc w:val="both"/>
        <w:rPr>
          <w:rFonts w:ascii="Arial" w:hAnsi="Arial" w:cs="Arial"/>
        </w:rPr>
      </w:pPr>
      <w:r>
        <w:rPr>
          <w:rFonts w:ascii="Arial" w:hAnsi="Arial" w:cs="Arial"/>
        </w:rPr>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pPr>
        <w:jc w:val="both"/>
        <w:rPr>
          <w:rFonts w:ascii="Arial" w:hAnsi="Arial" w:cs="Arial"/>
        </w:rPr>
      </w:pPr>
      <w:r>
        <w:rPr>
          <w:rFonts w:ascii="Arial" w:hAnsi="Arial" w:cs="Arial"/>
        </w:rPr>
        <w:t>Cieľové územie:</w:t>
      </w:r>
    </w:p>
    <w:p>
      <w:pPr>
        <w:pStyle w:val="Odsekzoznamu"/>
        <w:numPr>
          <w:ilvl w:val="0"/>
          <w:numId w:val="64"/>
        </w:numPr>
        <w:tabs>
          <w:tab w:val="clear" w:pos="360"/>
          <w:tab w:val="num" w:pos="720"/>
        </w:tabs>
        <w:ind w:left="720"/>
        <w:jc w:val="both"/>
        <w:rPr>
          <w:rFonts w:ascii="Arial" w:hAnsi="Arial" w:cs="Arial"/>
        </w:rPr>
      </w:pPr>
      <w:r>
        <w:rPr>
          <w:rFonts w:ascii="Arial" w:hAnsi="Arial" w:cs="Arial"/>
        </w:rPr>
        <w:t>územie vymedzené pre aktivity udržateľného mestského rozvoja v zmysle kapitoly 4 Integrovaný prístup k územnému rozvoju s výnimkou mestskej funkčnej oblasti na území Bratislavského kraja.</w:t>
      </w:r>
    </w:p>
    <w:p>
      <w:pPr>
        <w:jc w:val="both"/>
        <w:rPr>
          <w:rFonts w:ascii="Arial" w:hAnsi="Arial" w:cs="Arial"/>
        </w:rPr>
      </w:pPr>
      <w:r>
        <w:rPr>
          <w:rFonts w:ascii="Arial" w:hAnsi="Arial" w:cs="Arial"/>
        </w:rPr>
        <w:t xml:space="preserve">Na plnenie špecifického cieľa č. 4.3.1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jc w:val="both"/>
        <w:rPr>
          <w:rFonts w:ascii="Arial" w:hAnsi="Arial" w:cs="Arial"/>
        </w:rPr>
      </w:pPr>
    </w:p>
    <w:p>
      <w:pPr>
        <w:tabs>
          <w:tab w:val="left" w:pos="1425"/>
        </w:tabs>
        <w:jc w:val="both"/>
        <w:rPr>
          <w:rFonts w:ascii="Arial" w:hAnsi="Arial" w:cs="Arial"/>
        </w:rPr>
      </w:pPr>
      <w:bookmarkStart w:id="109" w:name="_Toc377990775"/>
      <w:bookmarkStart w:id="110" w:name="_Toc378169939"/>
      <w:bookmarkStart w:id="111" w:name="_Toc383369332"/>
      <w:r>
        <w:rPr>
          <w:rFonts w:ascii="Arial" w:hAnsi="Arial" w:cs="Arial"/>
          <w:b/>
        </w:rPr>
        <w:t>Špecifický cieľ č. 4.3.2</w:t>
      </w:r>
      <w:r>
        <w:rPr>
          <w:rFonts w:ascii="Arial" w:hAnsi="Arial" w:cs="Arial"/>
        </w:rPr>
        <w:t xml:space="preserve"> sa dosiahne realizáciou nasledovných aktivít:</w:t>
      </w:r>
      <w:bookmarkEnd w:id="109"/>
      <w:bookmarkEnd w:id="110"/>
      <w:bookmarkEnd w:id="111"/>
    </w:p>
    <w:p>
      <w:pPr>
        <w:pStyle w:val="Odsekzoznamu"/>
        <w:numPr>
          <w:ilvl w:val="0"/>
          <w:numId w:val="11"/>
        </w:numPr>
        <w:tabs>
          <w:tab w:val="left" w:pos="1425"/>
        </w:tabs>
        <w:jc w:val="both"/>
        <w:rPr>
          <w:rFonts w:ascii="Arial" w:hAnsi="Arial" w:cs="Arial"/>
        </w:rPr>
      </w:pPr>
      <w:r>
        <w:rPr>
          <w:rFonts w:ascii="Arial" w:hAnsi="Arial" w:cs="Arial"/>
        </w:rPr>
        <w:t>rekonštrukcia objektov na ich nové využitie, ktoré má charakter verejných služieb, alebo služieb pre občanov (občianskej infraštruktúry, vytváranie podmienok pre podporu obecného podnikania, multifunkčných verejných zariadení, administratívnych objektov, v ktorých sa vykonávajú činnosti spojené s výkonom verejnej správy a verejných služieb);</w:t>
      </w:r>
    </w:p>
    <w:p>
      <w:pPr>
        <w:pStyle w:val="Odsekzoznamu"/>
        <w:numPr>
          <w:ilvl w:val="0"/>
          <w:numId w:val="11"/>
        </w:numPr>
        <w:tabs>
          <w:tab w:val="left" w:pos="1425"/>
        </w:tabs>
        <w:jc w:val="both"/>
        <w:rPr>
          <w:rFonts w:ascii="Arial" w:hAnsi="Arial" w:cs="Arial"/>
        </w:rPr>
      </w:pPr>
      <w:r>
        <w:rPr>
          <w:rFonts w:ascii="Arial" w:hAnsi="Arial" w:cs="Arial"/>
        </w:rPr>
        <w:t xml:space="preserve">regenerácia </w:t>
      </w:r>
      <w:proofErr w:type="spellStart"/>
      <w:r>
        <w:rPr>
          <w:rFonts w:ascii="Arial" w:hAnsi="Arial" w:cs="Arial"/>
        </w:rPr>
        <w:t>vnútroblokov</w:t>
      </w:r>
      <w:proofErr w:type="spellEnd"/>
      <w:r>
        <w:rPr>
          <w:rFonts w:ascii="Arial" w:hAnsi="Arial" w:cs="Arial"/>
        </w:rPr>
        <w:t xml:space="preserve"> sídlisk – úprava zelene a výsadba novej zelene, úprava chodníkov, budovanie cyklotrás a </w:t>
      </w:r>
      <w:proofErr w:type="spellStart"/>
      <w:r>
        <w:rPr>
          <w:rFonts w:ascii="Arial" w:hAnsi="Arial" w:cs="Arial"/>
        </w:rPr>
        <w:t>cyklostojanov</w:t>
      </w:r>
      <w:proofErr w:type="spellEnd"/>
      <w:r>
        <w:rPr>
          <w:rFonts w:ascii="Arial" w:hAnsi="Arial" w:cs="Arial"/>
        </w:rPr>
        <w:t>, verejne prístupné detské ihriská a športoviská, osvetlenie a pod.;</w:t>
      </w:r>
    </w:p>
    <w:p>
      <w:pPr>
        <w:pStyle w:val="Odsekzoznamu"/>
        <w:numPr>
          <w:ilvl w:val="0"/>
          <w:numId w:val="11"/>
        </w:numPr>
        <w:tabs>
          <w:tab w:val="left" w:pos="1425"/>
        </w:tabs>
        <w:jc w:val="both"/>
        <w:rPr>
          <w:rFonts w:ascii="Arial" w:hAnsi="Arial" w:cs="Arial"/>
        </w:rPr>
      </w:pPr>
      <w:r>
        <w:rPr>
          <w:rFonts w:ascii="Arial" w:hAnsi="Arial" w:cs="Arial"/>
        </w:rPr>
        <w:t xml:space="preserve">revitalizácia zanedbaných areálov a priestranstiev a vytváranie kompaktnej sídelnej štruktúry s prvkami verejnej zelene, izolačnej zelene a prvkami drobnej infraštruktúry </w:t>
      </w:r>
      <w:proofErr w:type="spellStart"/>
      <w:r>
        <w:rPr>
          <w:rFonts w:ascii="Arial" w:hAnsi="Arial" w:cs="Arial"/>
        </w:rPr>
        <w:t>urbánneho</w:t>
      </w:r>
      <w:proofErr w:type="spellEnd"/>
      <w:r>
        <w:rPr>
          <w:rFonts w:ascii="Arial" w:hAnsi="Arial" w:cs="Arial"/>
        </w:rPr>
        <w:t xml:space="preserve"> dizajnu;</w:t>
      </w:r>
    </w:p>
    <w:p>
      <w:pPr>
        <w:pStyle w:val="Odsekzoznamu"/>
        <w:numPr>
          <w:ilvl w:val="0"/>
          <w:numId w:val="11"/>
        </w:numPr>
        <w:tabs>
          <w:tab w:val="left" w:pos="1425"/>
        </w:tabs>
        <w:jc w:val="both"/>
        <w:rPr>
          <w:rFonts w:ascii="Arial" w:hAnsi="Arial" w:cs="Arial"/>
        </w:rPr>
      </w:pPr>
      <w:r>
        <w:rPr>
          <w:rFonts w:ascii="Arial" w:hAnsi="Arial" w:cs="Arial"/>
        </w:rPr>
        <w:t>revitalizácia opustených poľnohospodárskych lokalít, hlavne bývalých hospodárskych dvorov a nepoľnohospodárskou činnosťou znehodnotenej alebo dlhodobo nevyužívanej pôdy.</w:t>
      </w:r>
    </w:p>
    <w:p>
      <w:pPr>
        <w:jc w:val="both"/>
        <w:rPr>
          <w:rFonts w:ascii="Arial" w:hAnsi="Arial" w:cs="Arial"/>
        </w:rPr>
      </w:pPr>
      <w:r>
        <w:rPr>
          <w:rFonts w:ascii="Arial" w:hAnsi="Arial" w:cs="Arial"/>
        </w:rPr>
        <w:t xml:space="preserve">Oprávnení prijímatelia: </w:t>
      </w:r>
    </w:p>
    <w:p>
      <w:pPr>
        <w:pStyle w:val="Odsekzoznamu"/>
        <w:numPr>
          <w:ilvl w:val="0"/>
          <w:numId w:val="37"/>
        </w:numPr>
        <w:jc w:val="both"/>
        <w:rPr>
          <w:rFonts w:ascii="Arial" w:hAnsi="Arial" w:cs="Arial"/>
        </w:rPr>
      </w:pPr>
      <w:r>
        <w:rPr>
          <w:rFonts w:ascii="Arial" w:hAnsi="Arial" w:cs="Arial"/>
        </w:rPr>
        <w:t>obce, vyššie územné celky, MVO, občianske združenia, fyzické a právnické osoby vlastniace pozemky a objekty určené na revitalizáciu.</w:t>
      </w:r>
    </w:p>
    <w:p>
      <w:pPr>
        <w:jc w:val="both"/>
        <w:rPr>
          <w:rFonts w:ascii="Arial" w:hAnsi="Arial" w:cs="Arial"/>
        </w:rPr>
      </w:pPr>
      <w:r>
        <w:rPr>
          <w:rFonts w:ascii="Arial" w:hAnsi="Arial" w:cs="Arial"/>
        </w:rPr>
        <w:t>Cieľové skupiny:</w:t>
      </w:r>
    </w:p>
    <w:p>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pPr>
        <w:jc w:val="both"/>
        <w:rPr>
          <w:rFonts w:ascii="Arial" w:hAnsi="Arial" w:cs="Arial"/>
        </w:rPr>
      </w:pPr>
      <w:r>
        <w:rPr>
          <w:rFonts w:ascii="Arial" w:hAnsi="Arial" w:cs="Arial"/>
        </w:rPr>
        <w:lastRenderedPageBreak/>
        <w:t>Cieľové územie:</w:t>
      </w:r>
    </w:p>
    <w:p>
      <w:pPr>
        <w:pStyle w:val="Odsekzoznamu"/>
        <w:numPr>
          <w:ilvl w:val="0"/>
          <w:numId w:val="64"/>
        </w:numPr>
        <w:tabs>
          <w:tab w:val="clear" w:pos="360"/>
          <w:tab w:val="num" w:pos="720"/>
        </w:tabs>
        <w:ind w:left="720"/>
        <w:jc w:val="both"/>
        <w:rPr>
          <w:rFonts w:ascii="Arial" w:hAnsi="Arial" w:cs="Arial"/>
        </w:rPr>
      </w:pPr>
      <w:r>
        <w:rPr>
          <w:rFonts w:ascii="Arial" w:hAnsi="Arial" w:cs="Arial"/>
        </w:rPr>
        <w:t>celé územie SR okrem Bratislavského kraja.</w:t>
      </w:r>
    </w:p>
    <w:p>
      <w:pPr>
        <w:jc w:val="both"/>
        <w:rPr>
          <w:rFonts w:ascii="Arial" w:hAnsi="Arial" w:cs="Arial"/>
        </w:rPr>
      </w:pPr>
      <w:r>
        <w:rPr>
          <w:rFonts w:ascii="Arial" w:hAnsi="Arial" w:cs="Arial"/>
        </w:rPr>
        <w:t xml:space="preserve">Na plnenie špecifického cieľa č. 4.3.2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tabs>
          <w:tab w:val="num" w:pos="720"/>
        </w:tabs>
        <w:jc w:val="both"/>
        <w:rPr>
          <w:rFonts w:ascii="Arial" w:hAnsi="Arial" w:cs="Arial"/>
        </w:rPr>
      </w:pPr>
    </w:p>
    <w:p>
      <w:pPr>
        <w:pStyle w:val="Nadpis6"/>
        <w:rPr>
          <w:rFonts w:ascii="Arial" w:hAnsi="Arial" w:cs="Arial"/>
        </w:rPr>
      </w:pPr>
      <w:bookmarkStart w:id="112" w:name="_Toc387651853"/>
      <w:r>
        <w:rPr>
          <w:rFonts w:ascii="Arial" w:hAnsi="Arial" w:cs="Arial"/>
        </w:rPr>
        <w:t>2.4.3.2. Hlavné zásady výberu operácií</w:t>
      </w:r>
      <w:bookmarkEnd w:id="112"/>
    </w:p>
    <w:p>
      <w:pPr>
        <w:spacing w:before="120"/>
        <w:jc w:val="both"/>
        <w:rPr>
          <w:rFonts w:ascii="Arial" w:hAnsi="Arial" w:cs="Arial"/>
        </w:rPr>
      </w:pPr>
      <w:r>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pPr>
        <w:pStyle w:val="Odsekzoznamu"/>
        <w:numPr>
          <w:ilvl w:val="0"/>
          <w:numId w:val="36"/>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p>
    <w:p>
      <w:pPr>
        <w:pStyle w:val="Odsekzoznamu"/>
        <w:numPr>
          <w:ilvl w:val="0"/>
          <w:numId w:val="36"/>
        </w:numPr>
        <w:jc w:val="both"/>
        <w:rPr>
          <w:rFonts w:ascii="Arial" w:hAnsi="Arial" w:cs="Arial"/>
        </w:rPr>
      </w:pPr>
      <w:r>
        <w:rPr>
          <w:rFonts w:ascii="Arial" w:hAnsi="Arial" w:cs="Arial"/>
        </w:rPr>
        <w:t>Projekt uplatňuje zásadu „znečisťovateľ platí“.</w:t>
      </w:r>
    </w:p>
    <w:p>
      <w:pPr>
        <w:jc w:val="both"/>
        <w:rPr>
          <w:rFonts w:ascii="Arial" w:hAnsi="Arial" w:cs="Arial"/>
        </w:rPr>
      </w:pPr>
      <w:r>
        <w:rPr>
          <w:rFonts w:ascii="Arial" w:hAnsi="Arial" w:cs="Arial"/>
        </w:rPr>
        <w:t>Pre efektívne dosiahnutie čo najväčšieho príspevku operácií/projektov k naplneniu špecifického cieľa 4.3.2 a dosiahnutie stanovených výsledkov navrhované operácie/projekty rešpektujú nasledovné princípy:</w:t>
      </w:r>
    </w:p>
    <w:p>
      <w:pPr>
        <w:pStyle w:val="Odsekzoznamu"/>
        <w:numPr>
          <w:ilvl w:val="0"/>
          <w:numId w:val="72"/>
        </w:numPr>
        <w:jc w:val="both"/>
        <w:rPr>
          <w:rFonts w:ascii="Arial" w:hAnsi="Arial" w:cs="Arial"/>
        </w:rPr>
      </w:pPr>
      <w:r>
        <w:rPr>
          <w:rFonts w:ascii="Arial" w:hAnsi="Arial" w:cs="Arial"/>
        </w:rPr>
        <w:t xml:space="preserve">pre projekt bude platiť efektívna bonifikácia, pokiaľ pri obnove/výstavbe budov a ich častí budú </w:t>
      </w:r>
      <w:proofErr w:type="spellStart"/>
      <w:r>
        <w:rPr>
          <w:rFonts w:ascii="Arial" w:hAnsi="Arial" w:cs="Arial"/>
        </w:rPr>
        <w:t>tepelnotechnické</w:t>
      </w:r>
      <w:proofErr w:type="spellEnd"/>
      <w:r>
        <w:rPr>
          <w:rFonts w:ascii="Arial" w:hAnsi="Arial" w:cs="Arial"/>
        </w:rPr>
        <w:t xml:space="preserve"> vlastnosti stavebných konštrukcií a budov spĺňať parametre nad rámec aktuálne požadovanej úrovne energetickej hospodárnosti podľa STN 73 0540-2: 2012,</w:t>
      </w:r>
    </w:p>
    <w:p>
      <w:pPr>
        <w:pStyle w:val="Odsekzoznamu"/>
        <w:numPr>
          <w:ilvl w:val="0"/>
          <w:numId w:val="72"/>
        </w:numPr>
        <w:jc w:val="both"/>
        <w:rPr>
          <w:rFonts w:ascii="Arial" w:hAnsi="Arial" w:cs="Arial"/>
        </w:rPr>
      </w:pPr>
      <w:r>
        <w:rPr>
          <w:rFonts w:ascii="Arial" w:hAnsi="Arial" w:cs="Arial"/>
        </w:rPr>
        <w:t>pre projekt bude platiť efektívna bonifikácia, pokiaľ  pri obnove/výstavbe budov alebo ich častí sa budú realizovať opatrenia na minimalizáciu vplyvu zastaveného prostredia na lokálne klimatické podmienky (zadržanie vody, prehrievanie prostredia a pod.) napr. v podobe zelených fasád a striech,</w:t>
      </w:r>
    </w:p>
    <w:p>
      <w:pPr>
        <w:pStyle w:val="Odsekzoznamu"/>
        <w:numPr>
          <w:ilvl w:val="0"/>
          <w:numId w:val="72"/>
        </w:numPr>
        <w:jc w:val="both"/>
        <w:rPr>
          <w:rFonts w:ascii="Arial" w:hAnsi="Arial" w:cs="Arial"/>
        </w:rPr>
      </w:pPr>
      <w:r>
        <w:rPr>
          <w:rFonts w:ascii="Arial" w:hAnsi="Arial" w:cs="Arial"/>
        </w:rPr>
        <w:t>projekt pri obnove/výstavbe budov alebo ich častí musí plniť požiadavky na hygienické parametre vnútorného prostredia budov (výmena vzduchu, využitie denného svetla a kvalita umelého osvetlenia ako aj akustické parametre budovy),</w:t>
      </w:r>
    </w:p>
    <w:p>
      <w:pPr>
        <w:pStyle w:val="Odsekzoznamu"/>
        <w:numPr>
          <w:ilvl w:val="0"/>
          <w:numId w:val="72"/>
        </w:numPr>
        <w:jc w:val="both"/>
        <w:rPr>
          <w:rFonts w:ascii="Arial" w:hAnsi="Arial" w:cs="Arial"/>
        </w:rPr>
      </w:pPr>
      <w:r>
        <w:rPr>
          <w:rFonts w:ascii="Arial" w:hAnsi="Arial" w:cs="Arial"/>
        </w:rPr>
        <w:t>projekt uplatňuje zásadu „znečisťovateľ platí“.</w:t>
      </w:r>
    </w:p>
    <w:p>
      <w:pPr>
        <w:pStyle w:val="Nadpis6"/>
        <w:rPr>
          <w:rFonts w:ascii="Arial" w:hAnsi="Arial" w:cs="Arial"/>
        </w:rPr>
      </w:pPr>
      <w:bookmarkStart w:id="113" w:name="_Toc387651854"/>
      <w:r>
        <w:rPr>
          <w:rFonts w:ascii="Arial" w:hAnsi="Arial" w:cs="Arial"/>
        </w:rPr>
        <w:t>2.4.3.3. Plánované využitie finančných nástrojov</w:t>
      </w:r>
      <w:bookmarkEnd w:id="113"/>
    </w:p>
    <w:p>
      <w:pPr>
        <w:spacing w:before="240"/>
        <w:jc w:val="both"/>
        <w:rPr>
          <w:rFonts w:ascii="Arial" w:hAnsi="Arial" w:cs="Arial"/>
        </w:rPr>
      </w:pPr>
      <w:bookmarkStart w:id="114" w:name="_Toc378169942"/>
      <w:r>
        <w:rPr>
          <w:rFonts w:ascii="Arial" w:hAnsi="Arial" w:cs="Arial"/>
        </w:rPr>
        <w:t>Finančné nástroje môžu byť použité na podporu implementácie tých aktivít, pri ktorých bude preukázané efektívnejšie využitie finančných prostriedkov z Európskych štrukturálnych a investičných fondov takouto formou podpory.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Finančné nástroje budú zamerané na podporu tých aktivít, ktoré nenachádzajú financovanie na trhu, prípadne nenachádzajú adekvátne financovanie, pri ktorom by ich realizácia bola efektívnou.</w:t>
      </w:r>
      <w:bookmarkEnd w:id="114"/>
    </w:p>
    <w:p>
      <w:pPr>
        <w:jc w:val="both"/>
        <w:rPr>
          <w:rFonts w:ascii="Arial" w:hAnsi="Arial" w:cs="Arial"/>
        </w:rPr>
      </w:pPr>
      <w:r>
        <w:rPr>
          <w:rFonts w:ascii="Arial" w:hAnsi="Arial" w:cs="Arial"/>
        </w:rPr>
        <w:lastRenderedPageBreak/>
        <w:t xml:space="preserve">Okrem možnosti opakovateľného použitia prostriedkov spolu s akýmikoľvek ziskami na ciele prioritnej osi patrí medzi výhody využitia finančných nástrojov možnosť navýšenia  prostriedkov pre dosiahnutie príslušných cieľov prostredníctvom pritiahnutia dodatočného kapitálu vďaka atraktívnemu nastaveniu daných nástrojov. Pritiahnutie dodatočného kapitálu je potrebné aj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prispieva k celkovo efektívnejšiemu použitiu finančných prostriedkov. </w:t>
      </w:r>
    </w:p>
    <w:p>
      <w:pPr>
        <w:jc w:val="both"/>
        <w:rPr>
          <w:rFonts w:ascii="Arial" w:hAnsi="Arial" w:cs="Arial"/>
        </w:rPr>
      </w:pPr>
      <w:bookmarkStart w:id="115" w:name="_Toc378169943"/>
      <w:bookmarkStart w:id="116" w:name="_Toc383337516"/>
      <w:bookmarkStart w:id="117" w:name="_Toc383369335"/>
      <w:r>
        <w:rPr>
          <w:rFonts w:ascii="Arial" w:hAnsi="Arial" w:cs="Arial"/>
        </w:rPr>
        <w:t xml:space="preserve">V prípade využitia finančných nástrojov bude možné príslušné aktivity podporiť rôznymi finančnými produktmi (úvery, záruky, kapitálové vklady, </w:t>
      </w:r>
      <w:proofErr w:type="spellStart"/>
      <w:r>
        <w:rPr>
          <w:rFonts w:ascii="Arial" w:hAnsi="Arial" w:cs="Arial"/>
        </w:rPr>
        <w:t>mezzanine</w:t>
      </w:r>
      <w:proofErr w:type="spellEnd"/>
      <w:r>
        <w:rPr>
          <w:rFonts w:ascii="Arial" w:hAnsi="Arial" w:cs="Arial"/>
        </w:rPr>
        <w:t xml:space="preserve"> a pod). Konkrétne aktivity, vhodný objem prostriedkov a podmienky implementácie konkrétnych finančných nástrojov vrátane možného znásobenia alokovaných prostriedkov a ich kombinácie s inými formami podpory budú vychádzať z výsledkov </w:t>
      </w:r>
      <w:proofErr w:type="spellStart"/>
      <w:r>
        <w:rPr>
          <w:rFonts w:ascii="Arial" w:hAnsi="Arial" w:cs="Arial"/>
        </w:rPr>
        <w:t>ex-ante</w:t>
      </w:r>
      <w:proofErr w:type="spellEnd"/>
      <w:r>
        <w:rPr>
          <w:rFonts w:ascii="Arial" w:hAnsi="Arial" w:cs="Arial"/>
        </w:rPr>
        <w:t xml:space="preserve"> hodnotenia pre finančné nástroje, vyžadovaného legislatívou pre programové obdobie 2014 – 2020. Konkrétne využitie finančných nástrojov bude doplnené po realizácii uvedeného hodnotenia.</w:t>
      </w:r>
      <w:bookmarkEnd w:id="115"/>
      <w:bookmarkEnd w:id="116"/>
      <w:bookmarkEnd w:id="117"/>
    </w:p>
    <w:p>
      <w:pPr>
        <w:pStyle w:val="Nadpis6"/>
        <w:rPr>
          <w:rFonts w:ascii="Arial" w:hAnsi="Arial" w:cs="Arial"/>
        </w:rPr>
      </w:pPr>
      <w:bookmarkStart w:id="118" w:name="_Toc387651855"/>
      <w:r>
        <w:rPr>
          <w:rFonts w:ascii="Arial" w:hAnsi="Arial" w:cs="Arial"/>
        </w:rPr>
        <w:t>2.4.3.4. Plánované využitie veľkých projektov</w:t>
      </w:r>
      <w:bookmarkEnd w:id="118"/>
    </w:p>
    <w:p>
      <w:pPr>
        <w:spacing w:before="240"/>
        <w:jc w:val="both"/>
        <w:rPr>
          <w:rFonts w:ascii="Arial" w:hAnsi="Arial" w:cs="Arial"/>
        </w:rPr>
      </w:pPr>
      <w:bookmarkStart w:id="119" w:name="_Toc369530759"/>
      <w:bookmarkStart w:id="120" w:name="_Toc369876871"/>
      <w:bookmarkStart w:id="121" w:name="_Toc377990780"/>
      <w:r>
        <w:rPr>
          <w:rFonts w:ascii="Arial" w:hAnsi="Arial" w:cs="Arial"/>
        </w:rPr>
        <w:t xml:space="preserve">V tejto investičnej priorite nie sú podporované projekty z kategórie veľkých projektov podľa čl. 100 – 103 </w:t>
      </w:r>
      <w:bookmarkEnd w:id="119"/>
      <w:bookmarkEnd w:id="120"/>
      <w:bookmarkEnd w:id="121"/>
      <w:r>
        <w:rPr>
          <w:rFonts w:ascii="Arial" w:hAnsi="Arial" w:cs="Arial"/>
        </w:rPr>
        <w:t>nariadenia EP a Rady (EÚ) č. 1303/2013.</w:t>
      </w:r>
    </w:p>
    <w:p>
      <w:pPr>
        <w:pStyle w:val="Nadpis6"/>
        <w:rPr>
          <w:rFonts w:ascii="Arial" w:hAnsi="Arial" w:cs="Arial"/>
        </w:rPr>
      </w:pPr>
      <w:bookmarkStart w:id="122" w:name="_Toc387651856"/>
      <w:r>
        <w:rPr>
          <w:rFonts w:ascii="Arial" w:hAnsi="Arial" w:cs="Arial"/>
        </w:rPr>
        <w:t>2.4.3.5. Ukazovatele výstupov podľa investičnej priority a ak je to vhodné, podľa kategórie regiónu</w:t>
      </w:r>
      <w:bookmarkEnd w:id="122"/>
    </w:p>
    <w:p>
      <w:pPr>
        <w:spacing w:before="24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Prvok zelenej infraštruktúry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Rozloha revitalizovaných objektov</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Plocha v 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Vytvorené alebo obnovené otvorené priestranstvá v mestských oblastiach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w:hAnsi="Arial" w:cs="Arial"/>
              </w:rPr>
            </w:pPr>
            <w:r>
              <w:rPr>
                <w:rFonts w:ascii="Arial" w:hAnsi="Arial" w:cs="Arial"/>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18"/>
          <w:szCs w:val="18"/>
        </w:rPr>
      </w:pPr>
      <w:r>
        <w:rPr>
          <w:rFonts w:ascii="Arial" w:hAnsi="Arial" w:cs="Arial"/>
          <w:sz w:val="18"/>
          <w:szCs w:val="18"/>
        </w:rPr>
        <w:t>* - hodnota bude stanovená po určení konečnej alokácie PO4</w:t>
      </w: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pStyle w:val="Nadpis5"/>
        <w:shd w:val="clear" w:color="auto" w:fill="B8C1E9"/>
        <w:rPr>
          <w:rFonts w:ascii="Arial" w:hAnsi="Arial" w:cs="Arial"/>
        </w:rPr>
      </w:pPr>
      <w:bookmarkStart w:id="123" w:name="_Toc387651857"/>
      <w:bookmarkStart w:id="124" w:name="_Toc360515285"/>
      <w:r>
        <w:rPr>
          <w:rFonts w:ascii="Arial" w:hAnsi="Arial" w:cs="Arial"/>
        </w:rPr>
        <w:lastRenderedPageBreak/>
        <w:t>Výkonnostný rámec</w:t>
      </w:r>
      <w:bookmarkEnd w:id="123"/>
    </w:p>
    <w:p>
      <w:pPr>
        <w:rPr>
          <w:rFonts w:ascii="Arial" w:hAnsi="Arial" w:cs="Arial"/>
        </w:rPr>
      </w:pPr>
    </w:p>
    <w:p>
      <w:pPr>
        <w:rPr>
          <w:rStyle w:val="Zvraznenie"/>
          <w:rFonts w:ascii="Arial" w:hAnsi="Arial" w:cs="Arial"/>
        </w:rPr>
      </w:pPr>
      <w:r>
        <w:rPr>
          <w:rStyle w:val="Siln"/>
          <w:rFonts w:ascii="Arial" w:hAnsi="Arial" w:cs="Arial"/>
        </w:rPr>
        <w:t>Tabuľka č. 32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992"/>
        <w:gridCol w:w="647"/>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MaŽ</w:t>
            </w:r>
            <w:proofErr w:type="spellEnd"/>
          </w:p>
        </w:tc>
        <w:tc>
          <w:tcPr>
            <w:tcW w:w="64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66 415 000</w:t>
            </w: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189 754 888</w:t>
            </w:r>
          </w:p>
        </w:tc>
        <w:tc>
          <w:tcPr>
            <w:tcW w:w="64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3 487 000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9 961 782</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Spotreba PEZ v budovách na bývanie</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roofErr w:type="spellStart"/>
            <w:r>
              <w:rPr>
                <w:rFonts w:ascii="Arial" w:hAnsi="Arial" w:cs="Arial"/>
                <w:sz w:val="14"/>
                <w:szCs w:val="14"/>
              </w:rPr>
              <w:t>MWh</w:t>
            </w:r>
            <w:proofErr w:type="spellEnd"/>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270 000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425 000</w:t>
            </w:r>
          </w:p>
        </w:tc>
        <w:tc>
          <w:tcPr>
            <w:tcW w:w="647" w:type="dxa"/>
            <w:tcBorders>
              <w:left w:val="single" w:sz="8" w:space="0" w:color="4E67C8"/>
              <w:right w:val="single" w:sz="8" w:space="0" w:color="4E67C8"/>
            </w:tcBorders>
            <w:shd w:val="clear" w:color="auto" w:fill="auto"/>
          </w:tcPr>
          <w:p>
            <w:pPr>
              <w:rPr>
                <w:rFonts w:ascii="Arial" w:eastAsiaTheme="minorHAnsi" w:hAnsi="Arial" w:cs="Arial"/>
                <w:sz w:val="14"/>
                <w:szCs w:val="14"/>
              </w:rPr>
            </w:pPr>
            <w:r>
              <w:rPr>
                <w:rFonts w:ascii="Arial" w:hAnsi="Arial" w:cs="Arial"/>
                <w:sz w:val="14"/>
                <w:szCs w:val="14"/>
              </w:rPr>
              <w:t>Monitorovací systém energetickej efektívnosti (SIEA),</w:t>
            </w:r>
          </w:p>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Spotreba PEZ v budovách na bývanie</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roofErr w:type="spellStart"/>
            <w:r>
              <w:rPr>
                <w:rFonts w:ascii="Arial" w:hAnsi="Arial" w:cs="Arial"/>
                <w:sz w:val="14"/>
                <w:szCs w:val="14"/>
              </w:rPr>
              <w:t>MWh</w:t>
            </w:r>
            <w:proofErr w:type="spellEnd"/>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50 000</w:t>
            </w:r>
          </w:p>
        </w:tc>
        <w:tc>
          <w:tcPr>
            <w:tcW w:w="647" w:type="dxa"/>
            <w:tcBorders>
              <w:left w:val="single" w:sz="8" w:space="0" w:color="4E67C8"/>
              <w:right w:val="single" w:sz="8" w:space="0" w:color="4E67C8"/>
            </w:tcBorders>
            <w:shd w:val="clear" w:color="auto" w:fill="auto"/>
          </w:tcPr>
          <w:p>
            <w:pPr>
              <w:rPr>
                <w:rFonts w:ascii="Arial" w:eastAsiaTheme="minorHAnsi" w:hAnsi="Arial" w:cs="Arial"/>
                <w:sz w:val="14"/>
                <w:szCs w:val="14"/>
              </w:rPr>
            </w:pPr>
            <w:r>
              <w:rPr>
                <w:rFonts w:ascii="Arial" w:hAnsi="Arial" w:cs="Arial"/>
                <w:sz w:val="14"/>
                <w:szCs w:val="14"/>
              </w:rPr>
              <w:t>Monitorovací systém energetickej efektívnosti (SIEA),</w:t>
            </w:r>
          </w:p>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obyvateľov so zlepšenou dodávkou pitnej vody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EO</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Dodatočné obyvateľstvo napojené na zlepšenú vodovodnú sieť</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Obyvateľ</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MŽP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vybudovaných prvkov zelenej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Prvok zelenej infraštruktúry</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Rozloha revitalizovaných objektov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Plocha v m</w:t>
            </w:r>
            <w:r>
              <w:rPr>
                <w:rFonts w:ascii="Arial" w:hAnsi="Arial" w:cs="Arial"/>
                <w:sz w:val="14"/>
                <w:szCs w:val="14"/>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w:t>
            </w:r>
          </w:p>
        </w:tc>
        <w:tc>
          <w:tcPr>
            <w:tcW w:w="647"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Fonts w:ascii="Arial" w:hAnsi="Arial" w:cs="Arial"/>
          <w:sz w:val="18"/>
          <w:szCs w:val="18"/>
        </w:rPr>
      </w:pPr>
      <w:r>
        <w:rPr>
          <w:rFonts w:ascii="Arial" w:hAnsi="Arial" w:cs="Arial"/>
          <w:sz w:val="18"/>
          <w:szCs w:val="18"/>
        </w:rPr>
        <w:t>*cieľové hodnoty výstupových ukazovateľov budú nadefinované v spoluprácu s orgánom pre koordináciu RIÚS</w:t>
      </w:r>
    </w:p>
    <w:p>
      <w:pPr>
        <w:rPr>
          <w:rFonts w:ascii="Arial" w:hAnsi="Arial" w:cs="Arial"/>
          <w:sz w:val="18"/>
          <w:szCs w:val="18"/>
        </w:rPr>
      </w:pPr>
    </w:p>
    <w:p>
      <w:pPr>
        <w:rPr>
          <w:rFonts w:ascii="Arial" w:hAnsi="Arial" w:cs="Arial"/>
          <w:sz w:val="18"/>
          <w:szCs w:val="18"/>
        </w:rPr>
      </w:pPr>
    </w:p>
    <w:p>
      <w:pPr>
        <w:pStyle w:val="Nadpis5"/>
        <w:shd w:val="clear" w:color="auto" w:fill="B8C1E9"/>
        <w:rPr>
          <w:rFonts w:ascii="Arial" w:hAnsi="Arial" w:cs="Arial"/>
        </w:rPr>
      </w:pPr>
      <w:bookmarkStart w:id="125" w:name="_Toc387651858"/>
      <w:r>
        <w:rPr>
          <w:rFonts w:ascii="Arial" w:hAnsi="Arial" w:cs="Arial"/>
        </w:rPr>
        <w:lastRenderedPageBreak/>
        <w:t>Kategórie intervencie</w:t>
      </w:r>
      <w:bookmarkEnd w:id="124"/>
      <w:bookmarkEnd w:id="125"/>
    </w:p>
    <w:p>
      <w:pPr>
        <w:rPr>
          <w:rFonts w:ascii="Arial" w:hAnsi="Arial" w:cs="Arial"/>
        </w:rPr>
      </w:pPr>
    </w:p>
    <w:p>
      <w:pPr>
        <w:rPr>
          <w:rStyle w:val="Zvraznenie"/>
          <w:rFonts w:ascii="Arial" w:hAnsi="Arial" w:cs="Arial"/>
        </w:rPr>
      </w:pPr>
      <w:r>
        <w:rPr>
          <w:rStyle w:val="Siln"/>
          <w:rFonts w:ascii="Arial" w:hAnsi="Arial" w:cs="Arial"/>
        </w:rPr>
        <w:t>Tabuľka č. 33</w:t>
      </w:r>
      <w:r>
        <w:rPr>
          <w:rStyle w:val="Zvraznenie"/>
          <w:rFonts w:ascii="Arial" w:hAnsi="Arial" w:cs="Arial"/>
        </w:rPr>
        <w:t xml:space="preserve"> Kategórie intervencie </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23 000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32 000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5 328 116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20 000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89</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8 000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88 328 116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30 000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26 328 116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32 000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101 426 772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28 000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60 328 116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pPr>
        <w:rPr>
          <w:rFonts w:ascii="Arial" w:hAnsi="Arial" w:cs="Arial"/>
          <w:i/>
          <w:color w:val="4EACF3"/>
        </w:rPr>
      </w:pPr>
    </w:p>
    <w:p>
      <w:pPr>
        <w:pStyle w:val="Nadpis5"/>
        <w:shd w:val="clear" w:color="auto" w:fill="B8C1E9"/>
        <w:rPr>
          <w:rFonts w:ascii="Arial" w:hAnsi="Arial" w:cs="Arial"/>
        </w:rPr>
      </w:pPr>
      <w:bookmarkStart w:id="126" w:name="_Toc387651859"/>
      <w:bookmarkStart w:id="127"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126"/>
      <w:r>
        <w:rPr>
          <w:rFonts w:ascii="Arial" w:hAnsi="Arial" w:cs="Arial"/>
        </w:rPr>
        <w:t xml:space="preserve">  </w:t>
      </w:r>
      <w:bookmarkEnd w:id="127"/>
    </w:p>
    <w:p>
      <w:pPr>
        <w:rPr>
          <w:rFonts w:ascii="Arial" w:hAnsi="Arial" w:cs="Arial"/>
        </w:rPr>
      </w:pPr>
    </w:p>
    <w:p>
      <w:pPr>
        <w:rPr>
          <w:rFonts w:ascii="Arial" w:hAnsi="Arial" w:cs="Arial"/>
        </w:rPr>
        <w:sectPr>
          <w:pgSz w:w="11906" w:h="16838"/>
          <w:pgMar w:top="1417" w:right="1417" w:bottom="1417" w:left="1417" w:header="708" w:footer="708" w:gutter="0"/>
          <w:cols w:space="708"/>
          <w:docGrid w:linePitch="360"/>
        </w:sectPr>
      </w:pPr>
      <w:r>
        <w:rPr>
          <w:rFonts w:ascii="Arial" w:hAnsi="Arial" w:cs="Arial"/>
        </w:rPr>
        <w:t>N/A</w:t>
      </w:r>
    </w:p>
    <w:p>
      <w:pPr>
        <w:pStyle w:val="Nadpis3"/>
        <w:shd w:val="clear" w:color="auto" w:fill="21306A"/>
        <w:rPr>
          <w:rFonts w:ascii="Arial" w:hAnsi="Arial" w:cs="Arial"/>
          <w:color w:val="FFFFFF"/>
          <w:sz w:val="28"/>
          <w:szCs w:val="28"/>
        </w:rPr>
      </w:pPr>
      <w:bookmarkStart w:id="128" w:name="_Toc387651860"/>
      <w:r>
        <w:rPr>
          <w:rFonts w:ascii="Arial" w:hAnsi="Arial" w:cs="Arial"/>
          <w:color w:val="FFFFFF"/>
          <w:sz w:val="28"/>
          <w:szCs w:val="28"/>
        </w:rPr>
        <w:lastRenderedPageBreak/>
        <w:t>2.5. Prioritná os č. 5: Miestny rozvoj vedený komunitou</w:t>
      </w:r>
      <w:bookmarkEnd w:id="128"/>
    </w:p>
    <w:p>
      <w:pPr>
        <w:jc w:val="both"/>
        <w:rPr>
          <w:rFonts w:ascii="Arial" w:hAnsi="Arial" w:cs="Arial"/>
        </w:rPr>
      </w:pPr>
    </w:p>
    <w:p>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pPr>
        <w:jc w:val="both"/>
        <w:rPr>
          <w:rFonts w:ascii="Arial" w:hAnsi="Arial" w:cs="Arial"/>
        </w:rPr>
      </w:pPr>
    </w:p>
    <w:p>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104 210 529</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1 666 667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pPr>
        <w:jc w:val="both"/>
        <w:rPr>
          <w:rFonts w:ascii="Arial" w:hAnsi="Arial" w:cs="Arial"/>
        </w:rPr>
      </w:pPr>
    </w:p>
    <w:p>
      <w:pPr>
        <w:spacing w:after="0" w:line="240" w:lineRule="auto"/>
        <w:rPr>
          <w:rFonts w:ascii="Arial" w:eastAsia="Times New Roman" w:hAnsi="Arial" w:cs="Arial"/>
          <w:b/>
          <w:bCs/>
          <w:i/>
          <w:iCs/>
          <w:color w:val="FFFFFF"/>
        </w:rPr>
      </w:pPr>
      <w:r>
        <w:rPr>
          <w:rFonts w:ascii="Arial" w:hAnsi="Arial" w:cs="Arial"/>
          <w:color w:val="FFFFFF"/>
        </w:rPr>
        <w:br w:type="page"/>
      </w:r>
    </w:p>
    <w:p>
      <w:pPr>
        <w:pStyle w:val="Nadpis4"/>
        <w:shd w:val="clear" w:color="auto" w:fill="21306A"/>
        <w:spacing w:after="240"/>
        <w:rPr>
          <w:rFonts w:ascii="Arial" w:hAnsi="Arial" w:cs="Arial"/>
          <w:color w:val="FFFFFF"/>
        </w:rPr>
      </w:pPr>
      <w:bookmarkStart w:id="129" w:name="_Toc387651861"/>
      <w:r>
        <w:rPr>
          <w:rFonts w:ascii="Arial" w:hAnsi="Arial" w:cs="Arial"/>
          <w:color w:val="FFFFFF"/>
        </w:rPr>
        <w:lastRenderedPageBreak/>
        <w:t>2.5.1. Investičná priorita č. 5.1: Záväzné investície v rámci stratégií miestneho rozvoja vedeného komunitou</w:t>
      </w:r>
      <w:bookmarkEnd w:id="129"/>
    </w:p>
    <w:p>
      <w:pPr>
        <w:spacing w:before="120"/>
        <w:rPr>
          <w:rFonts w:ascii="Arial" w:hAnsi="Arial" w:cs="Arial"/>
          <w:b/>
          <w:color w:val="4EACF3"/>
        </w:rPr>
      </w:pPr>
      <w:r>
        <w:rPr>
          <w:rFonts w:ascii="Arial" w:hAnsi="Arial" w:cs="Arial"/>
          <w:b/>
        </w:rPr>
        <w:t xml:space="preserve">Špecifický cieľ č. 5.1.1: </w:t>
      </w:r>
    </w:p>
    <w:p>
      <w:pPr>
        <w:shd w:val="clear" w:color="auto" w:fill="D9D9D9"/>
        <w:jc w:val="both"/>
        <w:rPr>
          <w:rStyle w:val="Zvraznenie"/>
          <w:rFonts w:ascii="Arial" w:hAnsi="Arial" w:cs="Arial"/>
        </w:rPr>
      </w:pPr>
      <w:r>
        <w:rPr>
          <w:rStyle w:val="Zvraznenie"/>
          <w:rFonts w:ascii="Arial" w:hAnsi="Arial" w:cs="Arial"/>
        </w:rPr>
        <w:t>Zvýšenie kapacít pre miestny rozvoj vedený komunitou</w:t>
      </w:r>
    </w:p>
    <w:p>
      <w:pPr>
        <w:tabs>
          <w:tab w:val="left" w:pos="1425"/>
        </w:tabs>
        <w:jc w:val="both"/>
        <w:rPr>
          <w:rFonts w:ascii="Arial" w:hAnsi="Arial" w:cs="Arial"/>
        </w:rPr>
      </w:pPr>
      <w:r>
        <w:rPr>
          <w:rFonts w:ascii="Arial" w:hAnsi="Arial" w:cs="Arial"/>
        </w:rPr>
        <w:t xml:space="preserve">Miestny rozvoj vedený komunitou (ďalej len „CLLD“) je postavený na fungovaní miestnych verejno-súkromných partnerstiev, inštitucionalizovaných v podobe miestnych akčných skupín (ďalej len „MAS“). Tieto miestne partnerstvá môžu efektívne fungovať, a prispievať tak k rozvoju svojich spoločenstiev iba v prípade, ak disponujú kvalitnými a dostatočnými ľudskými kapacity (odbornými, manažérskymi) ako aj technicko-organizačným zázemím. Špecificky vidiecke oblasti, ktoré sú predmetom podpory, trpia na neustály odliv ľudského kapitálu do miest. Z toho dôvodu je nevyhnutné motivovať, stimulovať a rozvíjať aktivizáciu miestnych spoločenstiev a jej kľúčových aktérov prostredníctvom financovania riadenia stratégií miestneho rozvoja vedeného komunitou (ďalej len „stratégie CLLD“), prevádzkových nákladov, osobných nákladov, nákladov na školenia, nákladov spojených s propagáciou a PR, finančných nákladov, ako aj nákladov spojených s monitorovaním a hodnotením stratégií CLLD. </w:t>
      </w:r>
    </w:p>
    <w:p>
      <w:pPr>
        <w:tabs>
          <w:tab w:val="left" w:pos="426"/>
        </w:tabs>
        <w:spacing w:after="60" w:line="240" w:lineRule="auto"/>
        <w:jc w:val="both"/>
        <w:rPr>
          <w:rFonts w:ascii="Arial" w:hAnsi="Arial" w:cs="Arial"/>
          <w:b/>
          <w:bCs/>
        </w:rPr>
      </w:pPr>
      <w:r>
        <w:rPr>
          <w:rFonts w:ascii="Arial" w:hAnsi="Arial" w:cs="Arial"/>
          <w:b/>
          <w:bCs/>
        </w:rPr>
        <w:t>Výsledok podpory IROP:</w:t>
      </w:r>
    </w:p>
    <w:p>
      <w:pPr>
        <w:pStyle w:val="Odsekzoznamu"/>
        <w:numPr>
          <w:ilvl w:val="0"/>
          <w:numId w:val="49"/>
        </w:numPr>
        <w:tabs>
          <w:tab w:val="left" w:pos="1425"/>
        </w:tabs>
        <w:jc w:val="both"/>
        <w:rPr>
          <w:rFonts w:ascii="Arial" w:hAnsi="Arial" w:cs="Arial"/>
        </w:rPr>
      </w:pPr>
      <w:r>
        <w:rPr>
          <w:rFonts w:ascii="Arial" w:hAnsi="Arial" w:cs="Arial"/>
        </w:rPr>
        <w:t xml:space="preserve">efektívne zabezpečenie chodu MAS, propagácie a realizácie stratégií CLLD  </w:t>
      </w:r>
    </w:p>
    <w:p>
      <w:pPr>
        <w:spacing w:after="0" w:line="240" w:lineRule="auto"/>
        <w:jc w:val="center"/>
        <w:rPr>
          <w:rFonts w:ascii="Arial" w:hAnsi="Arial" w:cs="Arial"/>
          <w:color w:val="FF0000"/>
          <w:shd w:val="clear" w:color="auto" w:fill="FFFFFF"/>
        </w:rPr>
      </w:pPr>
    </w:p>
    <w:p>
      <w:pPr>
        <w:rPr>
          <w:rStyle w:val="Zvraznenie"/>
          <w:rFonts w:ascii="Arial" w:hAnsi="Arial" w:cs="Arial"/>
        </w:rPr>
      </w:pPr>
      <w:r>
        <w:rPr>
          <w:rStyle w:val="Siln"/>
          <w:rFonts w:ascii="Arial" w:hAnsi="Arial" w:cs="Arial"/>
        </w:rPr>
        <w:t>Tabuľka č. 34</w:t>
      </w:r>
      <w:r>
        <w:rPr>
          <w:rStyle w:val="Zvraznenie"/>
          <w:rFonts w:ascii="Arial" w:hAnsi="Arial" w:cs="Arial"/>
        </w:rPr>
        <w:t xml:space="preserve"> Výsledkové ukazovatele pre špecifický cieľ č. 5.1.1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992"/>
        <w:gridCol w:w="992"/>
        <w:gridCol w:w="1418"/>
        <w:gridCol w:w="1417"/>
        <w:gridCol w:w="993"/>
        <w:gridCol w:w="708"/>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Populácia pokrytá MAS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606 961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950 000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Populácia pokrytá MAS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10 672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spacing w:before="120"/>
        <w:rPr>
          <w:rFonts w:ascii="Arial" w:hAnsi="Arial" w:cs="Arial"/>
          <w:b/>
        </w:rPr>
      </w:pPr>
    </w:p>
    <w:p>
      <w:pPr>
        <w:spacing w:before="120"/>
        <w:rPr>
          <w:rFonts w:ascii="Arial" w:hAnsi="Arial" w:cs="Arial"/>
          <w:b/>
          <w:color w:val="4EACF3"/>
        </w:rPr>
      </w:pPr>
      <w:r>
        <w:rPr>
          <w:rFonts w:ascii="Arial" w:hAnsi="Arial" w:cs="Arial"/>
          <w:b/>
        </w:rPr>
        <w:t xml:space="preserve">Špecifický cieľ č. 5.1.2: </w:t>
      </w:r>
    </w:p>
    <w:p>
      <w:pPr>
        <w:shd w:val="clear" w:color="auto" w:fill="D9D9D9"/>
        <w:jc w:val="both"/>
        <w:rPr>
          <w:rStyle w:val="Zvraznenie"/>
          <w:rFonts w:ascii="Arial" w:hAnsi="Arial" w:cs="Arial"/>
        </w:rPr>
      </w:pPr>
      <w:r>
        <w:rPr>
          <w:rStyle w:val="Zvraznenie"/>
          <w:rFonts w:ascii="Arial" w:hAnsi="Arial" w:cs="Arial"/>
        </w:rPr>
        <w:t>Zvýšenie tvorby pracovných miest rozvojom podnikania a inovácií na miestnej úrovni</w:t>
      </w:r>
    </w:p>
    <w:p>
      <w:pPr>
        <w:tabs>
          <w:tab w:val="left" w:pos="1425"/>
        </w:tabs>
        <w:jc w:val="both"/>
        <w:rPr>
          <w:rFonts w:ascii="Arial" w:hAnsi="Arial" w:cs="Arial"/>
        </w:rPr>
      </w:pPr>
      <w:r>
        <w:rPr>
          <w:rFonts w:ascii="Arial" w:hAnsi="Arial" w:cs="Arial"/>
        </w:rPr>
        <w:t xml:space="preserve">Trvalo udržateľný rozvoj vidieckych oblastí je nevyhnutne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w:t>
      </w:r>
      <w:proofErr w:type="spellStart"/>
      <w:r>
        <w:rPr>
          <w:rFonts w:ascii="Arial" w:hAnsi="Arial" w:cs="Arial"/>
        </w:rPr>
        <w:t>marginalizovaných</w:t>
      </w:r>
      <w:proofErr w:type="spellEnd"/>
      <w:r>
        <w:rPr>
          <w:rFonts w:ascii="Arial" w:hAnsi="Arial" w:cs="Arial"/>
        </w:rPr>
        <w:t xml:space="preserve"> rómskych komunít.</w:t>
      </w:r>
    </w:p>
    <w:p>
      <w:pPr>
        <w:tabs>
          <w:tab w:val="left" w:pos="1425"/>
        </w:tabs>
        <w:jc w:val="both"/>
        <w:rPr>
          <w:rFonts w:ascii="Arial" w:hAnsi="Arial" w:cs="Arial"/>
        </w:rPr>
      </w:pPr>
      <w:r>
        <w:rPr>
          <w:rFonts w:ascii="Arial" w:hAnsi="Arial" w:cs="Arial"/>
        </w:rPr>
        <w:t xml:space="preserve">Pre vidiecke regióny je ďalej charakteristický postupný a kontinuálny nárast počtu podnikateľov (samostatne zárobkovo činné osoby), a tým aj nárast podielu na celkovom </w:t>
      </w:r>
      <w:r>
        <w:rPr>
          <w:rFonts w:ascii="Arial" w:hAnsi="Arial" w:cs="Arial"/>
        </w:rPr>
        <w:lastRenderedPageBreak/>
        <w:t>počte podnikateľov v SR. Naopak, čo sa týka dynamiky rastu podnikateľských subjektov ako právnických osôb, táto je na vidieku nižšia ako v mestských regiónoch, čo je vysvetliteľné nižšou ekonomickou silou a nižšou infraštruktúrnou vybavenosťou vidieckych oblastí. Slovensko má výrazný potenciál pre rozvoj vidieckeho cestovného ruchu spojený najmä s využívaním prírodného a historického potenciálu územia. Nezameniteľnú úlohu pri rozvoji vidieka stále zohrávajú podnikateľské subjekty alokované vo vidieckom osídlení a osobitne tie, ktoré sú spojené s poľnohospodárstvom a hospodárením na pôde. Predpoklady pre udržanie zamestnanosti na vidieku spočívajú v zmiernení doterajšieho trendu znižovania počtu pracovných príležitostí v poľnohospodárskej prvovýrobe, avšak pre posilnenie ekonomickej a sociálnej životaschopnosti vidieka je nevyhnutná diverzifikácia ekonomických aktivít, rozvoj služieb a posilnenie investícií do miestnej infraštruktúry. Kľúčovou výzvou na miestnej úrovni v spojení s rozvojom podnikania je sociálna inovácia ako rozvoj a uskutočňovanie nových nápadov (produkty, služby, modely).</w:t>
      </w:r>
    </w:p>
    <w:p>
      <w:pPr>
        <w:tabs>
          <w:tab w:val="left" w:pos="1425"/>
        </w:tabs>
        <w:jc w:val="both"/>
        <w:rPr>
          <w:rFonts w:ascii="Arial" w:hAnsi="Arial" w:cs="Arial"/>
        </w:rPr>
      </w:pPr>
      <w:r>
        <w:rPr>
          <w:rFonts w:ascii="Arial" w:hAnsi="Arial" w:cs="Arial"/>
        </w:rPr>
        <w:t xml:space="preserve">Podpora z IROP, orientovaná na trh práce v miestnom kontexte, sa bude sústreďovať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alebo v prípade podpory subjektov, ktoré majú tržby z poľnohospodárskej, </w:t>
      </w:r>
      <w:proofErr w:type="spellStart"/>
      <w:r>
        <w:rPr>
          <w:rFonts w:ascii="Arial" w:hAnsi="Arial" w:cs="Arial"/>
        </w:rPr>
        <w:t>akvakultúrnej</w:t>
      </w:r>
      <w:proofErr w:type="spellEnd"/>
      <w:r>
        <w:rPr>
          <w:rFonts w:ascii="Arial" w:hAnsi="Arial" w:cs="Arial"/>
        </w:rPr>
        <w:t xml:space="preserve"> alebo lesníckej činnosti presahujúce 30% z ich celkových tržieb, a ktoré sú predmetom podpory PRV.</w:t>
      </w:r>
    </w:p>
    <w:p>
      <w:pPr>
        <w:tabs>
          <w:tab w:val="left" w:pos="426"/>
        </w:tabs>
        <w:spacing w:after="60" w:line="240" w:lineRule="auto"/>
        <w:jc w:val="both"/>
        <w:rPr>
          <w:rFonts w:ascii="Arial" w:hAnsi="Arial" w:cs="Arial"/>
          <w:b/>
          <w:bCs/>
        </w:rPr>
      </w:pPr>
      <w:r>
        <w:rPr>
          <w:rFonts w:ascii="Arial" w:hAnsi="Arial" w:cs="Arial"/>
          <w:b/>
          <w:bCs/>
        </w:rPr>
        <w:t>Výsledok podpory IROP:</w:t>
      </w:r>
    </w:p>
    <w:p>
      <w:pPr>
        <w:pStyle w:val="Odsekzoznamu"/>
        <w:numPr>
          <w:ilvl w:val="0"/>
          <w:numId w:val="43"/>
        </w:numPr>
        <w:tabs>
          <w:tab w:val="left" w:pos="1425"/>
        </w:tabs>
        <w:jc w:val="both"/>
        <w:rPr>
          <w:rFonts w:ascii="Arial" w:hAnsi="Arial" w:cs="Arial"/>
          <w:bCs/>
        </w:rPr>
      </w:pPr>
      <w:r>
        <w:rPr>
          <w:rFonts w:ascii="Arial" w:hAnsi="Arial" w:cs="Arial"/>
        </w:rPr>
        <w:t xml:space="preserve">zlepšenie využívania ekonomického potenciálu vidieckych oblastí prostredníctvom </w:t>
      </w:r>
      <w:r>
        <w:rPr>
          <w:rFonts w:ascii="Arial" w:hAnsi="Arial" w:cs="Arial"/>
          <w:bCs/>
        </w:rPr>
        <w:t>reštrukturalizácie vidieckej ekonomiky a zavádzania inovácií,</w:t>
      </w:r>
    </w:p>
    <w:p>
      <w:pPr>
        <w:pStyle w:val="Odsekzoznamu"/>
        <w:numPr>
          <w:ilvl w:val="0"/>
          <w:numId w:val="43"/>
        </w:numPr>
        <w:tabs>
          <w:tab w:val="left" w:pos="1425"/>
        </w:tabs>
        <w:jc w:val="both"/>
        <w:rPr>
          <w:rFonts w:ascii="Arial" w:hAnsi="Arial" w:cs="Arial"/>
          <w:bCs/>
        </w:rPr>
      </w:pPr>
      <w:r>
        <w:rPr>
          <w:rFonts w:ascii="Arial" w:hAnsi="Arial" w:cs="Arial"/>
        </w:rPr>
        <w:t>tvorba pracovných miest a hospodárskeho rastu,</w:t>
      </w:r>
    </w:p>
    <w:p>
      <w:pPr>
        <w:pStyle w:val="Odsekzoznamu"/>
        <w:numPr>
          <w:ilvl w:val="0"/>
          <w:numId w:val="43"/>
        </w:numPr>
        <w:tabs>
          <w:tab w:val="left" w:pos="1425"/>
        </w:tabs>
        <w:jc w:val="both"/>
        <w:rPr>
          <w:rFonts w:ascii="Arial" w:hAnsi="Arial" w:cs="Arial"/>
          <w:bCs/>
        </w:rPr>
      </w:pPr>
      <w:r>
        <w:rPr>
          <w:rFonts w:ascii="Arial" w:hAnsi="Arial" w:cs="Arial"/>
          <w:bCs/>
        </w:rPr>
        <w:t xml:space="preserve">vznik nových </w:t>
      </w:r>
      <w:proofErr w:type="spellStart"/>
      <w:r>
        <w:rPr>
          <w:rFonts w:ascii="Arial" w:hAnsi="Arial" w:cs="Arial"/>
          <w:bCs/>
        </w:rPr>
        <w:t>komunitných</w:t>
      </w:r>
      <w:proofErr w:type="spellEnd"/>
      <w:r>
        <w:rPr>
          <w:rFonts w:ascii="Arial" w:hAnsi="Arial" w:cs="Arial"/>
          <w:bCs/>
        </w:rPr>
        <w:t xml:space="preserve"> služieb  a podnikov,</w:t>
      </w:r>
    </w:p>
    <w:p>
      <w:pPr>
        <w:pStyle w:val="Odsekzoznamu"/>
        <w:numPr>
          <w:ilvl w:val="0"/>
          <w:numId w:val="43"/>
        </w:numPr>
        <w:tabs>
          <w:tab w:val="left" w:pos="1425"/>
        </w:tabs>
        <w:jc w:val="both"/>
        <w:rPr>
          <w:rFonts w:ascii="Arial" w:hAnsi="Arial" w:cs="Arial"/>
          <w:bCs/>
        </w:rPr>
      </w:pPr>
      <w:r>
        <w:rPr>
          <w:rFonts w:ascii="Arial" w:hAnsi="Arial" w:cs="Arial"/>
          <w:bCs/>
        </w:rPr>
        <w:t xml:space="preserve">zlepšenie </w:t>
      </w:r>
      <w:proofErr w:type="spellStart"/>
      <w:r>
        <w:rPr>
          <w:rFonts w:ascii="Arial" w:hAnsi="Arial" w:cs="Arial"/>
          <w:bCs/>
        </w:rPr>
        <w:t>zamestnateľnosti</w:t>
      </w:r>
      <w:proofErr w:type="spellEnd"/>
      <w:r>
        <w:rPr>
          <w:rFonts w:ascii="Arial" w:hAnsi="Arial" w:cs="Arial"/>
          <w:bCs/>
        </w:rPr>
        <w:t xml:space="preserve"> a prístupu k novým formám podnikania a novým pracovným miestam,</w:t>
      </w:r>
    </w:p>
    <w:p>
      <w:pPr>
        <w:pStyle w:val="Odsekzoznamu"/>
        <w:numPr>
          <w:ilvl w:val="0"/>
          <w:numId w:val="4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pPr>
        <w:pStyle w:val="Odsekzoznamu"/>
        <w:numPr>
          <w:ilvl w:val="0"/>
          <w:numId w:val="4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pPr>
        <w:spacing w:after="0" w:line="240" w:lineRule="auto"/>
        <w:jc w:val="both"/>
        <w:rPr>
          <w:rFonts w:ascii="Arial" w:hAnsi="Arial" w:cs="Arial"/>
        </w:rPr>
      </w:pPr>
    </w:p>
    <w:p>
      <w:pPr>
        <w:rPr>
          <w:rStyle w:val="Zvraznenie"/>
          <w:rFonts w:ascii="Arial" w:hAnsi="Arial" w:cs="Arial"/>
        </w:rPr>
      </w:pPr>
      <w:r>
        <w:rPr>
          <w:rStyle w:val="Siln"/>
          <w:rFonts w:ascii="Arial" w:hAnsi="Arial" w:cs="Arial"/>
        </w:rPr>
        <w:t>Tabuľka č. 35</w:t>
      </w:r>
      <w:r>
        <w:rPr>
          <w:rStyle w:val="Zvraznenie"/>
          <w:rFonts w:ascii="Arial" w:hAnsi="Arial" w:cs="Arial"/>
        </w:rPr>
        <w:t xml:space="preserve"> Výsledkové ukazovatele pre špecifický cieľ č. 5.1.2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pracovných miest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712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vytvorených pracovných miest</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Ekvivalent</w:t>
            </w:r>
          </w:p>
          <w:p>
            <w:pPr>
              <w:spacing w:after="0" w:line="240" w:lineRule="auto"/>
              <w:rPr>
                <w:rFonts w:ascii="Arial" w:hAnsi="Arial" w:cs="Arial"/>
                <w:sz w:val="16"/>
                <w:szCs w:val="16"/>
              </w:rPr>
            </w:pPr>
            <w:r>
              <w:rPr>
                <w:rFonts w:ascii="Arial" w:hAnsi="Arial" w:cs="Arial"/>
                <w:sz w:val="16"/>
                <w:szCs w:val="16"/>
              </w:rPr>
              <w:t>plných</w:t>
            </w:r>
          </w:p>
          <w:p>
            <w:pPr>
              <w:spacing w:after="0" w:line="240" w:lineRule="auto"/>
              <w:rPr>
                <w:rFonts w:ascii="Arial" w:hAnsi="Arial" w:cs="Arial"/>
                <w:sz w:val="16"/>
                <w:szCs w:val="16"/>
              </w:rPr>
            </w:pPr>
            <w:r>
              <w:rPr>
                <w:rFonts w:ascii="Arial" w:hAnsi="Arial" w:cs="Arial"/>
                <w:sz w:val="16"/>
                <w:szCs w:val="16"/>
              </w:rPr>
              <w:t>pracovných</w:t>
            </w:r>
          </w:p>
          <w:p>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spacing w:after="0" w:line="240" w:lineRule="auto"/>
        <w:jc w:val="both"/>
        <w:rPr>
          <w:rFonts w:ascii="Arial" w:hAnsi="Arial" w:cs="Arial"/>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p>
    <w:p>
      <w:pPr>
        <w:spacing w:after="0" w:line="240" w:lineRule="auto"/>
        <w:jc w:val="both"/>
        <w:rPr>
          <w:rFonts w:ascii="Arial" w:hAnsi="Arial" w:cs="Arial"/>
          <w:b/>
          <w:shd w:val="clear" w:color="auto" w:fill="FFFFFF"/>
        </w:rPr>
      </w:pPr>
      <w:r>
        <w:rPr>
          <w:rFonts w:ascii="Arial" w:hAnsi="Arial" w:cs="Arial"/>
          <w:b/>
          <w:shd w:val="clear" w:color="auto" w:fill="FFFFFF"/>
        </w:rPr>
        <w:lastRenderedPageBreak/>
        <w:t>Špecifický cieľ 5.1.3</w:t>
      </w:r>
    </w:p>
    <w:p>
      <w:pPr>
        <w:spacing w:after="0" w:line="240" w:lineRule="auto"/>
        <w:jc w:val="both"/>
        <w:rPr>
          <w:rFonts w:ascii="Arial" w:hAnsi="Arial" w:cs="Arial"/>
          <w:shd w:val="clear" w:color="auto" w:fill="FFFFFF"/>
        </w:rPr>
      </w:pPr>
    </w:p>
    <w:p>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pPr>
        <w:tabs>
          <w:tab w:val="left" w:pos="1425"/>
        </w:tabs>
        <w:jc w:val="both"/>
        <w:rPr>
          <w:rFonts w:ascii="Arial" w:hAnsi="Arial" w:cs="Arial"/>
          <w:b/>
        </w:rPr>
      </w:pPr>
      <w:r>
        <w:rPr>
          <w:rFonts w:ascii="Arial" w:hAnsi="Arial" w:cs="Arial"/>
          <w:b/>
        </w:rPr>
        <w:t>Výsledok podpory IROP:</w:t>
      </w:r>
    </w:p>
    <w:p>
      <w:pPr>
        <w:pStyle w:val="Odsekzoznamu"/>
        <w:numPr>
          <w:ilvl w:val="0"/>
          <w:numId w:val="43"/>
        </w:numPr>
        <w:tabs>
          <w:tab w:val="left" w:pos="1425"/>
        </w:tabs>
        <w:jc w:val="both"/>
        <w:rPr>
          <w:rFonts w:ascii="Arial" w:hAnsi="Arial" w:cs="Arial"/>
        </w:rPr>
      </w:pPr>
      <w:r>
        <w:rPr>
          <w:rFonts w:ascii="Arial" w:hAnsi="Arial" w:cs="Arial"/>
        </w:rPr>
        <w:t>zvýšenie kvality života vo vidieckych regiónoch;</w:t>
      </w:r>
    </w:p>
    <w:p>
      <w:pPr>
        <w:pStyle w:val="Odsekzoznamu"/>
        <w:numPr>
          <w:ilvl w:val="0"/>
          <w:numId w:val="43"/>
        </w:numPr>
        <w:tabs>
          <w:tab w:val="left" w:pos="1425"/>
        </w:tabs>
        <w:jc w:val="both"/>
        <w:rPr>
          <w:rFonts w:ascii="Arial" w:hAnsi="Arial" w:cs="Arial"/>
        </w:rPr>
      </w:pPr>
      <w:r>
        <w:rPr>
          <w:rFonts w:ascii="Arial" w:hAnsi="Arial" w:cs="Arial"/>
        </w:rPr>
        <w:t>rozvoj mestsko-vidieckych vzťahov;</w:t>
      </w:r>
    </w:p>
    <w:p>
      <w:pPr>
        <w:pStyle w:val="Odsekzoznamu"/>
        <w:numPr>
          <w:ilvl w:val="0"/>
          <w:numId w:val="43"/>
        </w:numPr>
        <w:tabs>
          <w:tab w:val="left" w:pos="1425"/>
        </w:tabs>
        <w:jc w:val="both"/>
        <w:rPr>
          <w:rFonts w:ascii="Arial" w:hAnsi="Arial" w:cs="Arial"/>
        </w:rPr>
      </w:pPr>
      <w:r>
        <w:rPr>
          <w:rFonts w:ascii="Arial" w:hAnsi="Arial" w:cs="Arial"/>
        </w:rPr>
        <w:t xml:space="preserve">rozvoj verejných služieb. </w:t>
      </w:r>
    </w:p>
    <w:p>
      <w:pPr>
        <w:rPr>
          <w:rStyle w:val="Zvraznenie"/>
          <w:rFonts w:ascii="Arial" w:hAnsi="Arial" w:cs="Arial"/>
        </w:rPr>
      </w:pPr>
      <w:r>
        <w:rPr>
          <w:rStyle w:val="Siln"/>
          <w:rFonts w:ascii="Arial" w:hAnsi="Arial" w:cs="Arial"/>
        </w:rPr>
        <w:t>Tabuľka č. 36</w:t>
      </w:r>
      <w:r>
        <w:rPr>
          <w:rStyle w:val="Zvraznenie"/>
          <w:rFonts w:ascii="Arial" w:hAnsi="Arial" w:cs="Arial"/>
        </w:rPr>
        <w:t xml:space="preserve"> Výsledkové ukazovatele pre špecifický cieľa č. 5.1.3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tc>
          <w:tcPr>
            <w:tcW w:w="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10 672</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Style w:val="Nadpis5"/>
        <w:shd w:val="clear" w:color="auto" w:fill="B8C1E9"/>
        <w:rPr>
          <w:rFonts w:ascii="Arial" w:hAnsi="Arial" w:cs="Arial"/>
        </w:rPr>
      </w:pPr>
      <w:bookmarkStart w:id="130" w:name="_Toc387651862"/>
      <w:r>
        <w:rPr>
          <w:rFonts w:ascii="Arial" w:hAnsi="Arial" w:cs="Arial"/>
        </w:rPr>
        <w:t>Akcia, ktorá sa má podporiť v rámci investičnej priority</w:t>
      </w:r>
      <w:bookmarkEnd w:id="130"/>
      <w:r>
        <w:rPr>
          <w:rFonts w:ascii="Arial" w:hAnsi="Arial" w:cs="Arial"/>
        </w:rPr>
        <w:t xml:space="preserve"> </w:t>
      </w:r>
    </w:p>
    <w:p>
      <w:pPr>
        <w:pStyle w:val="Nadpis6"/>
        <w:rPr>
          <w:rFonts w:ascii="Arial" w:hAnsi="Arial" w:cs="Arial"/>
        </w:rPr>
      </w:pPr>
      <w:bookmarkStart w:id="131" w:name="_Toc387651863"/>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31"/>
    </w:p>
    <w:p>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sa dosiahne realizáciou nasledovných aktivít:</w:t>
      </w:r>
    </w:p>
    <w:p>
      <w:pPr>
        <w:pStyle w:val="Odsekzoznamu"/>
        <w:numPr>
          <w:ilvl w:val="0"/>
          <w:numId w:val="2"/>
        </w:numPr>
        <w:tabs>
          <w:tab w:val="left" w:pos="1425"/>
        </w:tabs>
        <w:rPr>
          <w:rFonts w:ascii="Arial" w:hAnsi="Arial" w:cs="Arial"/>
        </w:rPr>
      </w:pPr>
      <w:r>
        <w:rPr>
          <w:rFonts w:ascii="Arial" w:hAnsi="Arial" w:cs="Arial"/>
        </w:rPr>
        <w:t>financovanie prevádzkových nákladov MAS spojených s riadením uskutočňovania stratégií CLLD:</w:t>
      </w:r>
    </w:p>
    <w:p>
      <w:pPr>
        <w:pStyle w:val="Odsekzoznamu"/>
        <w:numPr>
          <w:ilvl w:val="1"/>
          <w:numId w:val="2"/>
        </w:numPr>
        <w:tabs>
          <w:tab w:val="left" w:pos="426"/>
        </w:tabs>
        <w:spacing w:after="60"/>
        <w:jc w:val="both"/>
        <w:rPr>
          <w:rFonts w:ascii="Arial" w:hAnsi="Arial" w:cs="Arial"/>
          <w:bCs/>
        </w:rPr>
      </w:pPr>
      <w:r>
        <w:rPr>
          <w:rFonts w:ascii="Arial" w:hAnsi="Arial" w:cs="Arial"/>
          <w:bCs/>
        </w:rPr>
        <w:t>personálne a administratívne náklady MAS (prevádzkové, osobné, poistenie),</w:t>
      </w:r>
    </w:p>
    <w:p>
      <w:pPr>
        <w:pStyle w:val="Odsekzoznamu"/>
        <w:numPr>
          <w:ilvl w:val="1"/>
          <w:numId w:val="2"/>
        </w:numPr>
        <w:tabs>
          <w:tab w:val="left" w:pos="426"/>
        </w:tabs>
        <w:spacing w:after="60"/>
        <w:jc w:val="both"/>
        <w:rPr>
          <w:rFonts w:ascii="Arial" w:hAnsi="Arial" w:cs="Arial"/>
          <w:bCs/>
        </w:rPr>
      </w:pPr>
      <w:r>
        <w:rPr>
          <w:rFonts w:ascii="Arial" w:hAnsi="Arial" w:cs="Arial"/>
          <w:bCs/>
        </w:rPr>
        <w:t>náklady na školenia zamestnancov a členov MAS (okrem školení pre predkladateľov projektov),</w:t>
      </w:r>
    </w:p>
    <w:p>
      <w:pPr>
        <w:pStyle w:val="Odsekzoznamu"/>
        <w:numPr>
          <w:ilvl w:val="1"/>
          <w:numId w:val="2"/>
        </w:numPr>
        <w:tabs>
          <w:tab w:val="left" w:pos="426"/>
        </w:tabs>
        <w:spacing w:after="60"/>
        <w:jc w:val="both"/>
        <w:rPr>
          <w:rFonts w:ascii="Arial" w:hAnsi="Arial" w:cs="Arial"/>
          <w:bCs/>
        </w:rPr>
      </w:pPr>
      <w:r>
        <w:rPr>
          <w:rFonts w:ascii="Arial" w:hAnsi="Arial" w:cs="Arial"/>
          <w:bCs/>
        </w:rPr>
        <w:lastRenderedPageBreak/>
        <w:t>náklady na publicitu,</w:t>
      </w:r>
    </w:p>
    <w:p>
      <w:pPr>
        <w:pStyle w:val="Odsekzoznamu"/>
        <w:numPr>
          <w:ilvl w:val="1"/>
          <w:numId w:val="2"/>
        </w:numPr>
        <w:tabs>
          <w:tab w:val="left" w:pos="426"/>
        </w:tabs>
        <w:spacing w:after="60"/>
        <w:jc w:val="both"/>
        <w:rPr>
          <w:rFonts w:ascii="Arial" w:hAnsi="Arial" w:cs="Arial"/>
          <w:bCs/>
        </w:rPr>
      </w:pPr>
      <w:r>
        <w:rPr>
          <w:rFonts w:ascii="Arial" w:hAnsi="Arial" w:cs="Arial"/>
          <w:bCs/>
        </w:rPr>
        <w:t>finančné náklady,</w:t>
      </w:r>
    </w:p>
    <w:p>
      <w:pPr>
        <w:pStyle w:val="Odsekzoznamu"/>
        <w:numPr>
          <w:ilvl w:val="1"/>
          <w:numId w:val="2"/>
        </w:numPr>
        <w:tabs>
          <w:tab w:val="left" w:pos="426"/>
        </w:tabs>
        <w:spacing w:after="60"/>
        <w:jc w:val="both"/>
        <w:rPr>
          <w:rFonts w:ascii="Arial" w:hAnsi="Arial" w:cs="Arial"/>
          <w:bCs/>
        </w:rPr>
      </w:pPr>
      <w:r>
        <w:rPr>
          <w:rFonts w:ascii="Arial" w:hAnsi="Arial" w:cs="Arial"/>
          <w:bCs/>
        </w:rPr>
        <w:t>náklady na sieťovanie: účasť zamestnancov a členov MAS na stretnutiach s inými MAS, vrátane zasadaní národných a európskych sietí, ako aj poplatky za členstvo v regionálnych, národných alebo európskych sietí MAS,</w:t>
      </w:r>
    </w:p>
    <w:p>
      <w:pPr>
        <w:pStyle w:val="Odsekzoznamu"/>
        <w:numPr>
          <w:ilvl w:val="1"/>
          <w:numId w:val="2"/>
        </w:numPr>
        <w:tabs>
          <w:tab w:val="left" w:pos="426"/>
        </w:tabs>
        <w:spacing w:after="60"/>
        <w:jc w:val="both"/>
        <w:rPr>
          <w:rFonts w:ascii="Arial" w:hAnsi="Arial" w:cs="Arial"/>
          <w:bCs/>
        </w:rPr>
      </w:pPr>
      <w:r>
        <w:rPr>
          <w:rFonts w:ascii="Arial" w:hAnsi="Arial" w:cs="Arial"/>
          <w:bCs/>
        </w:rPr>
        <w:t>náklady vynaložené na monitorovanie, hodnotenie a aktualizáciu stratégií CLLD (na úrovni MAS),</w:t>
      </w:r>
    </w:p>
    <w:p>
      <w:pPr>
        <w:pStyle w:val="Odsekzoznamu"/>
        <w:numPr>
          <w:ilvl w:val="1"/>
          <w:numId w:val="2"/>
        </w:numPr>
        <w:tabs>
          <w:tab w:val="left" w:pos="426"/>
        </w:tabs>
        <w:spacing w:after="60"/>
        <w:jc w:val="both"/>
        <w:rPr>
          <w:rFonts w:ascii="Arial" w:hAnsi="Arial" w:cs="Arial"/>
          <w:bCs/>
        </w:rPr>
      </w:pPr>
      <w:r>
        <w:rPr>
          <w:rFonts w:ascii="Arial" w:hAnsi="Arial" w:cs="Arial"/>
          <w:bCs/>
        </w:rPr>
        <w:t xml:space="preserve">vzdelávanie zamestnancov MAS (školenia, konferencie, semináre, </w:t>
      </w:r>
      <w:proofErr w:type="spellStart"/>
      <w:r>
        <w:rPr>
          <w:rFonts w:ascii="Arial" w:hAnsi="Arial" w:cs="Arial"/>
          <w:bCs/>
        </w:rPr>
        <w:t>workshopy</w:t>
      </w:r>
      <w:proofErr w:type="spellEnd"/>
      <w:r>
        <w:rPr>
          <w:rFonts w:ascii="Arial" w:hAnsi="Arial" w:cs="Arial"/>
          <w:bCs/>
        </w:rPr>
        <w:t xml:space="preserve"> a pod.), ktorí sa podieľajú na príprave a vykonávaní stratégie CLLD.</w:t>
      </w:r>
    </w:p>
    <w:p>
      <w:pPr>
        <w:spacing w:after="0"/>
        <w:jc w:val="both"/>
        <w:rPr>
          <w:rFonts w:asciiTheme="minorHAnsi" w:hAnsiTheme="minorHAnsi" w:cs="Calibri"/>
          <w:bCs/>
        </w:rPr>
      </w:pPr>
    </w:p>
    <w:p>
      <w:pPr>
        <w:tabs>
          <w:tab w:val="left" w:pos="1425"/>
        </w:tabs>
        <w:jc w:val="both"/>
        <w:rPr>
          <w:rFonts w:ascii="Arial" w:hAnsi="Arial" w:cs="Arial"/>
        </w:rPr>
      </w:pPr>
      <w:r>
        <w:rPr>
          <w:rFonts w:ascii="Arial" w:hAnsi="Arial" w:cs="Arial"/>
          <w:b/>
        </w:rPr>
        <w:t>Špecifický cieľ č. 5.1.2</w:t>
      </w:r>
      <w:r>
        <w:rPr>
          <w:rFonts w:ascii="Arial" w:hAnsi="Arial" w:cs="Arial"/>
        </w:rPr>
        <w:t xml:space="preserve"> sa dosiahne realizáciou nasledovných aktivít:</w:t>
      </w:r>
    </w:p>
    <w:p>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 xml:space="preserve">obstaranie hmotného majetku SZČO, </w:t>
      </w:r>
      <w:proofErr w:type="spellStart"/>
      <w:r>
        <w:rPr>
          <w:rFonts w:ascii="Arial" w:hAnsi="Arial" w:cs="Arial"/>
          <w:bCs/>
        </w:rPr>
        <w:t>mikro</w:t>
      </w:r>
      <w:proofErr w:type="spellEnd"/>
      <w:r>
        <w:rPr>
          <w:rFonts w:ascii="Arial" w:hAnsi="Arial" w:cs="Arial"/>
          <w:bCs/>
        </w:rPr>
        <w:t xml:space="preserve"> a malých podnikov pre účely tvorby  pracovných miest,</w:t>
      </w:r>
    </w:p>
    <w:p>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nutné stavebnotechnické úpravy budov spojené s umiestnením obstaranej technológie alebo s poskytovaním nových služieb,</w:t>
      </w:r>
    </w:p>
    <w:p>
      <w:pPr>
        <w:pStyle w:val="Odsekzoznamu"/>
        <w:numPr>
          <w:ilvl w:val="0"/>
          <w:numId w:val="2"/>
        </w:numPr>
        <w:tabs>
          <w:tab w:val="left" w:pos="1425"/>
        </w:tabs>
        <w:jc w:val="both"/>
        <w:rPr>
          <w:rFonts w:ascii="Arial" w:hAnsi="Arial" w:cs="Arial"/>
        </w:rPr>
      </w:pPr>
      <w:r>
        <w:rPr>
          <w:rFonts w:ascii="Arial" w:hAnsi="Arial" w:cs="Arial"/>
        </w:rPr>
        <w:t>vytváranie malých diverzifikovaných podnikov vhodných na zamestnávanie znevýhodnených skupín, dlhodobo nezamestnaných</w:t>
      </w:r>
      <w:r>
        <w:rPr>
          <w:rFonts w:ascii="Arial" w:hAnsi="Arial" w:cs="Arial"/>
          <w:bCs/>
        </w:rPr>
        <w:t>, osôb s nízkou kvalifikáciou a pod.,</w:t>
      </w:r>
    </w:p>
    <w:p>
      <w:pPr>
        <w:pStyle w:val="Odsekzoznamu"/>
        <w:numPr>
          <w:ilvl w:val="0"/>
          <w:numId w:val="2"/>
        </w:numPr>
        <w:tabs>
          <w:tab w:val="left" w:pos="1425"/>
        </w:tabs>
        <w:jc w:val="both"/>
        <w:rPr>
          <w:rFonts w:ascii="Arial" w:hAnsi="Arial" w:cs="Arial"/>
        </w:rPr>
      </w:pPr>
      <w:r>
        <w:rPr>
          <w:rFonts w:ascii="Arial" w:hAnsi="Arial" w:cs="Arial"/>
        </w:rPr>
        <w:t xml:space="preserve">podpora </w:t>
      </w:r>
      <w:proofErr w:type="spellStart"/>
      <w:r>
        <w:rPr>
          <w:rFonts w:ascii="Arial" w:hAnsi="Arial" w:cs="Arial"/>
        </w:rPr>
        <w:t>komunitných</w:t>
      </w:r>
      <w:proofErr w:type="spellEnd"/>
      <w:r>
        <w:rPr>
          <w:rFonts w:ascii="Arial" w:hAnsi="Arial" w:cs="Arial"/>
        </w:rPr>
        <w:t xml:space="preserve"> foriem podnikania prostredníctvom napr. družstiev,</w:t>
      </w:r>
    </w:p>
    <w:p>
      <w:pPr>
        <w:pStyle w:val="Odsekzoznamu"/>
        <w:numPr>
          <w:ilvl w:val="0"/>
          <w:numId w:val="2"/>
        </w:numPr>
        <w:tabs>
          <w:tab w:val="left" w:pos="1425"/>
        </w:tabs>
        <w:jc w:val="both"/>
        <w:rPr>
          <w:rFonts w:ascii="Arial" w:hAnsi="Arial" w:cs="Arial"/>
        </w:rPr>
      </w:pPr>
      <w:r>
        <w:rPr>
          <w:rFonts w:ascii="Arial" w:hAnsi="Arial" w:cs="Arial"/>
        </w:rPr>
        <w:t xml:space="preserve">podpora marketingových aktivít (účasť na </w:t>
      </w:r>
      <w:proofErr w:type="spellStart"/>
      <w:r>
        <w:rPr>
          <w:rFonts w:ascii="Arial" w:hAnsi="Arial" w:cs="Arial"/>
        </w:rPr>
        <w:t>workshopoch</w:t>
      </w:r>
      <w:proofErr w:type="spellEnd"/>
      <w:r>
        <w:rPr>
          <w:rFonts w:ascii="Arial" w:hAnsi="Arial" w:cs="Arial"/>
        </w:rPr>
        <w:t>, veľtrhoch, výstavách, propagácia miestnych výrobkov, regionálnych značiek, spracovávanie marketingových stratégií pre miestne produkty, a pod.),</w:t>
      </w:r>
    </w:p>
    <w:p>
      <w:pPr>
        <w:pStyle w:val="Odsekzoznamu"/>
        <w:numPr>
          <w:ilvl w:val="0"/>
          <w:numId w:val="2"/>
        </w:numPr>
        <w:tabs>
          <w:tab w:val="left" w:pos="1425"/>
        </w:tabs>
        <w:jc w:val="both"/>
        <w:rPr>
          <w:rFonts w:ascii="Arial" w:hAnsi="Arial" w:cs="Arial"/>
        </w:rPr>
      </w:pPr>
      <w:r>
        <w:rPr>
          <w:rFonts w:ascii="Arial" w:hAnsi="Arial" w:cs="Arial"/>
        </w:rPr>
        <w:t>budovanie miestnych produkčno-spotrebiteľských reťazcov,</w:t>
      </w:r>
    </w:p>
    <w:p>
      <w:pPr>
        <w:pStyle w:val="Odsekzoznamu"/>
        <w:numPr>
          <w:ilvl w:val="0"/>
          <w:numId w:val="2"/>
        </w:numPr>
        <w:tabs>
          <w:tab w:val="left" w:pos="1425"/>
        </w:tabs>
        <w:jc w:val="both"/>
        <w:rPr>
          <w:rFonts w:ascii="Arial" w:hAnsi="Arial" w:cs="Arial"/>
        </w:rPr>
      </w:pPr>
      <w:r>
        <w:rPr>
          <w:rFonts w:ascii="Arial" w:hAnsi="Arial" w:cs="Arial"/>
        </w:rPr>
        <w:t>sieťovanie a technická podpora podnikateľských subjektov s dôrazom na podporu sieťovania na úrovni miestnej ekonomiky a miestnych komunít,</w:t>
      </w:r>
    </w:p>
    <w:p>
      <w:pPr>
        <w:pStyle w:val="Odsekzoznamu"/>
        <w:numPr>
          <w:ilvl w:val="0"/>
          <w:numId w:val="2"/>
        </w:numPr>
        <w:tabs>
          <w:tab w:val="left" w:pos="1425"/>
        </w:tabs>
        <w:jc w:val="both"/>
        <w:rPr>
          <w:rFonts w:ascii="Arial" w:hAnsi="Arial" w:cs="Arial"/>
        </w:rPr>
      </w:pPr>
      <w:r>
        <w:rPr>
          <w:rFonts w:ascii="Arial" w:hAnsi="Arial" w:cs="Arial"/>
        </w:rPr>
        <w:t>prenos informácií a vedomostí (napr. výmenné návštevy podnikov, poradenské služby, okrem poradenských služieb podporovaných v iných operačných programoch, spolupráca),</w:t>
      </w:r>
    </w:p>
    <w:p>
      <w:pPr>
        <w:pStyle w:val="Odsekzoznamu"/>
        <w:numPr>
          <w:ilvl w:val="0"/>
          <w:numId w:val="2"/>
        </w:numPr>
        <w:tabs>
          <w:tab w:val="left" w:pos="1425"/>
        </w:tabs>
        <w:jc w:val="both"/>
        <w:rPr>
          <w:rFonts w:ascii="Arial" w:hAnsi="Arial" w:cs="Arial"/>
        </w:rPr>
      </w:pPr>
      <w:r>
        <w:rPr>
          <w:rFonts w:ascii="Arial" w:hAnsi="Arial" w:cs="Arial"/>
        </w:rPr>
        <w:t>osveta a tvorba kapacít miestnych producentov/spotrebiteľov (napr. vzdelávacie a informačné aktivity).</w:t>
      </w:r>
    </w:p>
    <w:p>
      <w:pPr>
        <w:tabs>
          <w:tab w:val="left" w:pos="1425"/>
        </w:tabs>
        <w:jc w:val="both"/>
        <w:rPr>
          <w:rFonts w:ascii="Arial" w:hAnsi="Arial" w:cs="Arial"/>
        </w:rPr>
      </w:pPr>
      <w:r>
        <w:rPr>
          <w:rFonts w:ascii="Arial" w:hAnsi="Arial" w:cs="Arial"/>
        </w:rPr>
        <w:t xml:space="preserve">Na plnenie špecifického cieľa č. 5.1.2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spacing w:after="0" w:line="240" w:lineRule="auto"/>
        <w:jc w:val="both"/>
        <w:rPr>
          <w:rFonts w:ascii="Arial" w:hAnsi="Arial" w:cs="Arial"/>
        </w:rPr>
      </w:pPr>
      <w:r>
        <w:rPr>
          <w:rFonts w:ascii="Arial" w:hAnsi="Arial" w:cs="Arial"/>
          <w:b/>
        </w:rPr>
        <w:t xml:space="preserve">Špecifický cieľ č. 5.1.3 </w:t>
      </w:r>
      <w:r>
        <w:rPr>
          <w:rFonts w:ascii="Arial" w:hAnsi="Arial" w:cs="Arial"/>
        </w:rPr>
        <w:t xml:space="preserve">sa dosiahne realizáciou nasledovných aktivít: </w:t>
      </w:r>
    </w:p>
    <w:p>
      <w:pPr>
        <w:pStyle w:val="Odsekzoznamu"/>
        <w:numPr>
          <w:ilvl w:val="0"/>
          <w:numId w:val="2"/>
        </w:numPr>
        <w:tabs>
          <w:tab w:val="left" w:pos="426"/>
        </w:tabs>
        <w:spacing w:before="240" w:after="60"/>
        <w:jc w:val="both"/>
        <w:rPr>
          <w:rFonts w:ascii="Arial" w:hAnsi="Arial" w:cs="Arial"/>
          <w:shd w:val="clear" w:color="auto" w:fill="FFFFFF"/>
        </w:rPr>
      </w:pPr>
      <w:r>
        <w:rPr>
          <w:rFonts w:ascii="Arial" w:hAnsi="Arial" w:cs="Arial"/>
          <w:shd w:val="clear" w:color="auto" w:fill="FFFFFF"/>
        </w:rPr>
        <w:t>rozvoj základnej infraštruktúry v oblastiach:</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dopravné prepojenie a dostupnosť sídiel:</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rekonštrukcia a výstavba zastávok a staníc verejnej osobnej dopravy na linkách prepájajúcich obec s mestom za účelom zlepšenia prístupu k medzimestskej a regionálnej doprave,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rekonštrukcia alebo výstavba systémov pre prestup na verejnú osobnú dopravu P+R, K+R, B+R,</w:t>
      </w:r>
    </w:p>
    <w:p>
      <w:pPr>
        <w:pStyle w:val="Odsekzoznamu"/>
        <w:numPr>
          <w:ilvl w:val="2"/>
          <w:numId w:val="43"/>
        </w:numPr>
        <w:spacing w:after="0" w:line="240" w:lineRule="auto"/>
        <w:jc w:val="both"/>
        <w:rPr>
          <w:rFonts w:ascii="Arial" w:hAnsi="Arial" w:cs="Arial"/>
          <w:shd w:val="clear" w:color="auto" w:fill="FFFFFF"/>
        </w:rPr>
      </w:pPr>
      <w:r>
        <w:rPr>
          <w:rFonts w:ascii="Arial" w:hAnsi="Arial" w:cs="Arial"/>
          <w:u w:color="FFFFFF"/>
        </w:rPr>
        <w:t>budovanie prvkov a podpora opatrení na zvyšovanie bezpečnosti cestnej, cyklistickej a pešej dopravy v mestách,</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lastRenderedPageBreak/>
        <w:t>nákup vozidiel pre účely zabezpečenia spoločnej dopravy osôb vrátane vozidiel prispôsobených osobám s obmedzenou možnosťou pohybu a orientácie,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w:t>
      </w:r>
      <w:proofErr w:type="spellStart"/>
      <w:r>
        <w:rPr>
          <w:rFonts w:ascii="Arial" w:hAnsi="Arial" w:cs="Arial"/>
          <w:shd w:val="clear" w:color="auto" w:fill="FFFFFF"/>
        </w:rPr>
        <w:t>elektrobicykle</w:t>
      </w:r>
      <w:proofErr w:type="spellEnd"/>
      <w:r>
        <w:rPr>
          <w:rFonts w:ascii="Arial" w:hAnsi="Arial" w:cs="Arial"/>
          <w:shd w:val="clear" w:color="auto" w:fill="FFFFFF"/>
        </w:rPr>
        <w:t xml:space="preserve"> a pod.,</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opatrenia na uprednostnenie verejnej osobnej dopravy a nemotorovej dopravy,</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sociálne služby a </w:t>
      </w:r>
      <w:proofErr w:type="spellStart"/>
      <w:r>
        <w:rPr>
          <w:rFonts w:ascii="Arial" w:hAnsi="Arial" w:cs="Arial"/>
          <w:shd w:val="clear" w:color="auto" w:fill="FFFFFF"/>
        </w:rPr>
        <w:t>komunitné</w:t>
      </w:r>
      <w:proofErr w:type="spellEnd"/>
      <w:r>
        <w:rPr>
          <w:rFonts w:ascii="Arial" w:hAnsi="Arial" w:cs="Arial"/>
          <w:shd w:val="clear" w:color="auto" w:fill="FFFFFF"/>
        </w:rPr>
        <w:t xml:space="preserve"> služby:</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zriaďovanie nových alebo rekonštrukcia a modernizácia existujúcich zariadení pre poskytovanie </w:t>
      </w:r>
      <w:proofErr w:type="spellStart"/>
      <w:r>
        <w:rPr>
          <w:rFonts w:ascii="Arial" w:hAnsi="Arial" w:cs="Arial"/>
          <w:shd w:val="clear" w:color="auto" w:fill="FFFFFF"/>
        </w:rPr>
        <w:t>komunitných</w:t>
      </w:r>
      <w:proofErr w:type="spellEnd"/>
      <w:r>
        <w:rPr>
          <w:rFonts w:ascii="Arial" w:hAnsi="Arial" w:cs="Arial"/>
          <w:shd w:val="clear" w:color="auto" w:fill="FFFFFF"/>
        </w:rPr>
        <w:t xml:space="preserve"> sociálnych služieb vrátane materiálno-technického vybavenia,</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zvyšovanie kvality a kapacity </w:t>
      </w:r>
      <w:proofErr w:type="spellStart"/>
      <w:r>
        <w:rPr>
          <w:rFonts w:ascii="Arial" w:hAnsi="Arial" w:cs="Arial"/>
          <w:shd w:val="clear" w:color="auto" w:fill="FFFFFF"/>
        </w:rPr>
        <w:t>komunitných</w:t>
      </w:r>
      <w:proofErr w:type="spellEnd"/>
      <w:r>
        <w:rPr>
          <w:rFonts w:ascii="Arial" w:hAnsi="Arial" w:cs="Arial"/>
          <w:shd w:val="clear" w:color="auto" w:fill="FFFFFF"/>
        </w:rPr>
        <w:t xml:space="preserve"> sociálnych služieb,</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investície do rozvoja terénnych a ambulantných sociálnych služieb,</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infraštruktúra </w:t>
      </w:r>
      <w:proofErr w:type="spellStart"/>
      <w:r>
        <w:rPr>
          <w:rFonts w:ascii="Arial" w:hAnsi="Arial" w:cs="Arial"/>
          <w:shd w:val="clear" w:color="auto" w:fill="FFFFFF"/>
        </w:rPr>
        <w:t>komunitných</w:t>
      </w:r>
      <w:proofErr w:type="spellEnd"/>
      <w:r>
        <w:rPr>
          <w:rFonts w:ascii="Arial" w:hAnsi="Arial" w:cs="Arial"/>
          <w:shd w:val="clear" w:color="auto" w:fill="FFFFFF"/>
        </w:rPr>
        <w:t xml:space="preserve"> centier,</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zvýšenie kvality a dostupnosti infraštruktúry pre vzdelávanie, celoživotné a neformálne vzdelávanie</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vybudovanie, modernizácia a rekonštrukcia odborných učební, laboratórií a dielní vrátane vybavenia pomôckami,</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skvalitnenie a rozšírenie kapacít predškolského vzdelávania,</w:t>
      </w:r>
    </w:p>
    <w:p>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modernizácia a rekonštrukcia objektov a priestorov škôl v nadväznosti na rozvoj kľúčových kompetencií,</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 xml:space="preserve">podpora občianskej, sociálnej a technickej infraštruktúry špecificky v obciach postihnutých </w:t>
      </w:r>
      <w:proofErr w:type="spellStart"/>
      <w:r>
        <w:rPr>
          <w:rFonts w:ascii="Arial" w:hAnsi="Arial" w:cs="Arial"/>
          <w:shd w:val="clear" w:color="auto" w:fill="FFFFFF"/>
        </w:rPr>
        <w:t>suburbanizáciou</w:t>
      </w:r>
      <w:proofErr w:type="spellEnd"/>
      <w:r>
        <w:rPr>
          <w:rFonts w:ascii="Arial" w:hAnsi="Arial" w:cs="Arial"/>
          <w:shd w:val="clear" w:color="auto" w:fill="FFFFFF"/>
        </w:rPr>
        <w:t>,</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rozvoj miestnych služieb vrátane lokálnych ekologických služieb (napr. protipovodňové opatrenia, opatrenia v odpadovom hospodárstve)</w:t>
      </w:r>
      <w:r>
        <w:rPr>
          <w:rFonts w:ascii="Arial" w:hAnsi="Arial" w:cs="Arial"/>
          <w:vanish/>
          <w:shd w:val="clear" w:color="auto" w:fill="FFFFFF"/>
        </w:rPr>
        <w:t xml:space="preserve">, </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rozvoj a vytváranie priestorov pre inovatívnu kultúrnu produkciu a rozvoj služieb so zreteľom na miestne a regionálne kultúrne a prírodné dedičstvo a tradície,</w:t>
      </w:r>
    </w:p>
    <w:p>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podpora a rozvoj informačných centier, informačných kampaní, vzdelávacích a osvetových aktivít s prepojením na služby vidieckeho cestovného ruchu smerom na mesto,</w:t>
      </w:r>
    </w:p>
    <w:p>
      <w:pPr>
        <w:pStyle w:val="Odsekzoznamu"/>
        <w:numPr>
          <w:ilvl w:val="1"/>
          <w:numId w:val="43"/>
        </w:numPr>
        <w:spacing w:after="0"/>
        <w:jc w:val="both"/>
        <w:rPr>
          <w:rFonts w:ascii="Arial" w:hAnsi="Arial" w:cs="Arial"/>
          <w:shd w:val="clear" w:color="auto" w:fill="FFFFFF"/>
        </w:rPr>
      </w:pPr>
      <w:r>
        <w:rPr>
          <w:rFonts w:ascii="Arial" w:hAnsi="Arial" w:cs="Arial"/>
        </w:rPr>
        <w:t>výstavba a obnova miestnych trhových priestorov za účelom podpory udržateľných miestnych ekonomík</w:t>
      </w:r>
      <w:r>
        <w:rPr>
          <w:rFonts w:ascii="Arial" w:hAnsi="Arial" w:cs="Arial"/>
          <w:shd w:val="clear" w:color="auto" w:fill="FFFFFF"/>
        </w:rPr>
        <w:t xml:space="preserve">.   </w:t>
      </w:r>
    </w:p>
    <w:p>
      <w:pPr>
        <w:tabs>
          <w:tab w:val="left" w:pos="1425"/>
        </w:tabs>
        <w:jc w:val="both"/>
        <w:rPr>
          <w:rFonts w:ascii="Arial" w:hAnsi="Arial" w:cs="Arial"/>
        </w:rPr>
      </w:pPr>
    </w:p>
    <w:p>
      <w:pPr>
        <w:tabs>
          <w:tab w:val="left" w:pos="1425"/>
        </w:tabs>
        <w:jc w:val="both"/>
        <w:rPr>
          <w:rFonts w:ascii="Arial" w:hAnsi="Arial" w:cs="Arial"/>
        </w:rPr>
      </w:pPr>
      <w:r>
        <w:rPr>
          <w:rFonts w:ascii="Arial" w:hAnsi="Arial" w:cs="Arial"/>
        </w:rPr>
        <w:t xml:space="preserve">Na plnenie špecifického cieľa č. 5.1.3 bude využitá schéma štátnej pomoci, resp. schéma pomoci </w:t>
      </w:r>
      <w:proofErr w:type="spellStart"/>
      <w:r>
        <w:rPr>
          <w:rFonts w:ascii="Arial" w:hAnsi="Arial" w:cs="Arial"/>
        </w:rPr>
        <w:t>de</w:t>
      </w:r>
      <w:proofErr w:type="spellEnd"/>
      <w:r>
        <w:rPr>
          <w:rFonts w:ascii="Arial" w:hAnsi="Arial" w:cs="Arial"/>
        </w:rPr>
        <w:t xml:space="preserve"> </w:t>
      </w:r>
      <w:proofErr w:type="spellStart"/>
      <w:r>
        <w:rPr>
          <w:rFonts w:ascii="Arial" w:hAnsi="Arial" w:cs="Arial"/>
        </w:rPr>
        <w:t>minimis</w:t>
      </w:r>
      <w:proofErr w:type="spellEnd"/>
      <w:r>
        <w:rPr>
          <w:rFonts w:ascii="Arial" w:hAnsi="Arial" w:cs="Arial"/>
        </w:rPr>
        <w:t xml:space="preserve"> v zmysle príslušných ustanovených pravidiel plne zodpovedajúcich legislatíve Európskej únie, ako aj ďalším dokumentom Európskej komisie v oblasti štátnej pomoci.</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r>
        <w:rPr>
          <w:rFonts w:ascii="Arial" w:hAnsi="Arial" w:cs="Arial"/>
        </w:rPr>
        <w:lastRenderedPageBreak/>
        <w:t xml:space="preserve">Oprávnení prijímatelia: </w:t>
      </w:r>
    </w:p>
    <w:p>
      <w:pPr>
        <w:pStyle w:val="Odsekzoznamu"/>
        <w:numPr>
          <w:ilvl w:val="0"/>
          <w:numId w:val="2"/>
        </w:numPr>
        <w:jc w:val="both"/>
        <w:rPr>
          <w:rFonts w:ascii="Arial" w:hAnsi="Arial" w:cs="Arial"/>
        </w:rPr>
      </w:pPr>
      <w:r>
        <w:rPr>
          <w:rFonts w:ascii="Arial" w:hAnsi="Arial" w:cs="Arial"/>
        </w:rPr>
        <w:t>miestne akčné skupiny v špecifickom cieli 5.1.1,</w:t>
      </w:r>
    </w:p>
    <w:p>
      <w:pPr>
        <w:pStyle w:val="Odsekzoznamu"/>
        <w:numPr>
          <w:ilvl w:val="0"/>
          <w:numId w:val="2"/>
        </w:numPr>
        <w:jc w:val="both"/>
        <w:rPr>
          <w:rFonts w:ascii="Arial" w:hAnsi="Arial" w:cs="Arial"/>
        </w:rPr>
      </w:pPr>
      <w:r>
        <w:rPr>
          <w:rFonts w:ascii="Arial" w:hAnsi="Arial" w:cs="Arial"/>
        </w:rPr>
        <w:t>mestá/samostatné mestské časti a obce,</w:t>
      </w:r>
    </w:p>
    <w:p>
      <w:pPr>
        <w:pStyle w:val="Odsekzoznamu"/>
        <w:numPr>
          <w:ilvl w:val="0"/>
          <w:numId w:val="2"/>
        </w:numPr>
        <w:jc w:val="both"/>
        <w:rPr>
          <w:rFonts w:ascii="Arial" w:hAnsi="Arial" w:cs="Arial"/>
        </w:rPr>
      </w:pPr>
      <w:r>
        <w:rPr>
          <w:rFonts w:ascii="Arial" w:hAnsi="Arial" w:cs="Arial"/>
        </w:rPr>
        <w:t>združenia miest a obcí,</w:t>
      </w:r>
    </w:p>
    <w:p>
      <w:pPr>
        <w:pStyle w:val="Odsekzoznamu"/>
        <w:numPr>
          <w:ilvl w:val="0"/>
          <w:numId w:val="2"/>
        </w:numPr>
        <w:jc w:val="both"/>
        <w:rPr>
          <w:rFonts w:ascii="Arial" w:hAnsi="Arial" w:cs="Arial"/>
        </w:rPr>
      </w:pPr>
      <w:proofErr w:type="spellStart"/>
      <w:r>
        <w:rPr>
          <w:rFonts w:ascii="Arial" w:hAnsi="Arial" w:cs="Arial"/>
        </w:rPr>
        <w:t>mikroregionálne</w:t>
      </w:r>
      <w:proofErr w:type="spellEnd"/>
      <w:r>
        <w:rPr>
          <w:rFonts w:ascii="Arial" w:hAnsi="Arial" w:cs="Arial"/>
        </w:rPr>
        <w:t xml:space="preserve"> združenia,</w:t>
      </w:r>
    </w:p>
    <w:p>
      <w:pPr>
        <w:pStyle w:val="Odsekzoznamu"/>
        <w:numPr>
          <w:ilvl w:val="0"/>
          <w:numId w:val="2"/>
        </w:numPr>
        <w:jc w:val="both"/>
        <w:rPr>
          <w:rFonts w:ascii="Arial" w:hAnsi="Arial" w:cs="Arial"/>
        </w:rPr>
      </w:pPr>
      <w:r>
        <w:rPr>
          <w:rFonts w:ascii="Arial" w:hAnsi="Arial" w:cs="Arial"/>
        </w:rPr>
        <w:t>samostatne zárobkovo činné osoby, okrem tých, ktoré sú oprávnenými prijímateľmi z PRV v opatrení LEADER,</w:t>
      </w:r>
    </w:p>
    <w:p>
      <w:pPr>
        <w:pStyle w:val="Odsekzoznamu"/>
        <w:numPr>
          <w:ilvl w:val="0"/>
          <w:numId w:val="2"/>
        </w:numPr>
        <w:jc w:val="both"/>
        <w:rPr>
          <w:rFonts w:ascii="Arial" w:hAnsi="Arial" w:cs="Arial"/>
        </w:rPr>
      </w:pPr>
      <w:proofErr w:type="spellStart"/>
      <w:r>
        <w:rPr>
          <w:rFonts w:ascii="Arial" w:hAnsi="Arial" w:cs="Arial"/>
        </w:rPr>
        <w:t>mikro</w:t>
      </w:r>
      <w:proofErr w:type="spellEnd"/>
      <w:r>
        <w:rPr>
          <w:rFonts w:ascii="Arial" w:hAnsi="Arial" w:cs="Arial"/>
        </w:rPr>
        <w:t xml:space="preserve"> a malé podniky s počtom do 49 zamestnancov, okrem tých, ktoré sú oprávnenými prijímateľmi z PRV v opatrení LEADER,</w:t>
      </w:r>
    </w:p>
    <w:p>
      <w:pPr>
        <w:pStyle w:val="Odsekzoznamu"/>
        <w:numPr>
          <w:ilvl w:val="0"/>
          <w:numId w:val="2"/>
        </w:numPr>
        <w:jc w:val="both"/>
        <w:rPr>
          <w:rFonts w:ascii="Arial" w:hAnsi="Arial" w:cs="Arial"/>
        </w:rPr>
      </w:pPr>
      <w:r>
        <w:rPr>
          <w:rFonts w:ascii="Arial" w:hAnsi="Arial" w:cs="Arial"/>
        </w:rPr>
        <w:t>občianske združenia,</w:t>
      </w:r>
    </w:p>
    <w:p>
      <w:pPr>
        <w:pStyle w:val="Odsekzoznamu"/>
        <w:numPr>
          <w:ilvl w:val="0"/>
          <w:numId w:val="2"/>
        </w:numPr>
        <w:jc w:val="both"/>
        <w:rPr>
          <w:rFonts w:ascii="Arial" w:hAnsi="Arial" w:cs="Arial"/>
        </w:rPr>
      </w:pPr>
      <w:r>
        <w:rPr>
          <w:rFonts w:ascii="Arial" w:hAnsi="Arial" w:cs="Arial"/>
        </w:rPr>
        <w:t>neziskové organizácie,</w:t>
      </w:r>
    </w:p>
    <w:p>
      <w:pPr>
        <w:pStyle w:val="Odsekzoznamu"/>
        <w:numPr>
          <w:ilvl w:val="0"/>
          <w:numId w:val="2"/>
        </w:numPr>
        <w:jc w:val="both"/>
        <w:rPr>
          <w:rFonts w:ascii="Arial" w:hAnsi="Arial" w:cs="Arial"/>
        </w:rPr>
      </w:pPr>
      <w:r>
        <w:rPr>
          <w:rFonts w:ascii="Arial" w:hAnsi="Arial" w:cs="Arial"/>
        </w:rPr>
        <w:t>organizácie cestovného ruchu v zmysle zákona č. 91/2010 o podpore cestovného ruchu.</w:t>
      </w:r>
    </w:p>
    <w:p>
      <w:pPr>
        <w:jc w:val="both"/>
        <w:rPr>
          <w:rFonts w:ascii="Arial" w:hAnsi="Arial" w:cs="Arial"/>
        </w:rPr>
      </w:pPr>
      <w:r>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pPr>
        <w:jc w:val="both"/>
        <w:rPr>
          <w:rFonts w:ascii="Arial" w:hAnsi="Arial" w:cs="Arial"/>
        </w:rPr>
      </w:pPr>
      <w:r>
        <w:rPr>
          <w:rFonts w:ascii="Arial" w:hAnsi="Arial" w:cs="Arial"/>
        </w:rPr>
        <w:t>Cieľové skupiny:</w:t>
      </w:r>
    </w:p>
    <w:p>
      <w:pPr>
        <w:pStyle w:val="Odsekzoznamu"/>
        <w:numPr>
          <w:ilvl w:val="0"/>
          <w:numId w:val="2"/>
        </w:numPr>
        <w:jc w:val="both"/>
        <w:rPr>
          <w:rFonts w:ascii="Arial" w:hAnsi="Arial" w:cs="Arial"/>
        </w:rPr>
      </w:pPr>
      <w:r>
        <w:rPr>
          <w:rFonts w:ascii="Arial" w:hAnsi="Arial" w:cs="Arial"/>
        </w:rPr>
        <w:t>obyvatelia a návštevníci podporených území,</w:t>
      </w:r>
    </w:p>
    <w:p>
      <w:pPr>
        <w:pStyle w:val="Odsekzoznamu"/>
        <w:numPr>
          <w:ilvl w:val="0"/>
          <w:numId w:val="2"/>
        </w:numPr>
        <w:jc w:val="both"/>
        <w:rPr>
          <w:rFonts w:ascii="Arial" w:hAnsi="Arial" w:cs="Arial"/>
        </w:rPr>
      </w:pPr>
      <w:r>
        <w:rPr>
          <w:rFonts w:ascii="Arial" w:hAnsi="Arial" w:cs="Arial"/>
        </w:rPr>
        <w:t>producenti a spotrebitelia miestnych výrobkov a služieb,</w:t>
      </w:r>
    </w:p>
    <w:p>
      <w:pPr>
        <w:pStyle w:val="Odsekzoznamu"/>
        <w:numPr>
          <w:ilvl w:val="0"/>
          <w:numId w:val="2"/>
        </w:numPr>
        <w:jc w:val="both"/>
        <w:rPr>
          <w:rFonts w:ascii="Arial" w:hAnsi="Arial" w:cs="Arial"/>
        </w:rPr>
      </w:pPr>
      <w:r>
        <w:rPr>
          <w:rFonts w:ascii="Arial" w:hAnsi="Arial" w:cs="Arial"/>
        </w:rPr>
        <w:t>miestni podnikatelia.</w:t>
      </w:r>
    </w:p>
    <w:p>
      <w:pPr>
        <w:jc w:val="both"/>
        <w:rPr>
          <w:rFonts w:ascii="Arial" w:hAnsi="Arial" w:cs="Arial"/>
        </w:rPr>
      </w:pPr>
      <w:r>
        <w:rPr>
          <w:rFonts w:ascii="Arial" w:hAnsi="Arial" w:cs="Arial"/>
        </w:rPr>
        <w:t>Cieľové územie:</w:t>
      </w:r>
    </w:p>
    <w:p>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pPr>
        <w:pStyle w:val="Nadpis6"/>
        <w:rPr>
          <w:rFonts w:ascii="Arial" w:hAnsi="Arial" w:cs="Arial"/>
        </w:rPr>
      </w:pPr>
      <w:bookmarkStart w:id="132" w:name="_Toc387651864"/>
      <w:r>
        <w:rPr>
          <w:rFonts w:ascii="Arial" w:hAnsi="Arial" w:cs="Arial"/>
        </w:rPr>
        <w:t>2.5.1.2. Hlavné zásady výberu operácií</w:t>
      </w:r>
      <w:bookmarkEnd w:id="132"/>
    </w:p>
    <w:p>
      <w:pPr>
        <w:spacing w:after="0" w:line="240" w:lineRule="auto"/>
        <w:jc w:val="both"/>
        <w:rPr>
          <w:rFonts w:ascii="Arial" w:hAnsi="Arial" w:cs="Arial"/>
          <w:color w:val="FF0000"/>
        </w:rPr>
      </w:pPr>
    </w:p>
    <w:p>
      <w:pPr>
        <w:spacing w:after="0"/>
        <w:jc w:val="both"/>
        <w:rPr>
          <w:rFonts w:ascii="Arial" w:hAnsi="Arial" w:cs="Arial"/>
        </w:rPr>
      </w:pPr>
      <w:r>
        <w:rPr>
          <w:rFonts w:ascii="Arial" w:hAnsi="Arial" w:cs="Arial"/>
        </w:rPr>
        <w:t>Pre efektívne dosiahnutie čo najväčšieho príspevku operácií/projektov k naplneniu špecifického cieľa 5.1.1 a dosiahnutie stanovených výsledkov navrhované operácie/projekty rešpektujú princípy – kritéria pre výber MAS, ktoré sú definované v kapitole 4 Integrovaný prístup k územnému rozvoju a budú podrobnejšie uvedené v metodickej príručke.</w:t>
      </w:r>
    </w:p>
    <w:p>
      <w:pPr>
        <w:spacing w:after="0"/>
        <w:jc w:val="both"/>
        <w:rPr>
          <w:rFonts w:ascii="Arial" w:hAnsi="Arial" w:cs="Arial"/>
        </w:rPr>
      </w:pPr>
    </w:p>
    <w:p>
      <w:pPr>
        <w:spacing w:after="0"/>
        <w:jc w:val="both"/>
        <w:rPr>
          <w:rFonts w:ascii="Arial" w:hAnsi="Arial" w:cs="Arial"/>
        </w:rPr>
      </w:pPr>
      <w:r>
        <w:rPr>
          <w:rFonts w:ascii="Arial" w:hAnsi="Arial" w:cs="Arial"/>
        </w:rPr>
        <w:t xml:space="preserve">Maximálna výška verejnej podpory na jeden projekt v rámci špecifického cieľa 5.1.2 a 5.1.3 je 70 000 EUR z celkových oprávnených výdavkov na projekt. Pri určitých typoch investícií môže byť uvedená suma príspevku v niektorých odôvodnených prípadoch vyššia, pričom zdôvodnenie bude súčasťou stratégie CLLD a bude vychádzať z analýz. V rámci špecifického cieľa 5.1.2 a 5.1.3 sa môžu realizovať projekty so zreteľom na sociálnu inklúziu vrátane </w:t>
      </w:r>
      <w:proofErr w:type="spellStart"/>
      <w:r>
        <w:rPr>
          <w:rFonts w:ascii="Arial" w:hAnsi="Arial" w:cs="Arial"/>
        </w:rPr>
        <w:t>marginalizovaných</w:t>
      </w:r>
      <w:proofErr w:type="spellEnd"/>
      <w:r>
        <w:rPr>
          <w:rFonts w:ascii="Arial" w:hAnsi="Arial" w:cs="Arial"/>
        </w:rPr>
        <w:t xml:space="preserve"> rómskych komunít.</w:t>
      </w:r>
    </w:p>
    <w:p>
      <w:pPr>
        <w:spacing w:after="0"/>
        <w:jc w:val="both"/>
        <w:rPr>
          <w:rFonts w:ascii="Arial" w:hAnsi="Arial" w:cs="Arial"/>
        </w:rPr>
      </w:pPr>
    </w:p>
    <w:p>
      <w:pPr>
        <w:spacing w:after="0"/>
        <w:jc w:val="both"/>
        <w:rPr>
          <w:rFonts w:ascii="Arial" w:hAnsi="Arial" w:cs="Arial"/>
        </w:rPr>
      </w:pPr>
      <w:r>
        <w:rPr>
          <w:rFonts w:ascii="Arial" w:hAnsi="Arial" w:cs="Arial"/>
        </w:rPr>
        <w:t>Pre efektívne dosiahnutie čo najväčšieho príspevku operácií/projektov k naplneniu špecifického cieľa 5.1.2 a dosiahnutie stanovených výsledkov by navrhované operácie/projekty mali rešpektovať nasledovné princípy:</w:t>
      </w:r>
    </w:p>
    <w:p>
      <w:pPr>
        <w:pStyle w:val="Odsekzoznamu"/>
        <w:numPr>
          <w:ilvl w:val="0"/>
          <w:numId w:val="2"/>
        </w:numPr>
        <w:spacing w:after="0"/>
        <w:jc w:val="both"/>
        <w:rPr>
          <w:rFonts w:ascii="Arial" w:hAnsi="Arial" w:cs="Arial"/>
        </w:rPr>
      </w:pPr>
      <w:r>
        <w:rPr>
          <w:rFonts w:ascii="Arial" w:hAnsi="Arial" w:cs="Arial"/>
        </w:rPr>
        <w:t>Projekt uplatňuje zásadu „znečisťovateľ platí“.</w:t>
      </w:r>
    </w:p>
    <w:p>
      <w:pPr>
        <w:spacing w:after="0" w:line="240" w:lineRule="auto"/>
        <w:jc w:val="both"/>
        <w:rPr>
          <w:rFonts w:ascii="Arial" w:hAnsi="Arial" w:cs="Arial"/>
        </w:rPr>
      </w:pPr>
    </w:p>
    <w:p>
      <w:pPr>
        <w:spacing w:after="0"/>
        <w:jc w:val="both"/>
        <w:rPr>
          <w:rFonts w:ascii="Arial" w:hAnsi="Arial" w:cs="Arial"/>
        </w:rPr>
      </w:pPr>
      <w:r>
        <w:rPr>
          <w:rFonts w:ascii="Arial" w:hAnsi="Arial" w:cs="Arial"/>
        </w:rPr>
        <w:lastRenderedPageBreak/>
        <w:t>Pre efektívne dosiahnutie čo najväčšieho príspevku operácií/projektov k naplneniu špecifického cieľa 5.1.3 a dosiahnutie stanovených výsledkov navrhované operácie/projekty rešpektujú nasledovné princípy:</w:t>
      </w:r>
    </w:p>
    <w:p>
      <w:pPr>
        <w:pStyle w:val="Odsekzoznamu"/>
        <w:numPr>
          <w:ilvl w:val="0"/>
          <w:numId w:val="2"/>
        </w:numPr>
        <w:spacing w:after="0"/>
        <w:jc w:val="both"/>
        <w:rPr>
          <w:rFonts w:ascii="Arial" w:hAnsi="Arial" w:cs="Arial"/>
        </w:rPr>
      </w:pPr>
      <w:r>
        <w:rPr>
          <w:rFonts w:ascii="Arial" w:hAnsi="Arial" w:cs="Arial"/>
        </w:rPr>
        <w:t>Projekt uplatňuje zásadu „znečisťovateľ platí“.</w:t>
      </w:r>
    </w:p>
    <w:p>
      <w:pPr>
        <w:spacing w:after="0" w:line="240" w:lineRule="auto"/>
        <w:jc w:val="both"/>
        <w:rPr>
          <w:rFonts w:ascii="Arial" w:hAnsi="Arial" w:cs="Arial"/>
        </w:rPr>
      </w:pPr>
    </w:p>
    <w:p>
      <w:pPr>
        <w:pStyle w:val="Nadpis6"/>
        <w:rPr>
          <w:rFonts w:ascii="Arial" w:hAnsi="Arial" w:cs="Arial"/>
        </w:rPr>
      </w:pPr>
      <w:bookmarkStart w:id="133" w:name="_Toc387651865"/>
      <w:r>
        <w:rPr>
          <w:rFonts w:ascii="Arial" w:hAnsi="Arial" w:cs="Arial"/>
        </w:rPr>
        <w:t>2.5.1.3. Plánované využitie finančných nástrojov</w:t>
      </w:r>
      <w:bookmarkEnd w:id="133"/>
    </w:p>
    <w:p>
      <w:pPr>
        <w:jc w:val="both"/>
        <w:rPr>
          <w:rFonts w:ascii="Arial" w:hAnsi="Arial" w:cs="Arial"/>
        </w:rPr>
      </w:pPr>
      <w:r>
        <w:rPr>
          <w:rFonts w:ascii="Arial" w:hAnsi="Arial" w:cs="Arial"/>
        </w:rPr>
        <w:t>N/A</w:t>
      </w:r>
    </w:p>
    <w:p>
      <w:pPr>
        <w:pStyle w:val="Nadpis6"/>
        <w:rPr>
          <w:rFonts w:ascii="Arial" w:hAnsi="Arial" w:cs="Arial"/>
        </w:rPr>
      </w:pPr>
      <w:bookmarkStart w:id="134" w:name="_Toc387651866"/>
      <w:r>
        <w:rPr>
          <w:rFonts w:ascii="Arial" w:hAnsi="Arial" w:cs="Arial"/>
        </w:rPr>
        <w:t>2.5.1.4. Plánované využitie veľkých projektov</w:t>
      </w:r>
      <w:bookmarkEnd w:id="134"/>
    </w:p>
    <w:p>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pPr>
        <w:pStyle w:val="Nadpis6"/>
        <w:rPr>
          <w:rFonts w:ascii="Arial" w:hAnsi="Arial" w:cs="Arial"/>
        </w:rPr>
      </w:pPr>
      <w:bookmarkStart w:id="135" w:name="_Toc387651867"/>
      <w:r>
        <w:rPr>
          <w:rFonts w:ascii="Arial" w:hAnsi="Arial" w:cs="Arial"/>
        </w:rPr>
        <w:t>2.5.1.5. Ukazovatele výstupov podľa investičnej priority a ak je to vhodné, podľa kategórie regiónu</w:t>
      </w:r>
      <w:bookmarkEnd w:id="135"/>
      <w:r>
        <w:rPr>
          <w:rFonts w:ascii="Arial" w:hAnsi="Arial" w:cs="Arial"/>
        </w:rPr>
        <w:t xml:space="preserve"> </w:t>
      </w:r>
    </w:p>
    <w:p>
      <w:pPr>
        <w:spacing w:before="240"/>
        <w:jc w:val="both"/>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83"/>
        <w:gridCol w:w="1727"/>
        <w:gridCol w:w="1303"/>
        <w:gridCol w:w="934"/>
        <w:gridCol w:w="1006"/>
        <w:gridCol w:w="567"/>
        <w:gridCol w:w="567"/>
        <w:gridCol w:w="992"/>
        <w:gridCol w:w="756"/>
        <w:gridCol w:w="1053"/>
      </w:tblGrid>
      <w:tr>
        <w:tc>
          <w:tcPr>
            <w:tcW w:w="3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2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3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0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56"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c>
          <w:tcPr>
            <w:tcW w:w="38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30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934"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006"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M</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M+Ž</w:t>
            </w:r>
          </w:p>
        </w:tc>
        <w:tc>
          <w:tcPr>
            <w:tcW w:w="756"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podnikov</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300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podporených podnikov</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7</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100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3</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Podnik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1</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Služba/prvok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2 300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Služba/prvok</w:t>
            </w:r>
          </w:p>
        </w:tc>
        <w:tc>
          <w:tcPr>
            <w:tcW w:w="9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EFRR</w:t>
            </w:r>
          </w:p>
        </w:tc>
        <w:tc>
          <w:tcPr>
            <w:tcW w:w="1006" w:type="dxa"/>
            <w:tcBorders>
              <w:top w:val="single" w:sz="8" w:space="0" w:color="4E67C8"/>
              <w:left w:val="single" w:sz="8" w:space="0" w:color="4E67C8"/>
              <w:bottom w:val="single" w:sz="8" w:space="0" w:color="4E67C8"/>
              <w:right w:val="single" w:sz="8" w:space="0" w:color="4E67C8"/>
            </w:tcBorders>
            <w:shd w:val="clear" w:color="auto" w:fill="auto"/>
          </w:tcPr>
          <w:p>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tcPr>
          <w:p>
            <w:pPr>
              <w:spacing w:after="0" w:line="240" w:lineRule="auto"/>
              <w:rPr>
                <w:rFonts w:ascii="Arial" w:hAnsi="Arial" w:cs="Arial"/>
                <w:sz w:val="16"/>
                <w:szCs w:val="16"/>
              </w:rPr>
            </w:pPr>
            <w:r>
              <w:rPr>
                <w:rFonts w:ascii="Arial" w:hAnsi="Arial"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hAnsi="Arial" w:cs="Arial"/>
                <w:sz w:val="16"/>
                <w:szCs w:val="16"/>
              </w:rPr>
              <w:t>20</w:t>
            </w:r>
          </w:p>
        </w:tc>
        <w:tc>
          <w:tcPr>
            <w:tcW w:w="75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pBdr>
          <w:bottom w:val="single" w:sz="12" w:space="1" w:color="auto"/>
        </w:pBdr>
        <w:rPr>
          <w:rFonts w:ascii="Arial" w:hAnsi="Arial" w:cs="Arial"/>
        </w:rPr>
      </w:pPr>
    </w:p>
    <w:p>
      <w:pPr>
        <w:jc w:val="both"/>
        <w:rPr>
          <w:rFonts w:ascii="Arial" w:hAnsi="Arial" w:cs="Arial"/>
        </w:rPr>
      </w:pPr>
    </w:p>
    <w:p>
      <w:pPr>
        <w:jc w:val="both"/>
        <w:rPr>
          <w:rFonts w:ascii="Arial" w:hAnsi="Arial" w:cs="Arial"/>
        </w:rPr>
      </w:pPr>
    </w:p>
    <w:p>
      <w:pPr>
        <w:pStyle w:val="Nadpis5"/>
        <w:shd w:val="clear" w:color="auto" w:fill="B8C1E9"/>
        <w:rPr>
          <w:rFonts w:ascii="Arial" w:hAnsi="Arial" w:cs="Arial"/>
        </w:rPr>
      </w:pPr>
      <w:bookmarkStart w:id="136" w:name="_Toc387651868"/>
      <w:r>
        <w:rPr>
          <w:rFonts w:ascii="Arial" w:hAnsi="Arial" w:cs="Arial"/>
        </w:rPr>
        <w:lastRenderedPageBreak/>
        <w:t>Výkonnostný rámec</w:t>
      </w:r>
      <w:bookmarkEnd w:id="136"/>
    </w:p>
    <w:p>
      <w:pPr>
        <w:rPr>
          <w:rFonts w:ascii="Arial" w:hAnsi="Arial" w:cs="Arial"/>
        </w:rPr>
      </w:pPr>
    </w:p>
    <w:p>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1054"/>
        <w:gridCol w:w="283"/>
        <w:gridCol w:w="222"/>
        <w:gridCol w:w="930"/>
        <w:gridCol w:w="629"/>
        <w:gridCol w:w="992"/>
      </w:tblGrid>
      <w:tr>
        <w:trPr>
          <w:trHeight w:val="646"/>
        </w:trPr>
        <w:tc>
          <w:tcPr>
            <w:tcW w:w="727"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pPr>
              <w:spacing w:after="0" w:line="240" w:lineRule="auto"/>
              <w:rPr>
                <w:rFonts w:ascii="Arial" w:eastAsia="Times New Roman" w:hAnsi="Arial" w:cs="Arial"/>
                <w:b/>
                <w:bCs/>
                <w:sz w:val="14"/>
                <w:szCs w:val="14"/>
              </w:rPr>
            </w:pPr>
          </w:p>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proofErr w:type="spellStart"/>
            <w:r>
              <w:rPr>
                <w:rFonts w:ascii="Arial" w:eastAsia="Times New Roman" w:hAnsi="Arial" w:cs="Arial"/>
                <w:b/>
                <w:bCs/>
                <w:sz w:val="14"/>
                <w:szCs w:val="14"/>
              </w:rPr>
              <w:t>implementa-čný</w:t>
            </w:r>
            <w:proofErr w:type="spellEnd"/>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35"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trPr>
          <w:trHeight w:val="818"/>
        </w:trPr>
        <w:tc>
          <w:tcPr>
            <w:tcW w:w="727"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05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roofErr w:type="spellStart"/>
            <w:r>
              <w:rPr>
                <w:rFonts w:ascii="Arial" w:eastAsia="Times New Roman" w:hAnsi="Arial" w:cs="Arial"/>
                <w:b/>
                <w:bCs/>
                <w:sz w:val="14"/>
                <w:szCs w:val="14"/>
              </w:rPr>
              <w:t>MaŽ</w:t>
            </w:r>
            <w:proofErr w:type="spellEnd"/>
          </w:p>
        </w:tc>
        <w:tc>
          <w:tcPr>
            <w:tcW w:w="62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25 938 000</w:t>
            </w:r>
          </w:p>
        </w:tc>
        <w:tc>
          <w:tcPr>
            <w:tcW w:w="283"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99 000 </w:t>
            </w:r>
            <w:proofErr w:type="spellStart"/>
            <w:r>
              <w:rPr>
                <w:rFonts w:ascii="Arial" w:hAnsi="Arial" w:cs="Arial"/>
                <w:sz w:val="14"/>
                <w:szCs w:val="14"/>
              </w:rPr>
              <w:t>000</w:t>
            </w:r>
            <w:proofErr w:type="spellEnd"/>
          </w:p>
        </w:tc>
        <w:tc>
          <w:tcPr>
            <w:tcW w:w="629"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Certifikovaná suma oprávnených výdavkov po ich certifikácii zo strany certifikačného orgánu</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262 000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 xml:space="preserve">1 000 </w:t>
            </w:r>
            <w:proofErr w:type="spellStart"/>
            <w:r>
              <w:rPr>
                <w:rFonts w:ascii="Arial" w:hAnsi="Arial" w:cs="Arial"/>
                <w:sz w:val="14"/>
                <w:szCs w:val="14"/>
              </w:rPr>
              <w:t>000</w:t>
            </w:r>
            <w:proofErr w:type="spellEnd"/>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podporených podnikov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Podnik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35</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300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podporených podnikov</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Podnik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nových služieb a prvkov verejnej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Služba/ prvok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700</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2 300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r>
        <w:tc>
          <w:tcPr>
            <w:tcW w:w="72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Počet nových služieb a prvkov verejnej infraštruktúry</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Služba/ prvok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7</w:t>
            </w:r>
          </w:p>
        </w:tc>
        <w:tc>
          <w:tcPr>
            <w:tcW w:w="283"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20</w:t>
            </w:r>
          </w:p>
        </w:tc>
        <w:tc>
          <w:tcPr>
            <w:tcW w:w="629" w:type="dxa"/>
            <w:tcBorders>
              <w:left w:val="single" w:sz="8" w:space="0" w:color="4E67C8"/>
              <w:right w:val="single" w:sz="8" w:space="0" w:color="4E67C8"/>
            </w:tcBorders>
            <w:shd w:val="clear" w:color="auto" w:fill="auto"/>
          </w:tcPr>
          <w:p>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4"/>
                <w:szCs w:val="14"/>
              </w:rPr>
            </w:pPr>
          </w:p>
        </w:tc>
      </w:tr>
    </w:tbl>
    <w:p>
      <w:pPr>
        <w:rPr>
          <w:rStyle w:val="Zvraznenie"/>
          <w:rFonts w:ascii="Arial" w:hAnsi="Arial" w:cs="Arial"/>
        </w:rPr>
      </w:pPr>
    </w:p>
    <w:p>
      <w:pPr>
        <w:pStyle w:val="Nadpis5"/>
        <w:shd w:val="clear" w:color="auto" w:fill="B8C1E9"/>
        <w:rPr>
          <w:rFonts w:ascii="Arial" w:hAnsi="Arial" w:cs="Arial"/>
        </w:rPr>
      </w:pPr>
      <w:bookmarkStart w:id="137" w:name="_Toc387651869"/>
      <w:r>
        <w:rPr>
          <w:rFonts w:ascii="Arial" w:hAnsi="Arial" w:cs="Arial"/>
        </w:rPr>
        <w:t>Kategórie intervencie</w:t>
      </w:r>
      <w:bookmarkEnd w:id="137"/>
    </w:p>
    <w:p>
      <w:pPr>
        <w:spacing w:before="120"/>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99 000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99 000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p>
      <w:pPr>
        <w:rPr>
          <w:rStyle w:val="Zvraznenie"/>
          <w:rFonts w:ascii="Arial" w:hAnsi="Arial" w:cs="Arial"/>
        </w:rPr>
      </w:pPr>
    </w:p>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lastRenderedPageBreak/>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2 000 </w:t>
            </w:r>
            <w:proofErr w:type="spellStart"/>
            <w:r>
              <w:rPr>
                <w:rFonts w:ascii="Arial" w:eastAsia="Times New Roman" w:hAnsi="Arial" w:cs="Arial"/>
                <w:bCs/>
                <w:iCs/>
                <w:sz w:val="16"/>
                <w:szCs w:val="16"/>
              </w:rPr>
              <w:t>000</w:t>
            </w:r>
            <w:proofErr w:type="spellEnd"/>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33 000 </w:t>
            </w:r>
            <w:proofErr w:type="spellStart"/>
            <w:r>
              <w:rPr>
                <w:rFonts w:ascii="Arial" w:eastAsia="Times New Roman" w:hAnsi="Arial" w:cs="Arial"/>
                <w:bCs/>
                <w:iCs/>
                <w:sz w:val="16"/>
                <w:szCs w:val="16"/>
              </w:rPr>
              <w:t>000</w:t>
            </w:r>
            <w:proofErr w:type="spellEnd"/>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64 000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99 000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Rozmer 4 – Územné mechanizmy realizácie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1 000 </w:t>
            </w:r>
            <w:proofErr w:type="spellStart"/>
            <w:r>
              <w:rPr>
                <w:rFonts w:ascii="Arial" w:eastAsia="Times New Roman" w:hAnsi="Arial" w:cs="Arial"/>
                <w:bCs/>
                <w:iCs/>
                <w:sz w:val="16"/>
                <w:szCs w:val="16"/>
              </w:rPr>
              <w:t>000</w:t>
            </w:r>
            <w:proofErr w:type="spellEnd"/>
          </w:p>
        </w:tc>
      </w:tr>
    </w:tbl>
    <w:p>
      <w:pPr>
        <w:rPr>
          <w:rFonts w:ascii="Arial" w:hAnsi="Arial" w:cs="Arial"/>
          <w:i/>
          <w:color w:val="4EACF3"/>
        </w:rPr>
      </w:pPr>
    </w:p>
    <w:p>
      <w:pPr>
        <w:pStyle w:val="Nadpis5"/>
        <w:shd w:val="clear" w:color="auto" w:fill="B8C1E9"/>
        <w:rPr>
          <w:rFonts w:ascii="Arial" w:hAnsi="Arial" w:cs="Arial"/>
        </w:rPr>
      </w:pPr>
      <w:bookmarkStart w:id="138" w:name="_Toc387651870"/>
      <w:r>
        <w:rPr>
          <w:rFonts w:ascii="Arial" w:hAnsi="Arial" w:cs="Arial"/>
        </w:rPr>
        <w:t>Súhrn plánovaného využitia technickej pomoci vrátane, ak je to vhodné, akcií na posilnenie administratívnej spôsobilosti orgánov zapojených do riadenia a kontroly programu a príjemcov</w:t>
      </w:r>
      <w:bookmarkEnd w:id="138"/>
      <w:r>
        <w:rPr>
          <w:rFonts w:ascii="Arial" w:hAnsi="Arial" w:cs="Arial"/>
        </w:rPr>
        <w:t xml:space="preserve">  </w:t>
      </w:r>
    </w:p>
    <w:p>
      <w:pPr>
        <w:rPr>
          <w:rFonts w:ascii="Arial" w:hAnsi="Arial" w:cs="Arial"/>
        </w:rPr>
      </w:pPr>
    </w:p>
    <w:p>
      <w:pPr>
        <w:spacing w:after="0" w:line="240" w:lineRule="auto"/>
        <w:jc w:val="both"/>
        <w:rPr>
          <w:rFonts w:ascii="Arial" w:hAnsi="Arial" w:cs="Arial"/>
          <w:color w:val="000000"/>
          <w:lang w:eastAsia="sk-SK"/>
        </w:rPr>
      </w:pPr>
      <w:r>
        <w:rPr>
          <w:rFonts w:ascii="Arial" w:hAnsi="Arial" w:cs="Arial"/>
          <w:color w:val="000000"/>
          <w:lang w:eastAsia="sk-SK"/>
        </w:rPr>
        <w:t>N/A</w:t>
      </w:r>
    </w:p>
    <w:p>
      <w:pPr>
        <w:pStyle w:val="Nadpis3"/>
        <w:shd w:val="clear" w:color="auto" w:fill="21306A"/>
        <w:rPr>
          <w:rFonts w:ascii="Arial" w:hAnsi="Arial" w:cs="Arial"/>
          <w:color w:val="FFFFFF"/>
          <w:sz w:val="28"/>
          <w:szCs w:val="28"/>
        </w:rPr>
        <w:sectPr>
          <w:pgSz w:w="11906" w:h="16838"/>
          <w:pgMar w:top="1417" w:right="1417" w:bottom="1417" w:left="1417" w:header="708" w:footer="708" w:gutter="0"/>
          <w:cols w:space="708"/>
          <w:docGrid w:linePitch="360"/>
        </w:sectPr>
      </w:pPr>
    </w:p>
    <w:p>
      <w:pPr>
        <w:pStyle w:val="Nadpis3"/>
        <w:shd w:val="clear" w:color="auto" w:fill="21306A"/>
        <w:rPr>
          <w:rFonts w:ascii="Arial" w:hAnsi="Arial" w:cs="Arial"/>
          <w:color w:val="FFFFFF"/>
          <w:sz w:val="28"/>
          <w:szCs w:val="28"/>
        </w:rPr>
      </w:pPr>
      <w:bookmarkStart w:id="139" w:name="_Toc387651871"/>
      <w:r>
        <w:rPr>
          <w:rFonts w:ascii="Arial" w:hAnsi="Arial" w:cs="Arial"/>
          <w:color w:val="FFFFFF"/>
          <w:sz w:val="28"/>
          <w:szCs w:val="28"/>
        </w:rPr>
        <w:lastRenderedPageBreak/>
        <w:t>2.6. Prioritná os č. 6: Technická pomoc</w:t>
      </w:r>
      <w:bookmarkEnd w:id="139"/>
    </w:p>
    <w:p>
      <w:pPr>
        <w:spacing w:before="120"/>
        <w:jc w:val="both"/>
        <w:rPr>
          <w:rFonts w:ascii="Arial" w:hAnsi="Arial" w:cs="Arial"/>
        </w:rPr>
      </w:pPr>
      <w:r>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Pr>
          <w:rFonts w:ascii="Arial" w:hAnsi="Arial" w:cs="Arial"/>
        </w:rPr>
        <w:br/>
        <w:t xml:space="preserve">č. 1303/2013. Vzhľadom  na </w:t>
      </w:r>
      <w:proofErr w:type="spellStart"/>
      <w:r>
        <w:rPr>
          <w:rFonts w:ascii="Arial" w:hAnsi="Arial" w:cs="Arial"/>
        </w:rPr>
        <w:t>multicieľový</w:t>
      </w:r>
      <w:proofErr w:type="spellEnd"/>
      <w:r>
        <w:rPr>
          <w:rFonts w:ascii="Arial" w:hAnsi="Arial" w:cs="Arial"/>
        </w:rPr>
        <w:t xml:space="preserve">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w:t>
      </w:r>
    </w:p>
    <w:tbl>
      <w:tblPr>
        <w:tblStyle w:val="Svetlmriekazvraznenie111"/>
        <w:tblW w:w="0" w:type="auto"/>
        <w:tblLook w:val="04A0" w:firstRow="1" w:lastRow="0" w:firstColumn="1" w:lastColumn="0" w:noHBand="0" w:noVBand="1"/>
      </w:tblPr>
      <w:tblGrid>
        <w:gridCol w:w="4606"/>
        <w:gridCol w:w="46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pPr>
              <w:rPr>
                <w:rFonts w:ascii="Arial" w:hAnsi="Arial" w:cs="Arial"/>
                <w:sz w:val="20"/>
                <w:szCs w:val="20"/>
              </w:rPr>
            </w:pPr>
            <w:r>
              <w:rPr>
                <w:rFonts w:ascii="Arial" w:hAnsi="Arial" w:cs="Arial"/>
                <w:sz w:val="20"/>
                <w:szCs w:val="20"/>
              </w:rPr>
              <w:t>ID prioritnej osi</w:t>
            </w:r>
          </w:p>
        </w:tc>
        <w:tc>
          <w:tcPr>
            <w:tcW w:w="4606"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pPr>
              <w:rPr>
                <w:rFonts w:ascii="Arial" w:hAnsi="Arial" w:cs="Arial"/>
                <w:sz w:val="20"/>
                <w:szCs w:val="20"/>
              </w:rPr>
            </w:pPr>
            <w:r>
              <w:rPr>
                <w:rFonts w:ascii="Arial" w:hAnsi="Arial" w:cs="Arial"/>
                <w:sz w:val="20"/>
                <w:szCs w:val="20"/>
              </w:rPr>
              <w:t>Názov prioritnej osi</w:t>
            </w:r>
          </w:p>
        </w:tc>
        <w:tc>
          <w:tcPr>
            <w:tcW w:w="4606"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pPr>
        <w:jc w:val="both"/>
        <w:rPr>
          <w:rFonts w:ascii="Arial" w:hAnsi="Arial" w:cs="Arial"/>
          <w:sz w:val="20"/>
          <w:szCs w:val="20"/>
        </w:rPr>
      </w:pPr>
    </w:p>
    <w:p>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Fond</w:t>
            </w:r>
          </w:p>
        </w:tc>
        <w:tc>
          <w:tcPr>
            <w:tcW w:w="4556" w:type="dxa"/>
          </w:tcPr>
          <w:p>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pPr>
              <w:spacing w:after="0"/>
              <w:rPr>
                <w:rFonts w:ascii="Arial" w:hAnsi="Arial" w:cs="Arial"/>
                <w:sz w:val="20"/>
                <w:szCs w:val="20"/>
              </w:rPr>
            </w:pPr>
            <w:r>
              <w:rPr>
                <w:rFonts w:ascii="Arial" w:hAnsi="Arial" w:cs="Arial"/>
                <w:sz w:val="20"/>
                <w:szCs w:val="20"/>
              </w:rPr>
              <w:t>Základ pre výpočet (celkový príspevok)</w:t>
            </w:r>
          </w:p>
        </w:tc>
        <w:tc>
          <w:tcPr>
            <w:tcW w:w="4556" w:type="dxa"/>
          </w:tcPr>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67 302 910</w:t>
            </w:r>
          </w:p>
          <w:p>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5 585 056</w:t>
            </w:r>
          </w:p>
        </w:tc>
      </w:tr>
    </w:tbl>
    <w:p>
      <w:pPr>
        <w:spacing w:before="120"/>
        <w:jc w:val="both"/>
        <w:rPr>
          <w:rFonts w:ascii="Arial" w:hAnsi="Arial" w:cs="Arial"/>
        </w:rPr>
      </w:pPr>
    </w:p>
    <w:p>
      <w:pPr>
        <w:spacing w:before="120"/>
        <w:rPr>
          <w:rFonts w:ascii="Arial" w:hAnsi="Arial" w:cs="Arial"/>
          <w:b/>
          <w:i/>
        </w:rPr>
      </w:pPr>
      <w:r>
        <w:rPr>
          <w:rFonts w:ascii="Arial" w:hAnsi="Arial" w:cs="Arial"/>
          <w:b/>
        </w:rPr>
        <w:t>Špecifický cieľ č. 6.1:</w:t>
      </w:r>
    </w:p>
    <w:p>
      <w:pPr>
        <w:shd w:val="clear" w:color="auto" w:fill="D9D9D9"/>
        <w:jc w:val="both"/>
        <w:rPr>
          <w:rStyle w:val="Zvraznenie"/>
          <w:rFonts w:ascii="Arial" w:hAnsi="Arial" w:cs="Arial"/>
          <w:i w:val="0"/>
        </w:rPr>
      </w:pPr>
      <w:r>
        <w:rPr>
          <w:rStyle w:val="Zvraznenie"/>
          <w:rFonts w:ascii="Arial" w:hAnsi="Arial" w:cs="Arial"/>
        </w:rPr>
        <w:t>Zabezpečenie efektívneho riadenia a implementácie IROP</w:t>
      </w:r>
    </w:p>
    <w:p>
      <w:pPr>
        <w:jc w:val="both"/>
        <w:rPr>
          <w:rFonts w:ascii="Arial" w:hAnsi="Arial" w:cs="Arial"/>
        </w:rPr>
      </w:pPr>
      <w:r>
        <w:rPr>
          <w:rFonts w:ascii="Arial" w:hAnsi="Arial" w:cs="Arial"/>
        </w:rPr>
        <w:t xml:space="preserve">Cieľom prioritnej osi Technická pomoc (ďalej iba „TP“) je zabezpečenie riadneho a plynulého procesu riadenia, prípravy, implementácie, monitorovania, hodnotenia, finančného riadenia, publicity, kontroly a auditu IROP. </w:t>
      </w:r>
    </w:p>
    <w:p>
      <w:pPr>
        <w:jc w:val="both"/>
        <w:rPr>
          <w:rFonts w:ascii="Arial" w:hAnsi="Arial" w:cs="Arial"/>
        </w:rPr>
      </w:pPr>
      <w:r>
        <w:rPr>
          <w:rFonts w:ascii="Arial" w:hAnsi="Arial" w:cs="Arial"/>
        </w:rPr>
        <w:t xml:space="preserve">Účelom opatrení realizovaných prostredníctvom TP je podpora implementačných štruktúr (RO, SO/RO, platobnej jednotky, orgánov kontroly a auditu a odborného garanta v oblasti udržateľného mestského rozvoja) a ich administratívnych kapacít (ďalej iba „AK“). Dôraz  sa kladie najmä na skvalitňovanie AP, ktoré sú pre realizáciu IROP kľúčové. Prostriedky TP sú určené aj na prípravu projektov, publicitu a informovanosť, výmenu skúseností, materiálno-technické zabezpečenie a pod. Dôležitú úlohu zohráva zároveň zabezpečenie štruktúr na výkon monitorovania, kontroly a auditu s ohľadom na ochranu finančných záujmov EÚ. </w:t>
      </w:r>
    </w:p>
    <w:p>
      <w:pPr>
        <w:jc w:val="both"/>
        <w:rPr>
          <w:rFonts w:ascii="Arial" w:hAnsi="Arial" w:cs="Arial"/>
        </w:rPr>
      </w:pPr>
      <w:r>
        <w:rPr>
          <w:rFonts w:ascii="Arial" w:hAnsi="Arial" w:cs="Arial"/>
        </w:rPr>
        <w:t>Splnenie definovaných cieľov a dosiahnutie požadovaných výsledkov prispeje k efektívnejšiemu čerpaniu alokovaných prostriedkov v rámci IROP.</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b/>
        </w:rPr>
      </w:pPr>
      <w:r>
        <w:rPr>
          <w:rFonts w:ascii="Arial" w:hAnsi="Arial" w:cs="Arial"/>
          <w:b/>
          <w:szCs w:val="24"/>
        </w:rPr>
        <w:lastRenderedPageBreak/>
        <w:t>Výsledok podpory IROP:</w:t>
      </w:r>
    </w:p>
    <w:p>
      <w:pPr>
        <w:pStyle w:val="Odsekzoznamu"/>
        <w:numPr>
          <w:ilvl w:val="3"/>
          <w:numId w:val="6"/>
        </w:numPr>
        <w:ind w:left="567"/>
        <w:jc w:val="both"/>
        <w:rPr>
          <w:rFonts w:ascii="Arial" w:hAnsi="Arial" w:cs="Arial"/>
          <w:b/>
          <w:i/>
        </w:rPr>
      </w:pPr>
      <w:r>
        <w:rPr>
          <w:rFonts w:ascii="Arial" w:hAnsi="Arial" w:cs="Arial"/>
          <w:b/>
          <w:i/>
        </w:rPr>
        <w:t>Podpora administratívnych kapacít, vzdelávanie a zvyšovanie odbornosti zamestnancov</w:t>
      </w:r>
    </w:p>
    <w:p>
      <w:pPr>
        <w:numPr>
          <w:ilvl w:val="0"/>
          <w:numId w:val="14"/>
        </w:numPr>
        <w:spacing w:after="0"/>
        <w:ind w:left="426" w:hanging="426"/>
        <w:jc w:val="both"/>
        <w:rPr>
          <w:rFonts w:ascii="Arial" w:hAnsi="Arial" w:cs="Arial"/>
        </w:rPr>
      </w:pPr>
      <w:r>
        <w:rPr>
          <w:rFonts w:ascii="Arial" w:hAnsi="Arial" w:cs="Arial"/>
        </w:rPr>
        <w:t>stabilné AK;</w:t>
      </w:r>
    </w:p>
    <w:p>
      <w:pPr>
        <w:numPr>
          <w:ilvl w:val="0"/>
          <w:numId w:val="14"/>
        </w:numPr>
        <w:spacing w:after="0"/>
        <w:ind w:left="426" w:hanging="426"/>
        <w:jc w:val="both"/>
        <w:rPr>
          <w:rFonts w:ascii="Arial" w:hAnsi="Arial" w:cs="Arial"/>
        </w:rPr>
      </w:pPr>
      <w:r>
        <w:rPr>
          <w:rFonts w:ascii="Arial" w:hAnsi="Arial" w:cs="Arial"/>
        </w:rPr>
        <w:t>kvalifikovaní, vyškolení a priebežne vzdelávaní zamestnanci, zvyšujúci si kvalifikáciu potrebnú pre skvalitňovanie a zvyšovanie odbornosti svojej práce s odborným potenciálom pre kvalitný manažment a proces implementácie OP;</w:t>
      </w:r>
    </w:p>
    <w:p>
      <w:pPr>
        <w:numPr>
          <w:ilvl w:val="0"/>
          <w:numId w:val="14"/>
        </w:numPr>
        <w:spacing w:after="0" w:line="240" w:lineRule="auto"/>
        <w:ind w:left="426" w:hanging="426"/>
        <w:jc w:val="both"/>
        <w:rPr>
          <w:rFonts w:ascii="Arial" w:hAnsi="Arial" w:cs="Arial"/>
        </w:rPr>
      </w:pPr>
      <w:r>
        <w:rPr>
          <w:rFonts w:ascii="Arial" w:hAnsi="Arial" w:cs="Arial"/>
        </w:rPr>
        <w:t xml:space="preserve">zabezpečenie tematicky príbuzného OP pre ďalšie programové obdobie. </w:t>
      </w:r>
    </w:p>
    <w:p>
      <w:pPr>
        <w:rPr>
          <w:rFonts w:ascii="Arial" w:hAnsi="Arial" w:cs="Arial"/>
          <w:szCs w:val="24"/>
        </w:rPr>
      </w:pPr>
    </w:p>
    <w:p>
      <w:pPr>
        <w:pStyle w:val="Odsekzoznamu"/>
        <w:numPr>
          <w:ilvl w:val="3"/>
          <w:numId w:val="6"/>
        </w:numPr>
        <w:ind w:left="567"/>
        <w:jc w:val="both"/>
        <w:rPr>
          <w:rFonts w:ascii="Arial" w:hAnsi="Arial" w:cs="Arial"/>
          <w:b/>
          <w:i/>
        </w:rPr>
      </w:pPr>
      <w:r>
        <w:rPr>
          <w:rFonts w:ascii="Arial" w:hAnsi="Arial" w:cs="Arial"/>
          <w:b/>
          <w:i/>
        </w:rPr>
        <w:t>Materiálno–technické, priestorové a prevádzkové zabezpečenie a jeho modernizácia</w:t>
      </w:r>
    </w:p>
    <w:p>
      <w:pPr>
        <w:numPr>
          <w:ilvl w:val="0"/>
          <w:numId w:val="16"/>
        </w:numPr>
        <w:spacing w:after="0"/>
        <w:ind w:left="426" w:hanging="426"/>
        <w:jc w:val="both"/>
        <w:rPr>
          <w:rFonts w:ascii="Arial" w:hAnsi="Arial" w:cs="Arial"/>
        </w:rPr>
      </w:pPr>
      <w:r>
        <w:rPr>
          <w:rFonts w:ascii="Arial" w:hAnsi="Arial" w:cs="Arial"/>
        </w:rPr>
        <w:t>implementačné štruktúry zabezpečené modernými materiálno–technickými, priestorovými a prevádzkovými podmienkami;</w:t>
      </w:r>
    </w:p>
    <w:p>
      <w:pPr>
        <w:numPr>
          <w:ilvl w:val="0"/>
          <w:numId w:val="16"/>
        </w:numPr>
        <w:spacing w:after="0"/>
        <w:ind w:left="426" w:hanging="426"/>
        <w:jc w:val="both"/>
        <w:rPr>
          <w:rFonts w:ascii="Arial" w:hAnsi="Arial" w:cs="Arial"/>
        </w:rPr>
      </w:pPr>
      <w:r>
        <w:rPr>
          <w:rFonts w:ascii="Arial" w:hAnsi="Arial" w:cs="Arial"/>
        </w:rPr>
        <w:t>vybavenie IKT vrátane potrebného hardvéru, softvéru, prevádzkovej podpory a licencií;</w:t>
      </w:r>
    </w:p>
    <w:p>
      <w:pPr>
        <w:numPr>
          <w:ilvl w:val="0"/>
          <w:numId w:val="16"/>
        </w:numPr>
        <w:spacing w:after="0" w:line="240" w:lineRule="auto"/>
        <w:ind w:left="426" w:hanging="426"/>
        <w:jc w:val="both"/>
        <w:rPr>
          <w:rFonts w:ascii="Arial" w:hAnsi="Arial" w:cs="Arial"/>
        </w:rPr>
      </w:pPr>
      <w:r>
        <w:rPr>
          <w:rFonts w:ascii="Arial" w:hAnsi="Arial" w:cs="Arial"/>
        </w:rPr>
        <w:t>IT systémy vrátane ich kompletného zabezpečenia, ako aj elektronického vybavenia a licencií;</w:t>
      </w:r>
    </w:p>
    <w:p>
      <w:pPr>
        <w:numPr>
          <w:ilvl w:val="0"/>
          <w:numId w:val="16"/>
        </w:numPr>
        <w:spacing w:after="0"/>
        <w:ind w:left="426" w:hanging="426"/>
        <w:jc w:val="both"/>
        <w:rPr>
          <w:rFonts w:ascii="Arial" w:hAnsi="Arial" w:cs="Arial"/>
        </w:rPr>
      </w:pPr>
      <w:r>
        <w:rPr>
          <w:rFonts w:ascii="Arial" w:hAnsi="Arial" w:cs="Arial"/>
        </w:rPr>
        <w:t>zabezpečenie prevádzky, údržby a režijných aktivít súvisiacich s realizáciou OP.</w:t>
      </w:r>
    </w:p>
    <w:p>
      <w:pPr>
        <w:spacing w:after="0"/>
        <w:rPr>
          <w:rFonts w:ascii="Arial" w:hAnsi="Arial" w:cs="Arial"/>
          <w:b/>
        </w:rPr>
      </w:pPr>
    </w:p>
    <w:p>
      <w:pPr>
        <w:pStyle w:val="Odsekzoznamu"/>
        <w:numPr>
          <w:ilvl w:val="3"/>
          <w:numId w:val="6"/>
        </w:numPr>
        <w:ind w:left="567"/>
        <w:jc w:val="both"/>
        <w:rPr>
          <w:rFonts w:ascii="Arial" w:hAnsi="Arial" w:cs="Arial"/>
          <w:b/>
          <w:i/>
        </w:rPr>
      </w:pPr>
      <w:r>
        <w:rPr>
          <w:rFonts w:ascii="Arial" w:hAnsi="Arial" w:cs="Arial"/>
          <w:b/>
          <w:i/>
        </w:rPr>
        <w:t xml:space="preserve">Zabezpečenie procesov programovania, riadenia, implementácie, hodnotenia a finančného riadenia </w:t>
      </w:r>
    </w:p>
    <w:p>
      <w:pPr>
        <w:numPr>
          <w:ilvl w:val="0"/>
          <w:numId w:val="15"/>
        </w:numPr>
        <w:spacing w:after="0"/>
        <w:ind w:left="426" w:hanging="426"/>
        <w:jc w:val="both"/>
        <w:rPr>
          <w:rFonts w:ascii="Arial" w:hAnsi="Arial" w:cs="Arial"/>
        </w:rPr>
      </w:pPr>
      <w:r>
        <w:rPr>
          <w:rFonts w:ascii="Arial" w:hAnsi="Arial" w:cs="Arial"/>
        </w:rPr>
        <w:t>zabezpečenie procesov vo vzťahu k príprave, riadeniu, implementácii, monitorovaniu, hodnoteniu a kontrole RIÚS;</w:t>
      </w:r>
    </w:p>
    <w:p>
      <w:pPr>
        <w:numPr>
          <w:ilvl w:val="0"/>
          <w:numId w:val="15"/>
        </w:numPr>
        <w:spacing w:after="0"/>
        <w:ind w:left="426" w:hanging="426"/>
        <w:jc w:val="both"/>
        <w:rPr>
          <w:rFonts w:ascii="Arial" w:hAnsi="Arial" w:cs="Arial"/>
        </w:rPr>
      </w:pPr>
      <w:r>
        <w:rPr>
          <w:rFonts w:ascii="Arial" w:hAnsi="Arial" w:cs="Arial"/>
        </w:rPr>
        <w:t>zabezpečenie externých expertných služieb pre plynulú realizáciu OP (prostredníctvom štúdií, analýz, monitoringu a </w:t>
      </w:r>
      <w:proofErr w:type="spellStart"/>
      <w:r>
        <w:rPr>
          <w:rFonts w:ascii="Arial" w:hAnsi="Arial" w:cs="Arial"/>
        </w:rPr>
        <w:t>outsourcingu</w:t>
      </w:r>
      <w:proofErr w:type="spellEnd"/>
      <w:r>
        <w:rPr>
          <w:rFonts w:ascii="Arial" w:hAnsi="Arial" w:cs="Arial"/>
        </w:rPr>
        <w:t>);</w:t>
      </w:r>
    </w:p>
    <w:p>
      <w:pPr>
        <w:numPr>
          <w:ilvl w:val="0"/>
          <w:numId w:val="15"/>
        </w:numPr>
        <w:spacing w:after="0"/>
        <w:ind w:left="426" w:hanging="426"/>
        <w:jc w:val="both"/>
        <w:rPr>
          <w:rFonts w:ascii="Arial" w:hAnsi="Arial" w:cs="Arial"/>
        </w:rPr>
      </w:pPr>
      <w:r>
        <w:rPr>
          <w:rFonts w:ascii="Arial" w:hAnsi="Arial" w:cs="Arial"/>
        </w:rPr>
        <w:t>kvalitne pripravené strategické a metodické dokumenty;</w:t>
      </w:r>
    </w:p>
    <w:p>
      <w:pPr>
        <w:numPr>
          <w:ilvl w:val="0"/>
          <w:numId w:val="15"/>
        </w:numPr>
        <w:spacing w:after="0"/>
        <w:ind w:left="426" w:hanging="426"/>
        <w:jc w:val="both"/>
        <w:rPr>
          <w:rFonts w:ascii="Arial" w:hAnsi="Arial" w:cs="Arial"/>
        </w:rPr>
      </w:pPr>
      <w:r>
        <w:rPr>
          <w:rFonts w:ascii="Arial" w:hAnsi="Arial" w:cs="Arial"/>
        </w:rPr>
        <w:t>vykonanie odborného a právneho poradenstva na relevantnej úrovni;</w:t>
      </w:r>
    </w:p>
    <w:p>
      <w:pPr>
        <w:numPr>
          <w:ilvl w:val="0"/>
          <w:numId w:val="15"/>
        </w:numPr>
        <w:spacing w:after="0"/>
        <w:ind w:left="426" w:hanging="426"/>
        <w:jc w:val="both"/>
        <w:rPr>
          <w:rFonts w:ascii="Arial" w:hAnsi="Arial" w:cs="Arial"/>
        </w:rPr>
      </w:pPr>
      <w:r>
        <w:rPr>
          <w:rFonts w:ascii="Arial" w:hAnsi="Arial" w:cs="Arial"/>
        </w:rPr>
        <w:t>vypracovanie a realizácia všetkých náležitých procesov a dokumentov súvisiacich s prípravou nového programového obdobia.</w:t>
      </w:r>
    </w:p>
    <w:p>
      <w:pPr>
        <w:pStyle w:val="Odsekzoznamu"/>
        <w:ind w:left="567"/>
        <w:jc w:val="both"/>
        <w:rPr>
          <w:rFonts w:ascii="Arial" w:hAnsi="Arial" w:cs="Arial"/>
          <w:b/>
          <w:i/>
        </w:rPr>
      </w:pPr>
    </w:p>
    <w:p>
      <w:pPr>
        <w:pStyle w:val="Odsekzoznamu"/>
        <w:numPr>
          <w:ilvl w:val="3"/>
          <w:numId w:val="6"/>
        </w:numPr>
        <w:ind w:left="567"/>
        <w:jc w:val="both"/>
        <w:rPr>
          <w:rFonts w:ascii="Arial" w:hAnsi="Arial" w:cs="Arial"/>
          <w:b/>
          <w:i/>
        </w:rPr>
      </w:pPr>
      <w:r>
        <w:rPr>
          <w:rFonts w:ascii="Arial" w:hAnsi="Arial" w:cs="Arial"/>
          <w:b/>
          <w:i/>
        </w:rPr>
        <w:t xml:space="preserve">Zabezpečenie monitorovania, kontroly a auditu </w:t>
      </w:r>
    </w:p>
    <w:p>
      <w:pPr>
        <w:numPr>
          <w:ilvl w:val="0"/>
          <w:numId w:val="18"/>
        </w:numPr>
        <w:spacing w:after="0"/>
        <w:ind w:left="426" w:hanging="426"/>
        <w:jc w:val="both"/>
        <w:rPr>
          <w:rFonts w:ascii="Arial" w:hAnsi="Arial" w:cs="Arial"/>
        </w:rPr>
      </w:pPr>
      <w:r>
        <w:rPr>
          <w:rFonts w:ascii="Arial" w:hAnsi="Arial" w:cs="Arial"/>
        </w:rPr>
        <w:t>zabezpečenie aktivít súvisiacich so zavedením a koordináciou účinných systémov kontroly a auditu;</w:t>
      </w:r>
    </w:p>
    <w:p>
      <w:pPr>
        <w:numPr>
          <w:ilvl w:val="0"/>
          <w:numId w:val="18"/>
        </w:numPr>
        <w:spacing w:after="0"/>
        <w:ind w:left="426" w:hanging="426"/>
        <w:jc w:val="both"/>
        <w:rPr>
          <w:rFonts w:ascii="Arial" w:hAnsi="Arial" w:cs="Arial"/>
        </w:rPr>
      </w:pPr>
      <w:r>
        <w:rPr>
          <w:rFonts w:ascii="Arial" w:hAnsi="Arial" w:cs="Arial"/>
        </w:rPr>
        <w:t xml:space="preserve">zabezpečenie aktivít súvisiacich s nezrovnalosťami, monitorovaním, kontrolou a auditom; </w:t>
      </w:r>
    </w:p>
    <w:p>
      <w:pPr>
        <w:numPr>
          <w:ilvl w:val="0"/>
          <w:numId w:val="18"/>
        </w:numPr>
        <w:spacing w:after="0"/>
        <w:ind w:left="426" w:hanging="426"/>
        <w:jc w:val="both"/>
        <w:rPr>
          <w:rFonts w:ascii="Arial" w:hAnsi="Arial" w:cs="Arial"/>
        </w:rPr>
      </w:pPr>
      <w:r>
        <w:rPr>
          <w:rFonts w:ascii="Arial" w:hAnsi="Arial" w:cs="Arial"/>
        </w:rPr>
        <w:t>zabezpečenie bezproblémovej práce komisií, výborov, pracovných skupín a výkonu ich kompetencií;</w:t>
      </w:r>
    </w:p>
    <w:p>
      <w:pPr>
        <w:pStyle w:val="Odsekzoznamu"/>
        <w:ind w:left="567"/>
        <w:jc w:val="both"/>
        <w:rPr>
          <w:rFonts w:ascii="Arial" w:hAnsi="Arial" w:cs="Arial"/>
          <w:b/>
          <w:i/>
        </w:rPr>
      </w:pPr>
    </w:p>
    <w:p>
      <w:pPr>
        <w:pStyle w:val="Odsekzoznamu"/>
        <w:numPr>
          <w:ilvl w:val="3"/>
          <w:numId w:val="6"/>
        </w:numPr>
        <w:ind w:left="567"/>
        <w:jc w:val="both"/>
        <w:rPr>
          <w:rFonts w:ascii="Arial" w:hAnsi="Arial" w:cs="Arial"/>
          <w:b/>
          <w:i/>
        </w:rPr>
      </w:pPr>
      <w:r>
        <w:rPr>
          <w:rFonts w:ascii="Arial" w:hAnsi="Arial" w:cs="Arial"/>
          <w:b/>
          <w:i/>
        </w:rPr>
        <w:t>Zabezpečenie informovania a publicity</w:t>
      </w:r>
    </w:p>
    <w:p>
      <w:pPr>
        <w:numPr>
          <w:ilvl w:val="0"/>
          <w:numId w:val="17"/>
        </w:numPr>
        <w:spacing w:after="0"/>
        <w:ind w:left="426" w:hanging="426"/>
        <w:jc w:val="both"/>
        <w:rPr>
          <w:rFonts w:ascii="Arial" w:hAnsi="Arial" w:cs="Arial"/>
        </w:rPr>
      </w:pPr>
      <w:r>
        <w:rPr>
          <w:rFonts w:ascii="Arial" w:hAnsi="Arial" w:cs="Arial"/>
        </w:rPr>
        <w:t xml:space="preserve">zabezpečenie informovania a publicity; </w:t>
      </w:r>
    </w:p>
    <w:p>
      <w:pPr>
        <w:numPr>
          <w:ilvl w:val="0"/>
          <w:numId w:val="17"/>
        </w:numPr>
        <w:spacing w:after="0"/>
        <w:ind w:left="426" w:hanging="426"/>
        <w:jc w:val="both"/>
        <w:rPr>
          <w:rFonts w:ascii="Arial" w:hAnsi="Arial" w:cs="Arial"/>
        </w:rPr>
      </w:pPr>
      <w:r>
        <w:rPr>
          <w:rFonts w:ascii="Arial" w:hAnsi="Arial" w:cs="Arial"/>
        </w:rPr>
        <w:t>vytvorenie funkčných kontaktných miest;</w:t>
      </w:r>
    </w:p>
    <w:p>
      <w:pPr>
        <w:numPr>
          <w:ilvl w:val="0"/>
          <w:numId w:val="17"/>
        </w:numPr>
        <w:spacing w:after="0" w:line="240" w:lineRule="auto"/>
        <w:ind w:left="426" w:hanging="426"/>
        <w:jc w:val="both"/>
        <w:rPr>
          <w:rFonts w:ascii="Arial" w:hAnsi="Arial" w:cs="Arial"/>
        </w:rPr>
      </w:pPr>
      <w:r>
        <w:rPr>
          <w:rFonts w:ascii="Arial" w:hAnsi="Arial" w:cs="Arial"/>
        </w:rPr>
        <w:t>zvýšenie absorpčnej schopnosti žiadateľov.</w:t>
      </w:r>
    </w:p>
    <w:p>
      <w:pPr>
        <w:rPr>
          <w:rFonts w:ascii="Arial" w:hAnsi="Arial" w:cs="Arial"/>
        </w:rPr>
      </w:pPr>
    </w:p>
    <w:p>
      <w:pPr>
        <w:rPr>
          <w:rFonts w:ascii="Arial" w:hAnsi="Arial" w:cs="Arial"/>
        </w:rPr>
      </w:pPr>
    </w:p>
    <w:p>
      <w:pPr>
        <w:spacing w:before="120"/>
        <w:rPr>
          <w:rFonts w:ascii="Arial" w:hAnsi="Arial" w:cs="Arial"/>
        </w:rPr>
      </w:pPr>
      <w:r>
        <w:rPr>
          <w:rStyle w:val="Siln"/>
          <w:rFonts w:ascii="Arial" w:hAnsi="Arial" w:cs="Arial"/>
        </w:rPr>
        <w:lastRenderedPageBreak/>
        <w:t>Tabuľka č. 40</w:t>
      </w:r>
      <w:r>
        <w:rPr>
          <w:rStyle w:val="Zvraznenie"/>
          <w:rFonts w:ascii="Arial" w:hAnsi="Arial" w:cs="Arial"/>
        </w:rPr>
        <w:t xml:space="preserve"> Výsledkové ukazovatele pre špecifický cieľ č. 6.1.</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425"/>
        <w:gridCol w:w="426"/>
        <w:gridCol w:w="425"/>
        <w:gridCol w:w="850"/>
        <w:gridCol w:w="567"/>
        <w:gridCol w:w="426"/>
        <w:gridCol w:w="1275"/>
        <w:gridCol w:w="851"/>
        <w:gridCol w:w="850"/>
      </w:tblGrid>
      <w:tr>
        <w:trPr>
          <w:trHeight w:val="278"/>
        </w:trPr>
        <w:tc>
          <w:tcPr>
            <w:tcW w:w="3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276" w:type="dxa"/>
            <w:gridSpan w:val="3"/>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85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85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trPr>
          <w:trHeight w:val="277"/>
        </w:trPr>
        <w:tc>
          <w:tcPr>
            <w:tcW w:w="3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425"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425" w:type="dxa"/>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Ročná 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12</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Vybavenosť administratívnych kapacít modernými materiálno–technickými, priestorovými a prevádzkovými podmienkami</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5"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100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Certifikovaná suma oprávnených výdavkov IROP po ich certifikácii zo strany certifikačného orgánu</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5"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1 814 490 415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r>
        <w:tc>
          <w:tcPr>
            <w:tcW w:w="3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Miera informovanosti o možnostiach podpory z IROP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2014</w:t>
            </w:r>
          </w:p>
        </w:tc>
        <w:tc>
          <w:tcPr>
            <w:tcW w:w="56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426"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1275"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50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 (prieskum)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ročne</w:t>
            </w:r>
          </w:p>
        </w:tc>
      </w:tr>
    </w:tbl>
    <w:p>
      <w:pPr>
        <w:rPr>
          <w:rFonts w:ascii="Arial" w:hAnsi="Arial" w:cs="Arial"/>
          <w:sz w:val="20"/>
          <w:szCs w:val="20"/>
        </w:rPr>
      </w:pPr>
    </w:p>
    <w:p>
      <w:pPr>
        <w:pStyle w:val="Nadpis5"/>
        <w:shd w:val="clear" w:color="auto" w:fill="B8C1E9"/>
        <w:rPr>
          <w:rFonts w:ascii="Arial" w:hAnsi="Arial" w:cs="Arial"/>
        </w:rPr>
      </w:pPr>
      <w:bookmarkStart w:id="140" w:name="_Toc387651872"/>
      <w:r>
        <w:rPr>
          <w:rFonts w:ascii="Arial" w:hAnsi="Arial" w:cs="Arial"/>
        </w:rPr>
        <w:t>Akcia, ktorá sa má podporiť a očakávaný príspevok k naplneniu špecifických cieľov</w:t>
      </w:r>
      <w:bookmarkEnd w:id="140"/>
      <w:r>
        <w:rPr>
          <w:rFonts w:ascii="Arial" w:hAnsi="Arial" w:cs="Arial"/>
        </w:rPr>
        <w:t xml:space="preserve"> </w:t>
      </w:r>
    </w:p>
    <w:p>
      <w:pPr>
        <w:pStyle w:val="Nadpis6"/>
        <w:rPr>
          <w:rFonts w:ascii="Arial" w:hAnsi="Arial" w:cs="Arial"/>
        </w:rPr>
      </w:pPr>
      <w:bookmarkStart w:id="141" w:name="_Toc387651873"/>
      <w:r>
        <w:rPr>
          <w:rFonts w:ascii="Arial" w:hAnsi="Arial" w:cs="Arial"/>
        </w:rPr>
        <w:t>2.6.1.1. Opis aktivít, ktoré majú byť podporené a ich očakávaný príspevok k naplneniu špecifických cieľov</w:t>
      </w:r>
      <w:bookmarkEnd w:id="141"/>
    </w:p>
    <w:p>
      <w:pPr>
        <w:pStyle w:val="Zoznamsodrkami"/>
        <w:numPr>
          <w:ilvl w:val="0"/>
          <w:numId w:val="0"/>
        </w:numPr>
        <w:tabs>
          <w:tab w:val="left" w:pos="708"/>
        </w:tabs>
        <w:spacing w:after="120" w:line="240" w:lineRule="auto"/>
        <w:ind w:left="720"/>
        <w:rPr>
          <w:rFonts w:ascii="Arial" w:hAnsi="Arial" w:cs="Arial"/>
          <w:sz w:val="22"/>
          <w:szCs w:val="22"/>
          <w:lang w:val="sk-SK"/>
        </w:rPr>
      </w:pPr>
    </w:p>
    <w:p>
      <w:pPr>
        <w:pStyle w:val="Odsekzoznamu"/>
        <w:numPr>
          <w:ilvl w:val="0"/>
          <w:numId w:val="22"/>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pPr>
        <w:numPr>
          <w:ilvl w:val="0"/>
          <w:numId w:val="19"/>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pPr>
        <w:numPr>
          <w:ilvl w:val="0"/>
          <w:numId w:val="19"/>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pPr>
        <w:numPr>
          <w:ilvl w:val="0"/>
          <w:numId w:val="19"/>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pPr>
        <w:spacing w:after="0" w:line="240" w:lineRule="auto"/>
        <w:ind w:left="426"/>
        <w:jc w:val="both"/>
        <w:rPr>
          <w:rFonts w:ascii="Arial" w:hAnsi="Arial" w:cs="Arial"/>
        </w:rPr>
      </w:pPr>
    </w:p>
    <w:p>
      <w:pPr>
        <w:pStyle w:val="Odsekzoznamu"/>
        <w:numPr>
          <w:ilvl w:val="0"/>
          <w:numId w:val="22"/>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pPr>
        <w:pStyle w:val="Odsekzoznamu"/>
        <w:numPr>
          <w:ilvl w:val="0"/>
          <w:numId w:val="20"/>
        </w:numPr>
        <w:spacing w:after="120"/>
        <w:ind w:left="425" w:hanging="425"/>
        <w:jc w:val="both"/>
        <w:rPr>
          <w:rFonts w:ascii="Arial" w:hAnsi="Arial" w:cs="Arial"/>
        </w:rPr>
      </w:pPr>
      <w:r>
        <w:rPr>
          <w:rFonts w:ascii="Arial" w:hAnsi="Arial" w:cs="Arial"/>
        </w:rPr>
        <w:t>Materiálno-technické, priestorové a prevádzkové zabezpečenie v rámci všetkých procesov týkajúcich sa realizácie OP;</w:t>
      </w:r>
    </w:p>
    <w:p>
      <w:pPr>
        <w:pStyle w:val="Odsekzoznamu"/>
        <w:numPr>
          <w:ilvl w:val="0"/>
          <w:numId w:val="20"/>
        </w:numPr>
        <w:ind w:left="426" w:hanging="426"/>
        <w:rPr>
          <w:rFonts w:ascii="Arial" w:hAnsi="Arial" w:cs="Arial"/>
        </w:rPr>
      </w:pPr>
      <w:r>
        <w:rPr>
          <w:rFonts w:ascii="Arial" w:hAnsi="Arial" w:cs="Arial"/>
        </w:rPr>
        <w:t>vybavenie IKT vrátane potrebného hardvéru, softvéru, prevádzkovej podpory a licencií;</w:t>
      </w:r>
    </w:p>
    <w:p>
      <w:pPr>
        <w:numPr>
          <w:ilvl w:val="0"/>
          <w:numId w:val="20"/>
        </w:numPr>
        <w:spacing w:after="120"/>
        <w:ind w:left="425" w:hanging="425"/>
        <w:jc w:val="both"/>
        <w:rPr>
          <w:rFonts w:ascii="Arial" w:hAnsi="Arial" w:cs="Arial"/>
        </w:rPr>
      </w:pPr>
      <w:r>
        <w:rPr>
          <w:rFonts w:ascii="Arial" w:hAnsi="Arial" w:cs="Arial"/>
        </w:rPr>
        <w:t>prevádzkové zabezpečenie (výdavky na prevádzku a údržbu a pod.) a režijné náklady.</w:t>
      </w:r>
    </w:p>
    <w:p>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a auditu IROP tak, aby vytvoril vhodné pracovné podmienky zamestnancov RO a SO/RO.</w:t>
      </w:r>
    </w:p>
    <w:p>
      <w:pPr>
        <w:pStyle w:val="Odsekzoznamu"/>
        <w:numPr>
          <w:ilvl w:val="0"/>
          <w:numId w:val="22"/>
        </w:numPr>
        <w:ind w:left="709" w:hanging="349"/>
        <w:jc w:val="both"/>
        <w:rPr>
          <w:rFonts w:ascii="Arial" w:hAnsi="Arial" w:cs="Arial"/>
          <w:b/>
        </w:rPr>
      </w:pPr>
      <w:r>
        <w:rPr>
          <w:rFonts w:ascii="Arial" w:hAnsi="Arial" w:cs="Arial"/>
          <w:b/>
        </w:rPr>
        <w:lastRenderedPageBreak/>
        <w:t>V rámci oblasti zabezpečenia podpory procesov programovania, riadenia, implementácie, hodnotenia a finančného riadenia sú uplatňované nasledovné skupiny aktivít:</w:t>
      </w:r>
    </w:p>
    <w:p>
      <w:pPr>
        <w:pStyle w:val="Odsekzoznamu"/>
        <w:jc w:val="both"/>
        <w:rPr>
          <w:rFonts w:ascii="Arial" w:hAnsi="Arial" w:cs="Arial"/>
          <w:b/>
        </w:rPr>
      </w:pPr>
    </w:p>
    <w:p>
      <w:pPr>
        <w:pStyle w:val="Odsekzoznamu"/>
        <w:numPr>
          <w:ilvl w:val="0"/>
          <w:numId w:val="21"/>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RIÚS;</w:t>
      </w:r>
    </w:p>
    <w:p>
      <w:pPr>
        <w:pStyle w:val="Odsekzoznamu"/>
        <w:numPr>
          <w:ilvl w:val="0"/>
          <w:numId w:val="21"/>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 auditom;</w:t>
      </w:r>
    </w:p>
    <w:p>
      <w:pPr>
        <w:numPr>
          <w:ilvl w:val="0"/>
          <w:numId w:val="21"/>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p>
    <w:p>
      <w:pPr>
        <w:numPr>
          <w:ilvl w:val="0"/>
          <w:numId w:val="21"/>
        </w:numPr>
        <w:spacing w:after="120"/>
        <w:ind w:left="425" w:hanging="425"/>
        <w:jc w:val="both"/>
        <w:rPr>
          <w:rFonts w:ascii="Arial" w:hAnsi="Arial" w:cs="Arial"/>
        </w:rPr>
      </w:pPr>
      <w:r>
        <w:rPr>
          <w:rFonts w:ascii="Arial" w:hAnsi="Arial" w:cs="Arial"/>
        </w:rPr>
        <w:t>zabezpečovanie odborného a právneho poradenstva;</w:t>
      </w:r>
    </w:p>
    <w:p>
      <w:pPr>
        <w:numPr>
          <w:ilvl w:val="0"/>
          <w:numId w:val="21"/>
        </w:numPr>
        <w:spacing w:after="120"/>
        <w:ind w:left="425" w:hanging="425"/>
        <w:jc w:val="both"/>
        <w:rPr>
          <w:rFonts w:ascii="Arial" w:hAnsi="Arial" w:cs="Arial"/>
        </w:rPr>
      </w:pPr>
      <w:r>
        <w:rPr>
          <w:rFonts w:ascii="Arial" w:hAnsi="Arial" w:cs="Arial"/>
        </w:rPr>
        <w:t>príprava ďalšieho programového obdobia.</w:t>
      </w:r>
    </w:p>
    <w:p>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pPr>
        <w:pStyle w:val="Odsekzoznamu"/>
        <w:numPr>
          <w:ilvl w:val="0"/>
          <w:numId w:val="22"/>
        </w:numPr>
        <w:jc w:val="both"/>
        <w:rPr>
          <w:rFonts w:ascii="Arial" w:hAnsi="Arial" w:cs="Arial"/>
          <w:b/>
          <w:i/>
        </w:rPr>
      </w:pPr>
      <w:r>
        <w:rPr>
          <w:rFonts w:ascii="Arial" w:hAnsi="Arial" w:cs="Arial"/>
          <w:b/>
          <w:i/>
        </w:rPr>
        <w:t>Zabezpečenie monitorovania, kontroly a auditu bude napĺňaný prostredníctvom nasledujúcich aktivít:</w:t>
      </w:r>
    </w:p>
    <w:p>
      <w:pPr>
        <w:numPr>
          <w:ilvl w:val="0"/>
          <w:numId w:val="23"/>
        </w:numPr>
        <w:spacing w:after="0"/>
        <w:ind w:left="426" w:hanging="426"/>
        <w:jc w:val="both"/>
        <w:rPr>
          <w:rFonts w:ascii="Arial" w:hAnsi="Arial" w:cs="Arial"/>
        </w:rPr>
      </w:pPr>
      <w:r>
        <w:rPr>
          <w:rFonts w:ascii="Arial" w:hAnsi="Arial" w:cs="Arial"/>
        </w:rPr>
        <w:t>organizácia a technická podpora rokovania pracovných skupín, komisií a výborov a aktivity súvisiace so zabezpečením výkonu ich kompetencií;</w:t>
      </w:r>
    </w:p>
    <w:p>
      <w:pPr>
        <w:numPr>
          <w:ilvl w:val="0"/>
          <w:numId w:val="23"/>
        </w:numPr>
        <w:spacing w:after="0" w:line="240" w:lineRule="auto"/>
        <w:ind w:left="426" w:hanging="426"/>
        <w:jc w:val="both"/>
        <w:rPr>
          <w:rFonts w:ascii="Arial" w:hAnsi="Arial" w:cs="Arial"/>
        </w:rPr>
      </w:pPr>
      <w:r>
        <w:rPr>
          <w:rFonts w:ascii="Arial" w:hAnsi="Arial" w:cs="Arial"/>
        </w:rPr>
        <w:t>aktivity súvisiace s monitorovaním a s výkonom kontroly a auditu.</w:t>
      </w:r>
    </w:p>
    <w:p>
      <w:pPr>
        <w:jc w:val="both"/>
        <w:rPr>
          <w:rFonts w:ascii="Arial" w:hAnsi="Arial" w:cs="Arial"/>
          <w:b/>
          <w:i/>
        </w:rPr>
      </w:pPr>
    </w:p>
    <w:p>
      <w:pPr>
        <w:pStyle w:val="Odsekzoznamu"/>
        <w:numPr>
          <w:ilvl w:val="0"/>
          <w:numId w:val="22"/>
        </w:numPr>
        <w:jc w:val="both"/>
        <w:rPr>
          <w:rFonts w:ascii="Arial" w:hAnsi="Arial" w:cs="Arial"/>
          <w:b/>
          <w:i/>
        </w:rPr>
      </w:pPr>
      <w:r>
        <w:rPr>
          <w:rFonts w:ascii="Arial" w:hAnsi="Arial" w:cs="Arial"/>
          <w:b/>
          <w:i/>
        </w:rPr>
        <w:t xml:space="preserve">Informovanosť a publicita budú zabezpečené nasledovnými aktivitami: </w:t>
      </w:r>
    </w:p>
    <w:p>
      <w:pPr>
        <w:numPr>
          <w:ilvl w:val="0"/>
          <w:numId w:val="24"/>
        </w:numPr>
        <w:spacing w:after="0"/>
        <w:ind w:left="426" w:hanging="426"/>
        <w:jc w:val="both"/>
        <w:rPr>
          <w:rFonts w:ascii="Arial" w:hAnsi="Arial" w:cs="Arial"/>
        </w:rPr>
      </w:pPr>
      <w:r>
        <w:rPr>
          <w:rFonts w:ascii="Arial" w:hAnsi="Arial" w:cs="Arial"/>
        </w:rPr>
        <w:t xml:space="preserve">informovanie, propagácia, publicita a výmena skúseností, </w:t>
      </w:r>
    </w:p>
    <w:p>
      <w:pPr>
        <w:numPr>
          <w:ilvl w:val="0"/>
          <w:numId w:val="24"/>
        </w:numPr>
        <w:spacing w:after="0"/>
        <w:ind w:left="426" w:hanging="426"/>
        <w:jc w:val="both"/>
        <w:rPr>
          <w:rFonts w:ascii="Arial" w:hAnsi="Arial" w:cs="Arial"/>
        </w:rPr>
      </w:pPr>
      <w:r>
        <w:rPr>
          <w:rFonts w:ascii="Arial" w:hAnsi="Arial" w:cs="Arial"/>
        </w:rPr>
        <w:t xml:space="preserve">vytváranie sietí kontaktných miest, </w:t>
      </w:r>
    </w:p>
    <w:p>
      <w:pPr>
        <w:numPr>
          <w:ilvl w:val="0"/>
          <w:numId w:val="24"/>
        </w:numPr>
        <w:spacing w:after="0"/>
        <w:ind w:left="426" w:hanging="426"/>
        <w:jc w:val="both"/>
        <w:rPr>
          <w:rFonts w:ascii="Arial" w:hAnsi="Arial" w:cs="Arial"/>
        </w:rPr>
      </w:pPr>
      <w:r>
        <w:rPr>
          <w:rFonts w:ascii="Arial" w:hAnsi="Arial" w:cs="Arial"/>
        </w:rPr>
        <w:t>aktivity súvisiace s prípravou a implementáciou komunikačného plánu,</w:t>
      </w:r>
    </w:p>
    <w:p>
      <w:pPr>
        <w:numPr>
          <w:ilvl w:val="0"/>
          <w:numId w:val="24"/>
        </w:numPr>
        <w:spacing w:after="120" w:line="240" w:lineRule="auto"/>
        <w:ind w:left="426" w:hanging="426"/>
        <w:jc w:val="both"/>
        <w:rPr>
          <w:rFonts w:ascii="Arial" w:hAnsi="Arial" w:cs="Arial"/>
        </w:rPr>
      </w:pPr>
      <w:r>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pPr>
        <w:jc w:val="both"/>
        <w:rPr>
          <w:rFonts w:ascii="Arial" w:hAnsi="Arial" w:cs="Arial"/>
        </w:rPr>
      </w:pPr>
      <w:r>
        <w:rPr>
          <w:rFonts w:ascii="Arial" w:hAnsi="Arial" w:cs="Arial"/>
        </w:rPr>
        <w:t>Prostredníctvom nástrojov v oblasti informovanosti a publicity zabezpečí RO propagáciu s cieľom zdôrazniť poslanie finančných nástrojov EÚ, posilňovanie absorpčnej schopnosti žiadateľov a transparentnosť poskytovania finančných prostriedkov EŠIF.</w:t>
      </w:r>
    </w:p>
    <w:p>
      <w:pPr>
        <w:pStyle w:val="Nadpis6"/>
        <w:rPr>
          <w:rFonts w:ascii="Arial" w:hAnsi="Arial" w:cs="Arial"/>
        </w:rPr>
      </w:pPr>
      <w:bookmarkStart w:id="142" w:name="_Toc387651874"/>
      <w:r>
        <w:rPr>
          <w:rFonts w:ascii="Arial" w:hAnsi="Arial" w:cs="Arial"/>
        </w:rPr>
        <w:t>2.6.1.2. Ukazovatele výstupu prispievajúce k výsledkom (podľa prioritnej osi)</w:t>
      </w:r>
      <w:bookmarkEnd w:id="142"/>
    </w:p>
    <w:p>
      <w:pPr>
        <w:spacing w:before="120"/>
        <w:rPr>
          <w:rFonts w:ascii="Arial" w:hAnsi="Arial" w:cs="Arial"/>
        </w:rPr>
      </w:pPr>
      <w:r>
        <w:rPr>
          <w:rStyle w:val="Siln"/>
          <w:rFonts w:ascii="Arial" w:hAnsi="Arial" w:cs="Arial"/>
        </w:rPr>
        <w:t>Tabuľka č. 41</w:t>
      </w:r>
      <w:r>
        <w:rPr>
          <w:rStyle w:val="Zvraznenie"/>
          <w:rFonts w:ascii="Arial" w:hAnsi="Arial" w:cs="Arial"/>
        </w:rPr>
        <w:t xml:space="preserve"> Ukazovatele výstupov pre prioritnú os </w:t>
      </w:r>
    </w:p>
    <w:tbl>
      <w:tblPr>
        <w:tblW w:w="81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0"/>
        <w:gridCol w:w="2746"/>
        <w:gridCol w:w="1373"/>
        <w:gridCol w:w="649"/>
        <w:gridCol w:w="669"/>
        <w:gridCol w:w="697"/>
        <w:gridCol w:w="1664"/>
      </w:tblGrid>
      <w:tr>
        <w:trPr>
          <w:trHeight w:val="128"/>
        </w:trPr>
        <w:tc>
          <w:tcPr>
            <w:tcW w:w="390"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ID</w:t>
            </w:r>
          </w:p>
        </w:tc>
        <w:tc>
          <w:tcPr>
            <w:tcW w:w="2746" w:type="dxa"/>
            <w:vMerge w:val="restart"/>
            <w:tcBorders>
              <w:top w:val="single" w:sz="8" w:space="0" w:color="4E67C8"/>
              <w:left w:val="single" w:sz="8" w:space="0" w:color="4E67C8"/>
              <w:right w:val="single" w:sz="8" w:space="0" w:color="4E67C8"/>
            </w:tcBorders>
            <w:shd w:val="clear" w:color="auto" w:fill="auto"/>
          </w:tcPr>
          <w:p>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37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Merná jednotka</w:t>
            </w:r>
          </w:p>
        </w:tc>
        <w:tc>
          <w:tcPr>
            <w:tcW w:w="2015"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Cieľová hodnota (2023)</w:t>
            </w:r>
          </w:p>
        </w:tc>
        <w:tc>
          <w:tcPr>
            <w:tcW w:w="166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Zdroj údajov</w:t>
            </w:r>
          </w:p>
        </w:tc>
      </w:tr>
      <w:tr>
        <w:trPr>
          <w:trHeight w:val="127"/>
        </w:trPr>
        <w:tc>
          <w:tcPr>
            <w:tcW w:w="390"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c>
          <w:tcPr>
            <w:tcW w:w="2746" w:type="dxa"/>
            <w:vMerge/>
            <w:tcBorders>
              <w:left w:val="single" w:sz="8" w:space="0" w:color="4E67C8"/>
              <w:bottom w:val="single" w:sz="18" w:space="0" w:color="4E67C8"/>
              <w:right w:val="single" w:sz="8" w:space="0" w:color="4E67C8"/>
            </w:tcBorders>
            <w:shd w:val="clear" w:color="auto" w:fill="auto"/>
          </w:tcPr>
          <w:p>
            <w:pPr>
              <w:tabs>
                <w:tab w:val="right" w:pos="2006"/>
              </w:tabs>
              <w:spacing w:after="0" w:line="240" w:lineRule="auto"/>
              <w:rPr>
                <w:rFonts w:ascii="Arial" w:hAnsi="Arial" w:cs="Arial"/>
                <w:b/>
                <w:sz w:val="16"/>
                <w:szCs w:val="16"/>
              </w:rPr>
            </w:pPr>
          </w:p>
        </w:tc>
        <w:tc>
          <w:tcPr>
            <w:tcW w:w="137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c>
          <w:tcPr>
            <w:tcW w:w="64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w:t>
            </w:r>
          </w:p>
        </w:tc>
        <w:tc>
          <w:tcPr>
            <w:tcW w:w="669"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Ž</w:t>
            </w:r>
          </w:p>
        </w:tc>
        <w:tc>
          <w:tcPr>
            <w:tcW w:w="69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r>
              <w:rPr>
                <w:rFonts w:ascii="Arial" w:hAnsi="Arial" w:cs="Arial"/>
                <w:b/>
                <w:sz w:val="16"/>
                <w:szCs w:val="16"/>
              </w:rPr>
              <w:t>M+Ž</w:t>
            </w:r>
          </w:p>
        </w:tc>
        <w:tc>
          <w:tcPr>
            <w:tcW w:w="166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hAnsi="Arial" w:cs="Arial"/>
                <w:b/>
                <w:sz w:val="16"/>
                <w:szCs w:val="16"/>
              </w:rPr>
            </w:pPr>
          </w:p>
        </w:tc>
      </w:tr>
      <w:tr>
        <w:trPr>
          <w:trHeight w:val="248"/>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spracovaných žiadostí o NFP RO/SORO pre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roofErr w:type="spellStart"/>
            <w:r>
              <w:rPr>
                <w:rFonts w:ascii="Arial" w:hAnsi="Arial" w:cs="Arial"/>
                <w:sz w:val="16"/>
                <w:szCs w:val="16"/>
              </w:rPr>
              <w:t>ŽoNFP</w:t>
            </w:r>
            <w:proofErr w:type="spellEnd"/>
          </w:p>
        </w:tc>
        <w:tc>
          <w:tcPr>
            <w:tcW w:w="64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3 000</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uzavretých zmlúv o poskytnutí NFP</w:t>
            </w:r>
          </w:p>
        </w:tc>
        <w:tc>
          <w:tcPr>
            <w:tcW w:w="137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proofErr w:type="spellStart"/>
            <w:r>
              <w:rPr>
                <w:rFonts w:ascii="Arial" w:hAnsi="Arial" w:cs="Arial"/>
                <w:sz w:val="16"/>
                <w:szCs w:val="16"/>
              </w:rPr>
              <w:t>ŽoNFP</w:t>
            </w:r>
            <w:proofErr w:type="spellEnd"/>
          </w:p>
        </w:tc>
        <w:tc>
          <w:tcPr>
            <w:tcW w:w="649"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2 300</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administratívnych kapacít  vybavených materiálno-technickým vybavením z TP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Osoba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350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administratívnych kapacít  vybavených IKT z TP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Osoba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350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Vzdelávacia aktivita</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100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zrealizovaných interných kontrol/auditov, monitorovaní</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Interná kontrola/audit, monitorovanie</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40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aktivít zameraných na informovanie verejnosti o IROP</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Aktivita informovanosti</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1000</w:t>
            </w:r>
          </w:p>
        </w:tc>
        <w:tc>
          <w:tcPr>
            <w:tcW w:w="166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RO, SORO</w:t>
            </w:r>
          </w:p>
        </w:tc>
      </w:tr>
      <w:tr>
        <w:trPr>
          <w:trHeight w:val="263"/>
        </w:trPr>
        <w:tc>
          <w:tcPr>
            <w:tcW w:w="390"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Cs/>
                <w:sz w:val="16"/>
                <w:szCs w:val="16"/>
              </w:rPr>
            </w:pPr>
          </w:p>
        </w:tc>
        <w:tc>
          <w:tcPr>
            <w:tcW w:w="274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Počet zrealizovaných RIÚS</w:t>
            </w:r>
          </w:p>
        </w:tc>
        <w:tc>
          <w:tcPr>
            <w:tcW w:w="137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RIÚS</w:t>
            </w:r>
          </w:p>
        </w:tc>
        <w:tc>
          <w:tcPr>
            <w:tcW w:w="64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69"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N/A</w:t>
            </w:r>
          </w:p>
        </w:tc>
        <w:tc>
          <w:tcPr>
            <w:tcW w:w="697" w:type="dxa"/>
            <w:tcBorders>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8</w:t>
            </w:r>
          </w:p>
        </w:tc>
        <w:tc>
          <w:tcPr>
            <w:tcW w:w="166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RO, SORO</w:t>
            </w:r>
          </w:p>
        </w:tc>
      </w:tr>
    </w:tbl>
    <w:p>
      <w:pPr>
        <w:spacing w:after="0" w:line="240" w:lineRule="auto"/>
        <w:rPr>
          <w:rFonts w:ascii="Arial" w:hAnsi="Arial" w:cs="Arial"/>
          <w:b/>
          <w:sz w:val="16"/>
          <w:szCs w:val="16"/>
        </w:rPr>
      </w:pPr>
    </w:p>
    <w:p>
      <w:pPr>
        <w:pStyle w:val="Nadpis5"/>
        <w:shd w:val="clear" w:color="auto" w:fill="B8C1E9"/>
        <w:rPr>
          <w:rFonts w:ascii="Arial" w:hAnsi="Arial" w:cs="Arial"/>
        </w:rPr>
      </w:pPr>
      <w:bookmarkStart w:id="143" w:name="_Toc387651875"/>
      <w:r>
        <w:rPr>
          <w:rFonts w:ascii="Arial" w:hAnsi="Arial" w:cs="Arial"/>
        </w:rPr>
        <w:t>Kategórie intervencie (podľa prioritných osí)</w:t>
      </w:r>
      <w:bookmarkEnd w:id="143"/>
    </w:p>
    <w:p>
      <w:pPr>
        <w:spacing w:before="120"/>
        <w:rPr>
          <w:rStyle w:val="Zvraznenie"/>
          <w:rFonts w:ascii="Arial" w:hAnsi="Arial" w:cs="Arial"/>
        </w:rPr>
      </w:pPr>
      <w:r>
        <w:rPr>
          <w:rStyle w:val="Siln"/>
          <w:rFonts w:ascii="Arial" w:hAnsi="Arial" w:cs="Arial"/>
        </w:rPr>
        <w:t>Tabuľka č. 42</w:t>
      </w:r>
      <w:r>
        <w:rPr>
          <w:rStyle w:val="Zvraznenie"/>
          <w:rFonts w:ascii="Arial" w:hAnsi="Arial" w:cs="Arial"/>
        </w:rPr>
        <w:t xml:space="preserve"> Kategórie intervencie</w:t>
      </w: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42 905 604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5 720 747</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8 581 121</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57 207 472</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57 207 472</w:t>
            </w:r>
          </w:p>
        </w:tc>
      </w:tr>
    </w:tbl>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1 – </w:t>
            </w:r>
            <w:r>
              <w:rPr>
                <w:rFonts w:ascii="Arial" w:hAnsi="Arial" w:cs="Arial"/>
                <w:sz w:val="16"/>
                <w:szCs w:val="16"/>
              </w:rPr>
              <w:t>Oblasť výdavkov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2 094 396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279 253</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418 879</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2 – </w:t>
            </w:r>
            <w:r>
              <w:rPr>
                <w:rFonts w:ascii="Arial" w:hAnsi="Arial" w:cs="Arial"/>
                <w:sz w:val="16"/>
                <w:szCs w:val="16"/>
              </w:rPr>
              <w:t>Forma financovania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2 792 528</w:t>
            </w:r>
          </w:p>
        </w:tc>
      </w:tr>
    </w:tbl>
    <w:p>
      <w:pPr>
        <w:rPr>
          <w:rStyle w:val="Zvraznenie"/>
          <w:rFonts w:ascii="Arial" w:hAnsi="Arial" w:cs="Arial"/>
        </w:rPr>
      </w:pPr>
    </w:p>
    <w:tbl>
      <w:tblPr>
        <w:tblStyle w:val="Svetlmriekazvraznenie111"/>
        <w:tblW w:w="0" w:type="auto"/>
        <w:tblLook w:val="04A0" w:firstRow="1" w:lastRow="0" w:firstColumn="1" w:lastColumn="0" w:noHBand="0" w:noVBand="1"/>
      </w:tblPr>
      <w:tblGrid>
        <w:gridCol w:w="1526"/>
        <w:gridCol w:w="851"/>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0" w:type="dxa"/>
            <w:gridSpan w:val="3"/>
          </w:tcPr>
          <w:p>
            <w:pPr>
              <w:tabs>
                <w:tab w:val="left" w:pos="2130"/>
                <w:tab w:val="center" w:pos="4536"/>
              </w:tabs>
              <w:spacing w:after="0" w:line="240" w:lineRule="auto"/>
              <w:rPr>
                <w:rFonts w:ascii="Arial" w:hAnsi="Arial" w:cs="Arial"/>
                <w:b w:val="0"/>
                <w:bCs w:val="0"/>
                <w:iCs/>
                <w:sz w:val="16"/>
                <w:szCs w:val="16"/>
              </w:rPr>
            </w:pPr>
            <w:r>
              <w:rPr>
                <w:rFonts w:ascii="Arial" w:hAnsi="Arial" w:cs="Arial"/>
                <w:bCs w:val="0"/>
                <w:sz w:val="16"/>
                <w:szCs w:val="16"/>
              </w:rPr>
              <w:t xml:space="preserve">Rozmer 3 – </w:t>
            </w:r>
            <w:r>
              <w:rPr>
                <w:rFonts w:ascii="Arial" w:hAnsi="Arial" w:cs="Arial"/>
                <w:sz w:val="16"/>
                <w:szCs w:val="16"/>
              </w:rPr>
              <w:t>Územie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694" w:type="dxa"/>
            <w:gridSpan w:val="2"/>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694" w:type="dxa"/>
            <w:gridSpan w:val="2"/>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851"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843" w:type="dxa"/>
            <w:shd w:val="clear" w:color="auto" w:fill="auto"/>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851"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43" w:type="dxa"/>
            <w:shd w:val="clear" w:color="auto" w:fill="auto"/>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2 792 528</w:t>
            </w:r>
          </w:p>
        </w:tc>
      </w:tr>
    </w:tbl>
    <w:p/>
    <w:p>
      <w:pPr>
        <w:pStyle w:val="Nadpis1"/>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pPr>
      <w:bookmarkStart w:id="144" w:name="_Toc387651876"/>
      <w:r>
        <w:rPr>
          <w:rFonts w:ascii="Arial" w:hAnsi="Arial" w:cs="Arial"/>
        </w:rPr>
        <w:lastRenderedPageBreak/>
        <w:t>3 Finančný plán Integrovaného regionálneho operačného programu</w:t>
      </w:r>
      <w:bookmarkEnd w:id="144"/>
    </w:p>
    <w:p>
      <w:pPr>
        <w:pStyle w:val="Nadpis2"/>
        <w:rPr>
          <w:rFonts w:ascii="Arial" w:hAnsi="Arial" w:cs="Arial"/>
        </w:rPr>
      </w:pPr>
      <w:bookmarkStart w:id="145" w:name="_Toc387651877"/>
      <w:r>
        <w:rPr>
          <w:rFonts w:ascii="Arial" w:hAnsi="Arial" w:cs="Arial"/>
        </w:rPr>
        <w:t>3.1 Tabuľka ročných záväzkov</w:t>
      </w:r>
      <w:bookmarkEnd w:id="145"/>
    </w:p>
    <w:p>
      <w:pPr>
        <w:spacing w:before="120"/>
        <w:rPr>
          <w:rStyle w:val="Siln"/>
          <w:rFonts w:ascii="Arial" w:hAnsi="Arial" w:cs="Arial"/>
        </w:rPr>
      </w:pPr>
      <w:r>
        <w:rPr>
          <w:rStyle w:val="Siln"/>
          <w:rFonts w:ascii="Arial" w:hAnsi="Arial" w:cs="Arial"/>
        </w:rPr>
        <w:t>Tabuľka č. 43</w:t>
      </w:r>
    </w:p>
    <w:tbl>
      <w:tblPr>
        <w:tblStyle w:val="Svetlmriekazvraznenie11"/>
        <w:tblW w:w="15168" w:type="dxa"/>
        <w:tblInd w:w="-1106" w:type="dxa"/>
        <w:tblLayout w:type="fixed"/>
        <w:tblCellMar>
          <w:left w:w="28" w:type="dxa"/>
          <w:right w:w="28" w:type="dxa"/>
        </w:tblCellMar>
        <w:tblLook w:val="04A0" w:firstRow="1" w:lastRow="0" w:firstColumn="1" w:lastColumn="0" w:noHBand="0" w:noVBand="1"/>
      </w:tblPr>
      <w:tblGrid>
        <w:gridCol w:w="283"/>
        <w:gridCol w:w="851"/>
        <w:gridCol w:w="851"/>
        <w:gridCol w:w="850"/>
        <w:gridCol w:w="709"/>
        <w:gridCol w:w="851"/>
        <w:gridCol w:w="850"/>
        <w:gridCol w:w="851"/>
        <w:gridCol w:w="708"/>
        <w:gridCol w:w="851"/>
        <w:gridCol w:w="850"/>
        <w:gridCol w:w="851"/>
        <w:gridCol w:w="850"/>
        <w:gridCol w:w="851"/>
        <w:gridCol w:w="709"/>
        <w:gridCol w:w="850"/>
        <w:gridCol w:w="709"/>
        <w:gridCol w:w="992"/>
        <w:gridCol w:w="851"/>
      </w:tblGrid>
      <w:tr>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83" w:type="dxa"/>
          </w:tcPr>
          <w:p>
            <w:pPr>
              <w:spacing w:before="120"/>
              <w:rPr>
                <w:rFonts w:ascii="Arial" w:hAnsi="Arial" w:cs="Arial"/>
                <w:b w:val="0"/>
                <w:sz w:val="14"/>
                <w:szCs w:val="14"/>
              </w:rPr>
            </w:pPr>
          </w:p>
        </w:tc>
        <w:tc>
          <w:tcPr>
            <w:tcW w:w="851" w:type="dxa"/>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Fond</w:t>
            </w:r>
          </w:p>
        </w:tc>
        <w:tc>
          <w:tcPr>
            <w:tcW w:w="851" w:type="dxa"/>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Kategória regiónu</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2014</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2015</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2016</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2017</w:t>
            </w:r>
          </w:p>
        </w:tc>
        <w:tc>
          <w:tcPr>
            <w:tcW w:w="1701"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2018</w:t>
            </w:r>
          </w:p>
        </w:tc>
        <w:tc>
          <w:tcPr>
            <w:tcW w:w="1560"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2019</w:t>
            </w:r>
          </w:p>
        </w:tc>
        <w:tc>
          <w:tcPr>
            <w:tcW w:w="1559"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2020</w:t>
            </w:r>
          </w:p>
        </w:tc>
        <w:tc>
          <w:tcPr>
            <w:tcW w:w="1843" w:type="dxa"/>
            <w:gridSpan w:val="2"/>
          </w:tcPr>
          <w:p>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Spolu</w:t>
            </w:r>
          </w:p>
        </w:tc>
      </w:tr>
      <w:tr>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8"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850"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709"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c>
          <w:tcPr>
            <w:tcW w:w="992"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Hlavná alokácia</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r>
              <w:rPr>
                <w:rFonts w:ascii="Arial" w:hAnsi="Arial" w:cs="Arial"/>
                <w:sz w:val="10"/>
                <w:szCs w:val="10"/>
              </w:rPr>
              <w:t>Výkonnostná rezerva</w:t>
            </w:r>
          </w:p>
        </w:tc>
      </w:tr>
      <w:tr>
        <w:trPr>
          <w:cnfStyle w:val="000000010000" w:firstRow="0" w:lastRow="0" w:firstColumn="0" w:lastColumn="0" w:oddVBand="0" w:evenVBand="0" w:oddHBand="0" w:evenHBand="1" w:firstRowFirstColumn="0" w:firstRowLastColumn="0" w:lastRowFirstColumn="0" w:lastRowLastColumn="0"/>
          <w:cantSplit/>
          <w:trHeight w:val="70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Menej rozvinutý región</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201 314 513</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13 163 182</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211 349 354</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13 819 322</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221 517 633</w:t>
            </w:r>
          </w:p>
        </w:tc>
        <w:tc>
          <w:tcPr>
            <w:tcW w:w="708"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14 484 186</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231 544 445</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15 139 801</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242 277 515</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15 841 595</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253 771 543</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16 593 146</w:t>
            </w:r>
          </w:p>
        </w:tc>
        <w:tc>
          <w:tcPr>
            <w:tcW w:w="850"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260 005 888</w:t>
            </w:r>
          </w:p>
        </w:tc>
        <w:tc>
          <w:tcPr>
            <w:tcW w:w="709"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17 000 785</w:t>
            </w:r>
          </w:p>
        </w:tc>
        <w:tc>
          <w:tcPr>
            <w:tcW w:w="992"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1 621 780 891</w:t>
            </w:r>
          </w:p>
        </w:tc>
        <w:tc>
          <w:tcPr>
            <w:tcW w:w="851" w:type="dxa"/>
            <w:shd w:val="clear" w:color="auto" w:fill="auto"/>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106 042 017</w:t>
            </w:r>
          </w:p>
        </w:tc>
      </w:tr>
      <w:tr>
        <w:trPr>
          <w:cnfStyle w:val="000000100000" w:firstRow="0" w:lastRow="0" w:firstColumn="0" w:lastColumn="0" w:oddVBand="0" w:evenVBand="0" w:oddHBand="1" w:evenHBand="0" w:firstRowFirstColumn="0" w:firstRowLastColumn="0" w:lastRowFirstColumn="0" w:lastRowLastColumn="0"/>
          <w:cantSplit/>
          <w:trHeight w:val="531"/>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2</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Prechodný región</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796"/>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3</w:t>
            </w:r>
          </w:p>
        </w:tc>
        <w:tc>
          <w:tcPr>
            <w:tcW w:w="851" w:type="dxa"/>
            <w:shd w:val="clear" w:color="auto" w:fill="auto"/>
          </w:tcPr>
          <w:p>
            <w:pPr>
              <w:cnfStyle w:val="000000010000" w:firstRow="0" w:lastRow="0" w:firstColumn="0" w:lastColumn="0" w:oddVBand="0" w:evenVBand="0" w:oddHBand="0" w:evenHBand="1"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Viac rozvinutý región</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10 451 363</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667 109</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10 841 418</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692 006</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11 237 194</w:t>
            </w:r>
          </w:p>
        </w:tc>
        <w:tc>
          <w:tcPr>
            <w:tcW w:w="708"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717 268</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11 630 453</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742 369</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12 046 761</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768 942</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12 487 798</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797 093</w:t>
            </w:r>
          </w:p>
        </w:tc>
        <w:tc>
          <w:tcPr>
            <w:tcW w:w="850"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12 772 469</w:t>
            </w:r>
          </w:p>
        </w:tc>
        <w:tc>
          <w:tcPr>
            <w:tcW w:w="709"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815 264</w:t>
            </w:r>
          </w:p>
        </w:tc>
        <w:tc>
          <w:tcPr>
            <w:tcW w:w="992"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81 467 456</w:t>
            </w:r>
          </w:p>
        </w:tc>
        <w:tc>
          <w:tcPr>
            <w:tcW w:w="851" w:type="dxa"/>
            <w:shd w:val="clear" w:color="auto" w:fill="auto"/>
            <w:vAlign w:val="center"/>
          </w:tcPr>
          <w:p>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Pr>
                <w:rFonts w:ascii="Arial" w:hAnsi="Arial" w:cs="Arial"/>
                <w:sz w:val="13"/>
                <w:szCs w:val="13"/>
              </w:rPr>
              <w:t>5 200 051</w:t>
            </w:r>
          </w:p>
        </w:tc>
      </w:tr>
      <w:tr>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4</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EFRR</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Celkovo</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211 765 876</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13 830 291</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222 190 772</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14 511 328</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232 754 827</w:t>
            </w:r>
          </w:p>
        </w:tc>
        <w:tc>
          <w:tcPr>
            <w:tcW w:w="708"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15 201 454</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243 174 898</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15 882 170</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254 324 276</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16 610 537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266 259 341</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17 390 239</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272 778 357</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17 816 049</w:t>
            </w:r>
          </w:p>
        </w:tc>
        <w:tc>
          <w:tcPr>
            <w:tcW w:w="992"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1 703 248 347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111 242 068</w:t>
            </w:r>
          </w:p>
        </w:tc>
      </w:tr>
      <w:tr>
        <w:trPr>
          <w:cnfStyle w:val="000000010000" w:firstRow="0" w:lastRow="0" w:firstColumn="0" w:lastColumn="0" w:oddVBand="0" w:evenVBand="0" w:oddHBand="0" w:evenHBand="1" w:firstRowFirstColumn="0" w:firstRowLastColumn="0" w:lastRowFirstColumn="0" w:lastRowLastColumn="0"/>
          <w:cantSplit/>
          <w:trHeight w:val="504"/>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5</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ESF</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Menej rozvinutý región</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33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6</w:t>
            </w:r>
          </w:p>
        </w:tc>
        <w:tc>
          <w:tcPr>
            <w:tcW w:w="851" w:type="dxa"/>
            <w:shd w:val="clear" w:color="auto" w:fill="auto"/>
          </w:tcPr>
          <w:p>
            <w:pPr>
              <w:cnfStyle w:val="000000100000" w:firstRow="0" w:lastRow="0" w:firstColumn="0" w:lastColumn="0" w:oddVBand="0" w:evenVBand="0" w:oddHBand="1" w:evenHBand="0" w:firstRowFirstColumn="0" w:firstRowLastColumn="0" w:lastRowFirstColumn="0" w:lastRowLastColumn="0"/>
              <w:rPr>
                <w:b/>
                <w:sz w:val="14"/>
                <w:szCs w:val="14"/>
              </w:rPr>
            </w:pPr>
            <w:r>
              <w:rPr>
                <w:rFonts w:ascii="Arial" w:hAnsi="Arial" w:cs="Arial"/>
                <w:b/>
                <w:sz w:val="14"/>
                <w:szCs w:val="14"/>
              </w:rPr>
              <w:t>ESF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Prechodný región</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61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7</w:t>
            </w:r>
          </w:p>
        </w:tc>
        <w:tc>
          <w:tcPr>
            <w:tcW w:w="851" w:type="dxa"/>
            <w:shd w:val="clear" w:color="auto" w:fill="auto"/>
          </w:tcPr>
          <w:p>
            <w:pPr>
              <w:cnfStyle w:val="000000010000" w:firstRow="0" w:lastRow="0" w:firstColumn="0" w:lastColumn="0" w:oddVBand="0" w:evenVBand="0" w:oddHBand="0" w:evenHBand="1" w:firstRowFirstColumn="0" w:firstRowLastColumn="0" w:lastRowFirstColumn="0" w:lastRowLastColumn="0"/>
              <w:rPr>
                <w:b/>
                <w:sz w:val="14"/>
                <w:szCs w:val="14"/>
              </w:rPr>
            </w:pPr>
            <w:r>
              <w:rPr>
                <w:rFonts w:ascii="Arial" w:hAnsi="Arial" w:cs="Arial"/>
                <w:b/>
                <w:sz w:val="14"/>
                <w:szCs w:val="14"/>
              </w:rPr>
              <w:t>ESF</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Viac rozvinutý región</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lastRenderedPageBreak/>
              <w:t>8</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ESF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Celkovo</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1698"/>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9</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 xml:space="preserve">Osobitná alokácia pre Iniciatívu pre </w:t>
            </w:r>
            <w:proofErr w:type="spellStart"/>
            <w:r>
              <w:rPr>
                <w:rFonts w:ascii="Arial" w:hAnsi="Arial" w:cs="Arial"/>
                <w:b/>
                <w:sz w:val="14"/>
                <w:szCs w:val="14"/>
              </w:rPr>
              <w:t>zamestna-nosť</w:t>
            </w:r>
            <w:proofErr w:type="spellEnd"/>
            <w:r>
              <w:rPr>
                <w:rFonts w:ascii="Arial" w:hAnsi="Arial" w:cs="Arial"/>
                <w:b/>
                <w:sz w:val="14"/>
                <w:szCs w:val="14"/>
              </w:rPr>
              <w:t xml:space="preserve"> mladých</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N/A</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43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10</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KF</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N/A</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010000" w:firstRow="0" w:lastRow="0" w:firstColumn="0" w:lastColumn="0" w:oddVBand="0" w:evenVBand="0" w:oddHBand="0" w:evenHBand="1" w:firstRowFirstColumn="0" w:firstRowLastColumn="0" w:lastRowFirstColumn="0" w:lastRowLastColumn="0"/>
          <w:cantSplit/>
          <w:trHeight w:val="1886"/>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11</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EFRR</w:t>
            </w:r>
          </w:p>
        </w:tc>
        <w:tc>
          <w:tcPr>
            <w:tcW w:w="851" w:type="dxa"/>
            <w:shd w:val="clear" w:color="auto" w:fill="auto"/>
          </w:tcPr>
          <w:p>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Pr>
                <w:rFonts w:ascii="Arial" w:hAnsi="Arial" w:cs="Arial"/>
                <w:b/>
                <w:sz w:val="14"/>
                <w:szCs w:val="14"/>
              </w:rPr>
              <w:t xml:space="preserve">Osobitná alokácia pre </w:t>
            </w:r>
            <w:proofErr w:type="spellStart"/>
            <w:r>
              <w:rPr>
                <w:rFonts w:ascii="Arial" w:hAnsi="Arial" w:cs="Arial"/>
                <w:b/>
                <w:sz w:val="14"/>
                <w:szCs w:val="14"/>
              </w:rPr>
              <w:t>najvzdia-lenejšie</w:t>
            </w:r>
            <w:proofErr w:type="spellEnd"/>
            <w:r>
              <w:rPr>
                <w:rFonts w:ascii="Arial" w:hAnsi="Arial" w:cs="Arial"/>
                <w:b/>
                <w:sz w:val="14"/>
                <w:szCs w:val="14"/>
              </w:rPr>
              <w:t xml:space="preserve"> regióny a severné riedko osídlené regióny</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8"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0"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709"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992"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c>
          <w:tcPr>
            <w:tcW w:w="851" w:type="dxa"/>
            <w:shd w:val="clear" w:color="auto" w:fill="auto"/>
            <w:vAlign w:val="center"/>
          </w:tcPr>
          <w:p>
            <w:pPr>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Pr>
                <w:rFonts w:ascii="Arial" w:hAnsi="Arial" w:cs="Arial"/>
                <w:sz w:val="12"/>
                <w:szCs w:val="12"/>
              </w:rPr>
              <w:t>0</w:t>
            </w:r>
          </w:p>
        </w:tc>
      </w:tr>
      <w:tr>
        <w:trPr>
          <w:cnfStyle w:val="000000100000" w:firstRow="0" w:lastRow="0" w:firstColumn="0" w:lastColumn="0" w:oddVBand="0" w:evenVBand="0" w:oddHBand="1" w:evenHBand="0"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283" w:type="dxa"/>
            <w:shd w:val="clear" w:color="auto" w:fill="auto"/>
          </w:tcPr>
          <w:p>
            <w:pPr>
              <w:spacing w:before="120"/>
              <w:rPr>
                <w:rFonts w:ascii="Arial" w:hAnsi="Arial" w:cs="Arial"/>
                <w:b w:val="0"/>
                <w:sz w:val="14"/>
                <w:szCs w:val="14"/>
              </w:rPr>
            </w:pPr>
            <w:r>
              <w:rPr>
                <w:rFonts w:ascii="Arial" w:hAnsi="Arial" w:cs="Arial"/>
                <w:b w:val="0"/>
                <w:sz w:val="14"/>
                <w:szCs w:val="14"/>
              </w:rPr>
              <w:t>12</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Spolu</w:t>
            </w:r>
          </w:p>
        </w:tc>
        <w:tc>
          <w:tcPr>
            <w:tcW w:w="851" w:type="dxa"/>
            <w:shd w:val="clear" w:color="auto" w:fill="auto"/>
          </w:tcPr>
          <w:p>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211 765 876</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13 830 291</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222 190 772</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14 511 328</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232 754 827</w:t>
            </w:r>
          </w:p>
        </w:tc>
        <w:tc>
          <w:tcPr>
            <w:tcW w:w="708"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15 201 454</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243 174 898</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15 882 170</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254 324 276</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16 610 537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266 259 341</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17 390 239</w:t>
            </w:r>
          </w:p>
        </w:tc>
        <w:tc>
          <w:tcPr>
            <w:tcW w:w="850"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272 778 357</w:t>
            </w:r>
          </w:p>
        </w:tc>
        <w:tc>
          <w:tcPr>
            <w:tcW w:w="709"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17 816 049</w:t>
            </w:r>
          </w:p>
        </w:tc>
        <w:tc>
          <w:tcPr>
            <w:tcW w:w="992"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1 703 248 347</w:t>
            </w:r>
          </w:p>
        </w:tc>
        <w:tc>
          <w:tcPr>
            <w:tcW w:w="851" w:type="dxa"/>
            <w:shd w:val="clear" w:color="auto" w:fill="auto"/>
            <w:vAlign w:val="center"/>
          </w:tcPr>
          <w:p>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Pr>
                <w:rFonts w:ascii="Arial" w:hAnsi="Arial" w:cs="Arial"/>
                <w:sz w:val="13"/>
                <w:szCs w:val="13"/>
              </w:rPr>
              <w:t>111 242 068</w:t>
            </w:r>
          </w:p>
        </w:tc>
      </w:tr>
    </w:tbl>
    <w:p>
      <w:pPr>
        <w:spacing w:before="120"/>
        <w:rPr>
          <w:rStyle w:val="Siln"/>
          <w:rFonts w:ascii="Arial" w:hAnsi="Arial" w:cs="Arial"/>
        </w:rPr>
      </w:pPr>
    </w:p>
    <w:p>
      <w:pPr>
        <w:spacing w:before="120"/>
        <w:rPr>
          <w:rFonts w:ascii="Arial" w:hAnsi="Arial" w:cs="Arial"/>
        </w:rPr>
      </w:pPr>
    </w:p>
    <w:p>
      <w:pPr>
        <w:rPr>
          <w:rFonts w:ascii="Arial" w:hAnsi="Arial" w:cs="Arial"/>
        </w:rPr>
      </w:pPr>
    </w:p>
    <w:p>
      <w:pPr>
        <w:rPr>
          <w:rFonts w:ascii="Arial" w:hAnsi="Arial" w:cs="Arial"/>
        </w:rPr>
      </w:pPr>
    </w:p>
    <w:p>
      <w:pPr>
        <w:pStyle w:val="Nadpis3"/>
        <w:rPr>
          <w:rFonts w:ascii="Arial" w:hAnsi="Arial" w:cs="Arial"/>
        </w:rPr>
        <w:sectPr>
          <w:pgSz w:w="16838" w:h="11906" w:orient="landscape"/>
          <w:pgMar w:top="1418" w:right="1418" w:bottom="1418" w:left="1418" w:header="709" w:footer="709" w:gutter="0"/>
          <w:cols w:space="708"/>
          <w:docGrid w:linePitch="360"/>
        </w:sectPr>
      </w:pPr>
    </w:p>
    <w:p>
      <w:pPr>
        <w:pStyle w:val="Nadpis3"/>
        <w:rPr>
          <w:rFonts w:ascii="Arial" w:hAnsi="Arial" w:cs="Arial"/>
        </w:rPr>
      </w:pPr>
      <w:bookmarkStart w:id="146" w:name="_Toc387651878"/>
      <w:r>
        <w:rPr>
          <w:rFonts w:ascii="Arial" w:hAnsi="Arial" w:cs="Arial"/>
        </w:rPr>
        <w:lastRenderedPageBreak/>
        <w:t>3.2.A Finančný plán podľa zdrojov financovania</w:t>
      </w:r>
      <w:bookmarkEnd w:id="146"/>
    </w:p>
    <w:p>
      <w:pPr>
        <w:spacing w:before="120"/>
        <w:rPr>
          <w:rFonts w:ascii="Arial" w:hAnsi="Arial" w:cs="Arial"/>
        </w:rPr>
      </w:pPr>
      <w:r>
        <w:rPr>
          <w:rStyle w:val="Siln"/>
          <w:rFonts w:ascii="Arial" w:hAnsi="Arial" w:cs="Arial"/>
        </w:rPr>
        <w:t>Tabuľka č. 44 Finančný plán Integrovaného regionálneho operačného programu</w:t>
      </w:r>
    </w:p>
    <w:tbl>
      <w:tblPr>
        <w:tblW w:w="5395" w:type="pct"/>
        <w:tblInd w:w="-110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853"/>
        <w:gridCol w:w="373"/>
        <w:gridCol w:w="628"/>
        <w:gridCol w:w="992"/>
        <w:gridCol w:w="995"/>
        <w:gridCol w:w="992"/>
        <w:gridCol w:w="1132"/>
        <w:gridCol w:w="1123"/>
        <w:gridCol w:w="992"/>
        <w:gridCol w:w="852"/>
        <w:gridCol w:w="849"/>
        <w:gridCol w:w="992"/>
        <w:gridCol w:w="992"/>
        <w:gridCol w:w="992"/>
        <w:gridCol w:w="992"/>
        <w:gridCol w:w="1420"/>
      </w:tblGrid>
      <w:tr>
        <w:trPr>
          <w:cantSplit/>
          <w:trHeight w:val="415"/>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Prioritná os</w:t>
            </w:r>
          </w:p>
        </w:tc>
        <w:tc>
          <w:tcPr>
            <w:tcW w:w="123"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Fond</w:t>
            </w:r>
          </w:p>
        </w:tc>
        <w:tc>
          <w:tcPr>
            <w:tcW w:w="20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Kategória regiónu</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Základ na výpočet EU zdrojov (celkové oprávnené výdavky alebo verejné oprávnené výdavky)</w:t>
            </w:r>
          </w:p>
        </w:tc>
        <w:tc>
          <w:tcPr>
            <w:tcW w:w="328"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EU zdroje</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743" w:type="pct"/>
            <w:gridSpan w:val="2"/>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Indikatívne rozdelenie národného spolufinancovania</w:t>
            </w:r>
          </w:p>
        </w:tc>
        <w:tc>
          <w:tcPr>
            <w:tcW w:w="32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Celkové financovanie </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Miera </w:t>
            </w:r>
            <w:proofErr w:type="spellStart"/>
            <w:r>
              <w:rPr>
                <w:rFonts w:ascii="Arial Narrow" w:eastAsia="Times New Roman" w:hAnsi="Arial Narrow" w:cs="Arial"/>
                <w:b/>
                <w:bCs/>
                <w:sz w:val="14"/>
                <w:szCs w:val="14"/>
              </w:rPr>
              <w:t>spolufinanco-vania</w:t>
            </w:r>
            <w:proofErr w:type="spellEnd"/>
            <w:r>
              <w:rPr>
                <w:rFonts w:ascii="Arial Narrow" w:eastAsia="Times New Roman" w:hAnsi="Arial Narrow" w:cs="Arial"/>
                <w:b/>
                <w:bCs/>
                <w:sz w:val="14"/>
                <w:szCs w:val="14"/>
              </w:rPr>
              <w:t xml:space="preserve">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Pre informáciu</w:t>
            </w:r>
          </w:p>
          <w:p>
            <w:pPr>
              <w:spacing w:after="0" w:line="240" w:lineRule="auto"/>
              <w:jc w:val="center"/>
              <w:rPr>
                <w:rFonts w:ascii="Arial Narrow" w:eastAsia="Times New Roman" w:hAnsi="Arial Narrow" w:cs="Arial"/>
                <w:b/>
                <w:bCs/>
                <w:sz w:val="14"/>
                <w:szCs w:val="14"/>
              </w:rPr>
            </w:pPr>
          </w:p>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Príspevok EIB</w:t>
            </w:r>
          </w:p>
        </w:tc>
        <w:tc>
          <w:tcPr>
            <w:tcW w:w="654" w:type="pct"/>
            <w:gridSpan w:val="2"/>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Hlavná alokácia (celkové financovanie znížené o výkonnostnú rezervu</w:t>
            </w:r>
          </w:p>
          <w:p>
            <w:pPr>
              <w:spacing w:after="0" w:line="240" w:lineRule="auto"/>
              <w:jc w:val="center"/>
              <w:rPr>
                <w:rFonts w:ascii="Arial Narrow" w:eastAsia="Times New Roman" w:hAnsi="Arial Narrow" w:cs="Arial"/>
                <w:b/>
                <w:bCs/>
                <w:sz w:val="14"/>
                <w:szCs w:val="14"/>
              </w:rPr>
            </w:pPr>
          </w:p>
        </w:tc>
        <w:tc>
          <w:tcPr>
            <w:tcW w:w="654" w:type="pct"/>
            <w:gridSpan w:val="2"/>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Výkonnostná rezerva</w:t>
            </w:r>
          </w:p>
          <w:p>
            <w:pPr>
              <w:spacing w:after="0" w:line="240" w:lineRule="auto"/>
              <w:jc w:val="center"/>
              <w:rPr>
                <w:rFonts w:ascii="Arial Narrow" w:eastAsia="Times New Roman" w:hAnsi="Arial Narrow" w:cs="Arial"/>
                <w:b/>
                <w:bCs/>
                <w:sz w:val="14"/>
                <w:szCs w:val="14"/>
              </w:rPr>
            </w:pPr>
          </w:p>
        </w:tc>
        <w:tc>
          <w:tcPr>
            <w:tcW w:w="468" w:type="pct"/>
            <w:vMerge w:val="restar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p>
          <w:p>
            <w:pPr>
              <w:jc w:val="center"/>
              <w:rPr>
                <w:rFonts w:ascii="Arial Narrow" w:eastAsia="Times New Roman" w:hAnsi="Arial Narrow" w:cs="Arial"/>
                <w:b/>
                <w:bCs/>
                <w:sz w:val="14"/>
                <w:szCs w:val="14"/>
              </w:rPr>
            </w:pPr>
            <w:r>
              <w:rPr>
                <w:rFonts w:ascii="Arial Narrow" w:eastAsia="Times New Roman" w:hAnsi="Arial Narrow" w:cs="Arial"/>
                <w:b/>
                <w:bCs/>
                <w:sz w:val="14"/>
                <w:szCs w:val="14"/>
              </w:rPr>
              <w:t>Podiel výkonnostnej rezervy (za EÚ zdroje) z celkových EÚ zdrojov na prioritnú os</w:t>
            </w:r>
          </w:p>
        </w:tc>
      </w:tr>
      <w:tr>
        <w:trPr>
          <w:cantSplit/>
          <w:trHeight w:val="337"/>
        </w:trPr>
        <w:tc>
          <w:tcPr>
            <w:tcW w:w="281"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0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8"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73" w:type="pct"/>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Národné verejné zdroje </w:t>
            </w:r>
          </w:p>
        </w:tc>
        <w:tc>
          <w:tcPr>
            <w:tcW w:w="370" w:type="pct"/>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 xml:space="preserve">Národné súkromné zdroje </w:t>
            </w:r>
          </w:p>
        </w:tc>
        <w:tc>
          <w:tcPr>
            <w:tcW w:w="327"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81"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280" w:type="pct"/>
            <w:vMerge/>
            <w:tcBorders>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327" w:type="pc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EÚ zdroje</w:t>
            </w:r>
          </w:p>
        </w:tc>
        <w:tc>
          <w:tcPr>
            <w:tcW w:w="327" w:type="pct"/>
            <w:tcBorders>
              <w:top w:val="single" w:sz="8" w:space="0" w:color="4E67C8"/>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327" w:type="pct"/>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EÚ zdroje</w:t>
            </w:r>
          </w:p>
        </w:tc>
        <w:tc>
          <w:tcPr>
            <w:tcW w:w="327" w:type="pct"/>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Národné spolufinancovanie</w:t>
            </w:r>
          </w:p>
        </w:tc>
        <w:tc>
          <w:tcPr>
            <w:tcW w:w="468" w:type="pct"/>
            <w:vMerge/>
            <w:tcBorders>
              <w:left w:val="single" w:sz="8" w:space="0" w:color="4E67C8"/>
              <w:right w:val="single" w:sz="8" w:space="0" w:color="4E67C8"/>
            </w:tcBorders>
            <w:vAlign w:val="center"/>
          </w:tcPr>
          <w:p>
            <w:pPr>
              <w:spacing w:after="0" w:line="240" w:lineRule="auto"/>
              <w:jc w:val="center"/>
              <w:rPr>
                <w:rFonts w:ascii="Arial Narrow" w:eastAsia="Times New Roman" w:hAnsi="Arial Narrow" w:cs="Arial"/>
                <w:b/>
                <w:bCs/>
                <w:sz w:val="14"/>
                <w:szCs w:val="14"/>
              </w:rPr>
            </w:pPr>
          </w:p>
        </w:tc>
      </w:tr>
      <w:tr>
        <w:trPr>
          <w:cantSplit/>
          <w:trHeight w:val="259"/>
        </w:trPr>
        <w:tc>
          <w:tcPr>
            <w:tcW w:w="281"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p>
        </w:tc>
        <w:tc>
          <w:tcPr>
            <w:tcW w:w="123"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20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(a)</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(b)=(c)+(d)</w:t>
            </w:r>
          </w:p>
        </w:tc>
        <w:tc>
          <w:tcPr>
            <w:tcW w:w="373"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(c)</w:t>
            </w:r>
          </w:p>
        </w:tc>
        <w:tc>
          <w:tcPr>
            <w:tcW w:w="370"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(d)</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(e)=(a)+(b)</w:t>
            </w:r>
          </w:p>
        </w:tc>
        <w:tc>
          <w:tcPr>
            <w:tcW w:w="281"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(f)=(a)/(e)</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(g)</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(h)=(a)-(j)</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(i)=(b)-(k)</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(j)</w:t>
            </w:r>
          </w:p>
        </w:tc>
        <w:tc>
          <w:tcPr>
            <w:tcW w:w="327"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(k)=(b)*((j)/(a)</w:t>
            </w:r>
          </w:p>
        </w:tc>
        <w:tc>
          <w:tcPr>
            <w:tcW w:w="468" w:type="pct"/>
            <w:tcBorders>
              <w:top w:val="single" w:sz="8" w:space="0" w:color="4E67C8"/>
              <w:left w:val="single" w:sz="8" w:space="0" w:color="4E67C8"/>
              <w:bottom w:val="single" w:sz="24"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Cs/>
                <w:sz w:val="14"/>
                <w:szCs w:val="14"/>
              </w:rPr>
            </w:pPr>
            <w:r>
              <w:rPr>
                <w:rFonts w:ascii="Arial Narrow" w:eastAsia="Times New Roman" w:hAnsi="Arial Narrow" w:cs="Arial"/>
                <w:bCs/>
                <w:sz w:val="14"/>
                <w:szCs w:val="14"/>
              </w:rPr>
              <w:t>(l)=(j)/(a)*</w:t>
            </w:r>
          </w:p>
          <w:p>
            <w:pPr>
              <w:spacing w:after="0" w:line="240" w:lineRule="auto"/>
              <w:jc w:val="center"/>
              <w:rPr>
                <w:rFonts w:ascii="Arial Narrow" w:hAnsi="Arial Narrow" w:cs="Arial"/>
                <w:sz w:val="14"/>
                <w:szCs w:val="14"/>
              </w:rPr>
            </w:pPr>
            <w:r>
              <w:rPr>
                <w:rFonts w:ascii="Arial Narrow" w:eastAsia="Times New Roman" w:hAnsi="Arial Narrow" w:cs="Arial"/>
                <w:bCs/>
                <w:sz w:val="14"/>
                <w:szCs w:val="14"/>
              </w:rPr>
              <w:t>100</w:t>
            </w:r>
          </w:p>
        </w:tc>
      </w:tr>
      <w:tr>
        <w:trPr>
          <w:cantSplit/>
          <w:trHeight w:val="441"/>
        </w:trPr>
        <w:tc>
          <w:tcPr>
            <w:tcW w:w="281" w:type="pct"/>
            <w:vMerge w:val="restart"/>
            <w:tcBorders>
              <w:top w:val="single" w:sz="24"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1 Bezpečná a ekologická doprava v regiónoch</w:t>
            </w:r>
          </w:p>
        </w:tc>
        <w:tc>
          <w:tcPr>
            <w:tcW w:w="123"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24"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400 000 000,00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70 588 239,00</w:t>
            </w:r>
          </w:p>
        </w:tc>
        <w:tc>
          <w:tcPr>
            <w:tcW w:w="373"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65 182 355,00</w:t>
            </w:r>
          </w:p>
        </w:tc>
        <w:tc>
          <w:tcPr>
            <w:tcW w:w="370"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5 405 884,00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470 588 239,00</w:t>
            </w:r>
          </w:p>
        </w:tc>
        <w:tc>
          <w:tcPr>
            <w:tcW w:w="281"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374 610 072,00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66 107 663,00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25 389 928,00</w:t>
            </w:r>
          </w:p>
        </w:tc>
        <w:tc>
          <w:tcPr>
            <w:tcW w:w="327"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4 480 576,00</w:t>
            </w:r>
          </w:p>
        </w:tc>
        <w:tc>
          <w:tcPr>
            <w:tcW w:w="468" w:type="pct"/>
            <w:tcBorders>
              <w:top w:val="single" w:sz="24"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9"/>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21 000 000,00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21 000 000,00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20 820 000,00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42 000 000,00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19 698 050,00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19 698 050,00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1 301 950,00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1 301 950,00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396"/>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2 Ľahší prístup k efektívnym a kvalitnejším verejným službám</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726 000 000,00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128 117 658,00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121 100 010,00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7 017 648,00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854 117 658,00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679 917 280,00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119 985 412,00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46 082 720,00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8 132 246,00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01"/>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31 913 197,00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31 913 199,00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31 392 501,00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520 698,00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63 826 396,00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29 934 654,00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29 934 656,00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1 978 543,00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1 978 543,00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7"/>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3 Mobilizácia kreatívneho potenciálu v regiónoch</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255 860 548,00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45 151 862,00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42 593 257,00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2 558 605,00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301 012 410,00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239 619 846,00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42 285 856,00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16 240 702,00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2 866 006,00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4"/>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20 000 000,00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19 800 000,00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40 000 000,00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18 760 047,00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18 760 047,00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1 239 953,00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1 239 953,00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6"/>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 4 Zlepšenie kvality života v regiónoch s dôrazom na životné prostredie</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189 754 888,00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33 486 163,00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32 001 924,00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1 484 239,00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223 241 051,00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177 710 229,00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31 360 633,00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12 044 659,00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2 125 530,00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2"/>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9 961 782,00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19 923 564,00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9 344 175,00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9 344 175,00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617 607,00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617 607,00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389"/>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PO5 Miestny rozvoj vedený komunitou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99 000 000,00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5 210 529,00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2 214 474,00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2 996 055,00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104 210 529,00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95 %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92 715 992,00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4 879 791,00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6 284 008,00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330 738,00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6,35</w:t>
            </w:r>
          </w:p>
        </w:tc>
      </w:tr>
      <w:tr>
        <w:trPr>
          <w:cantSplit/>
          <w:trHeight w:val="410"/>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1 000 000,00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666 667,00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595 844,00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70 823,00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1 666 667,00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938 002,00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625 335,00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61 998,00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41 332,00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6,20</w:t>
            </w:r>
          </w:p>
        </w:tc>
      </w:tr>
      <w:tr>
        <w:trPr>
          <w:cantSplit/>
          <w:trHeight w:val="402"/>
        </w:trPr>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PO6 Technická pomoc</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57 207 472,00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67 302 910,00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57 207 472,00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10 095 438,00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0,00</w:t>
            </w:r>
          </w:p>
        </w:tc>
      </w:tr>
      <w:tr>
        <w:trPr>
          <w:cantSplit/>
          <w:trHeight w:val="408"/>
        </w:trPr>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5 585 056,00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2 792 528,00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0,00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0,00</w:t>
            </w:r>
          </w:p>
        </w:tc>
      </w:tr>
      <w:tr>
        <w:trPr>
          <w:cantSplit/>
          <w:trHeight w:val="399"/>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lastRenderedPageBreak/>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Menej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1 727 822 908,00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292 649 889,00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273 187 458,00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19 462 431,00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2 020 472 797,00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85,52 %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1 621 780 891,00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274 714 793,00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106 042 017,00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17 935 096,00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6,14</w:t>
            </w:r>
          </w:p>
        </w:tc>
      </w:tr>
      <w:tr>
        <w:trPr>
          <w:cantSplit/>
          <w:trHeight w:val="557"/>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Viac rozvinutý</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86 667 507,00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86 334 176,00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85 362 655,00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971 521,00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173 001 683,00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50,10 %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81 467 456,00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81 154 791,00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5 200 051,00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5 179 385,00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6,00</w:t>
            </w:r>
          </w:p>
        </w:tc>
      </w:tr>
      <w:tr>
        <w:trPr>
          <w:cantSplit/>
          <w:trHeight w:val="253"/>
        </w:trPr>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Spolu</w:t>
            </w:r>
          </w:p>
        </w:tc>
        <w:tc>
          <w:tcPr>
            <w:tcW w:w="12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EFRR</w:t>
            </w:r>
          </w:p>
        </w:tc>
        <w:tc>
          <w:tcPr>
            <w:tcW w:w="20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N/A</w:t>
            </w:r>
          </w:p>
        </w:tc>
        <w:tc>
          <w:tcPr>
            <w:tcW w:w="327"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jc w:val="center"/>
              <w:rPr>
                <w:rFonts w:ascii="Arial Narrow" w:hAnsi="Arial Narrow"/>
                <w:b/>
                <w:sz w:val="14"/>
                <w:szCs w:val="14"/>
              </w:rPr>
            </w:pPr>
            <w:r>
              <w:rPr>
                <w:rFonts w:ascii="Arial Narrow" w:eastAsia="Times New Roman" w:hAnsi="Arial Narrow" w:cs="Arial"/>
                <w:b/>
                <w:bCs/>
                <w:sz w:val="14"/>
                <w:szCs w:val="14"/>
              </w:rPr>
              <w:t>(celkové oprávnené výdavky</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1 814 490 415,00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378 984 065,00</w:t>
            </w:r>
          </w:p>
        </w:tc>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358 550 113,00</w:t>
            </w:r>
          </w:p>
        </w:tc>
        <w:tc>
          <w:tcPr>
            <w:tcW w:w="37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20 433 952,00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2 193 474 480,00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82,72 %</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1 703 248 347,00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355 869 584,00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111 242 068,00</w:t>
            </w:r>
          </w:p>
        </w:tc>
        <w:tc>
          <w:tcPr>
            <w:tcW w:w="32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b/>
                <w:sz w:val="14"/>
                <w:szCs w:val="14"/>
              </w:rPr>
            </w:pPr>
            <w:r>
              <w:rPr>
                <w:rFonts w:ascii="Arial Narrow" w:hAnsi="Arial Narrow"/>
                <w:b/>
                <w:sz w:val="14"/>
                <w:szCs w:val="14"/>
              </w:rPr>
              <w:t>23 114 481,00</w:t>
            </w:r>
          </w:p>
        </w:tc>
        <w:tc>
          <w:tcPr>
            <w:tcW w:w="468"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b/>
                <w:sz w:val="14"/>
                <w:szCs w:val="14"/>
              </w:rPr>
            </w:pPr>
            <w:r>
              <w:rPr>
                <w:rFonts w:ascii="Arial Narrow" w:hAnsi="Arial Narrow" w:cs="Arial"/>
                <w:b/>
                <w:sz w:val="14"/>
                <w:szCs w:val="14"/>
              </w:rPr>
              <w:t>6,13</w:t>
            </w:r>
          </w:p>
        </w:tc>
      </w:tr>
    </w:tbl>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b w:val="0"/>
        </w:rPr>
      </w:pPr>
      <w:r>
        <w:rPr>
          <w:rStyle w:val="Siln"/>
          <w:rFonts w:ascii="Arial" w:hAnsi="Arial" w:cs="Arial"/>
        </w:rPr>
        <w:t xml:space="preserve">Tabuľka č. 45 </w:t>
      </w:r>
      <w:r>
        <w:rPr>
          <w:rStyle w:val="Siln"/>
          <w:rFonts w:ascii="Arial" w:hAnsi="Arial" w:cs="Arial"/>
          <w:b w:val="0"/>
        </w:rPr>
        <w:t>Rozdelenie finančného plánu IROP podľa prioritnej osi, fondu, kategórie regiónu a tematického cieľa</w:t>
      </w:r>
    </w:p>
    <w:tbl>
      <w:tblPr>
        <w:tblW w:w="5334" w:type="pct"/>
        <w:tblInd w:w="-102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971"/>
        <w:gridCol w:w="852"/>
        <w:gridCol w:w="1702"/>
        <w:gridCol w:w="2691"/>
        <w:gridCol w:w="1984"/>
        <w:gridCol w:w="1984"/>
        <w:gridCol w:w="1984"/>
      </w:tblGrid>
      <w:tr>
        <w:tc>
          <w:tcPr>
            <w:tcW w:w="1309"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281"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561"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87"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654" w:type="pct"/>
            <w:tcBorders>
              <w:top w:val="single" w:sz="8" w:space="0" w:color="4E67C8"/>
              <w:left w:val="single" w:sz="8" w:space="0" w:color="4E67C8"/>
              <w:bottom w:val="single" w:sz="18" w:space="0" w:color="4E67C8"/>
              <w:right w:val="single" w:sz="8" w:space="0" w:color="4E67C8"/>
            </w:tcBorders>
            <w:shd w:val="clear" w:color="auto" w:fill="auto"/>
            <w:vAlign w:val="center"/>
          </w:tcPr>
          <w:p>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trPr>
          <w:trHeight w:val="188"/>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7</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400 000 000,00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70 588 239,00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470 588 239,00</w:t>
            </w:r>
          </w:p>
        </w:tc>
      </w:tr>
      <w:tr>
        <w:trPr>
          <w:trHeight w:val="187"/>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21 000 000,00</w:t>
            </w: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654"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42 000 000,00</w:t>
            </w:r>
          </w:p>
        </w:tc>
      </w:tr>
      <w:tr>
        <w:trPr>
          <w:trHeight w:val="195"/>
        </w:trPr>
        <w:tc>
          <w:tcPr>
            <w:tcW w:w="1309"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9</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484 000 000,00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85 411 770,00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569 411 770,00</w:t>
            </w:r>
          </w:p>
        </w:tc>
      </w:tr>
      <w:tr>
        <w:trPr>
          <w:trHeight w:val="195"/>
        </w:trPr>
        <w:tc>
          <w:tcPr>
            <w:tcW w:w="1309" w:type="pct"/>
            <w:vMerge/>
            <w:tcBorders>
              <w:left w:val="single" w:sz="8" w:space="0" w:color="4E67C8"/>
              <w:right w:val="single" w:sz="8" w:space="0" w:color="4E67C8"/>
            </w:tcBorders>
            <w:shd w:val="clear" w:color="auto" w:fill="auto"/>
            <w:vAlign w:val="center"/>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10 913 197,00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10 913 199,00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21 826 396,00</w:t>
            </w:r>
          </w:p>
        </w:tc>
      </w:tr>
      <w:tr>
        <w:trPr>
          <w:trHeight w:val="19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10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242 000 000,00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42 705 888,00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284 705 888,00</w:t>
            </w:r>
          </w:p>
        </w:tc>
      </w:tr>
      <w:tr>
        <w:trPr>
          <w:trHeight w:val="19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42 000 000,00</w:t>
            </w:r>
          </w:p>
        </w:tc>
      </w:tr>
      <w:tr>
        <w:trPr>
          <w:trHeight w:val="173"/>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8</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255 860 548,00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45 151 862,00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301 012 410,00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20 000 000,00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40 000 000,00</w:t>
            </w:r>
          </w:p>
        </w:tc>
      </w:tr>
      <w:tr>
        <w:trPr>
          <w:trHeight w:val="128"/>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4</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101 426 772,00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17 898 843,00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119 325 615,00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9 961 782,00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9 961 782,00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19 923 564,00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6</w:t>
            </w: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sz w:val="16"/>
                <w:szCs w:val="16"/>
                <w:lang w:eastAsia="sk-SK"/>
              </w:rPr>
              <w:t>88 328 116,00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15 587 320,00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103 915 436,00</w:t>
            </w:r>
          </w:p>
        </w:tc>
      </w:tr>
      <w:tr>
        <w:trPr>
          <w:trHeight w:val="125"/>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right w:val="single" w:sz="8" w:space="0" w:color="4E67C8"/>
            </w:tcBorders>
            <w:shd w:val="clear" w:color="auto" w:fill="auto"/>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0,00</w:t>
            </w:r>
          </w:p>
        </w:tc>
      </w:tr>
      <w:tr>
        <w:trPr>
          <w:trHeight w:val="204"/>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TC 9</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99 000 000,00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5 210 529,00</w:t>
            </w:r>
          </w:p>
        </w:tc>
        <w:tc>
          <w:tcPr>
            <w:tcW w:w="654" w:type="pct"/>
            <w:tcBorders>
              <w:top w:val="single" w:sz="8" w:space="0" w:color="4E67C8"/>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104 210 529,00</w:t>
            </w:r>
          </w:p>
        </w:tc>
      </w:tr>
      <w:tr>
        <w:trPr>
          <w:trHeight w:val="204"/>
        </w:trPr>
        <w:tc>
          <w:tcPr>
            <w:tcW w:w="1309" w:type="pct"/>
            <w:vMerge/>
            <w:tcBorders>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1 000 000,00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666 667,00</w:t>
            </w:r>
          </w:p>
        </w:tc>
        <w:tc>
          <w:tcPr>
            <w:tcW w:w="654" w:type="pct"/>
            <w:tcBorders>
              <w:left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1 666 667,00</w:t>
            </w:r>
          </w:p>
        </w:tc>
      </w:tr>
      <w:tr>
        <w:trPr>
          <w:trHeight w:val="82"/>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281" w:type="pct"/>
            <w:vMerge w:val="restart"/>
            <w:tcBorders>
              <w:top w:val="single" w:sz="8" w:space="0" w:color="4E67C8"/>
              <w:left w:val="single" w:sz="8" w:space="0" w:color="4E67C8"/>
              <w:right w:val="single" w:sz="8" w:space="0" w:color="4E67C8"/>
            </w:tcBorders>
            <w:shd w:val="clear" w:color="auto" w:fill="auto"/>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N/A</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57 207 472,00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10 095 438,00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67 302 910,00</w:t>
            </w:r>
          </w:p>
        </w:tc>
      </w:tr>
      <w:tr>
        <w:trPr>
          <w:trHeight w:val="81"/>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2 792 528,00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2 792 528,00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5 585 056,00</w:t>
            </w:r>
          </w:p>
        </w:tc>
      </w:tr>
      <w:tr>
        <w:trPr>
          <w:trHeight w:val="90"/>
        </w:trPr>
        <w:tc>
          <w:tcPr>
            <w:tcW w:w="1309" w:type="pct"/>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281"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Menej rozvinutý</w:t>
            </w:r>
          </w:p>
        </w:tc>
        <w:tc>
          <w:tcPr>
            <w:tcW w:w="887" w:type="pct"/>
            <w:vMerge w:val="restart"/>
            <w:tcBorders>
              <w:top w:val="single" w:sz="8" w:space="0" w:color="4E67C8"/>
              <w:left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sz w:val="16"/>
                <w:szCs w:val="16"/>
              </w:rPr>
              <w:t>1 727 822 908,00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292 649 889,00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2 020 472 797,00</w:t>
            </w:r>
          </w:p>
        </w:tc>
      </w:tr>
      <w:tr>
        <w:trPr>
          <w:trHeight w:val="90"/>
        </w:trPr>
        <w:tc>
          <w:tcPr>
            <w:tcW w:w="1309" w:type="pct"/>
            <w:vMerge/>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281"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Viac rozvinutý</w:t>
            </w:r>
          </w:p>
        </w:tc>
        <w:tc>
          <w:tcPr>
            <w:tcW w:w="887" w:type="pct"/>
            <w:vMerge/>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sz w:val="16"/>
                <w:szCs w:val="16"/>
              </w:rPr>
              <w:t>86 667 507,00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86 334 176,00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bottom"/>
          </w:tcPr>
          <w:p>
            <w:pPr>
              <w:spacing w:after="0" w:line="240" w:lineRule="auto"/>
              <w:jc w:val="right"/>
              <w:rPr>
                <w:rFonts w:ascii="Arial" w:hAnsi="Arial" w:cs="Arial"/>
                <w:sz w:val="16"/>
                <w:szCs w:val="16"/>
              </w:rPr>
            </w:pPr>
            <w:r>
              <w:rPr>
                <w:rFonts w:ascii="Arial" w:hAnsi="Arial" w:cs="Arial"/>
                <w:color w:val="000000"/>
                <w:sz w:val="16"/>
                <w:szCs w:val="16"/>
              </w:rPr>
              <w:t>173 001 683,00</w:t>
            </w:r>
          </w:p>
        </w:tc>
      </w:tr>
      <w:tr>
        <w:trPr>
          <w:trHeight w:val="90"/>
        </w:trPr>
        <w:tc>
          <w:tcPr>
            <w:tcW w:w="1309" w:type="pct"/>
            <w:tcBorders>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281" w:type="pct"/>
            <w:tcBorders>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EFRR</w:t>
            </w:r>
          </w:p>
        </w:tc>
        <w:tc>
          <w:tcPr>
            <w:tcW w:w="561"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16"/>
                <w:szCs w:val="16"/>
              </w:rPr>
            </w:pPr>
            <w:r>
              <w:rPr>
                <w:rFonts w:ascii="Arial" w:hAnsi="Arial" w:cs="Arial"/>
                <w:sz w:val="16"/>
                <w:szCs w:val="16"/>
              </w:rPr>
              <w:t>N/A</w:t>
            </w:r>
          </w:p>
        </w:tc>
        <w:tc>
          <w:tcPr>
            <w:tcW w:w="887"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eastAsia="Times New Roman" w:hAnsi="Arial" w:cs="Arial"/>
                <w:color w:val="000000"/>
                <w:sz w:val="16"/>
                <w:szCs w:val="16"/>
                <w:lang w:eastAsia="sk-SK"/>
              </w:rPr>
              <w:t>1 814 490 415,00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378 984 065,00</w:t>
            </w:r>
          </w:p>
        </w:tc>
        <w:tc>
          <w:tcPr>
            <w:tcW w:w="654" w:type="pct"/>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right"/>
              <w:rPr>
                <w:rFonts w:ascii="Arial" w:hAnsi="Arial" w:cs="Arial"/>
                <w:sz w:val="16"/>
                <w:szCs w:val="16"/>
              </w:rPr>
            </w:pPr>
            <w:r>
              <w:rPr>
                <w:rFonts w:ascii="Arial" w:hAnsi="Arial" w:cs="Arial"/>
                <w:color w:val="000000"/>
                <w:sz w:val="16"/>
                <w:szCs w:val="16"/>
              </w:rPr>
              <w:t>2 193 474 480,00</w:t>
            </w:r>
          </w:p>
        </w:tc>
      </w:tr>
    </w:tbl>
    <w:p>
      <w:pPr>
        <w:rPr>
          <w:rFonts w:ascii="Arial" w:hAnsi="Arial" w:cs="Arial"/>
        </w:rPr>
        <w:sectPr>
          <w:pgSz w:w="16838" w:h="11906" w:orient="landscape"/>
          <w:pgMar w:top="1418" w:right="1418" w:bottom="1418" w:left="1418" w:header="709" w:footer="709" w:gutter="0"/>
          <w:cols w:space="708"/>
          <w:docGrid w:linePitch="360"/>
        </w:sectPr>
      </w:pPr>
    </w:p>
    <w:p>
      <w:pPr>
        <w:rPr>
          <w:rFonts w:ascii="Arial" w:hAnsi="Arial" w:cs="Arial"/>
        </w:rPr>
      </w:pPr>
      <w:r>
        <w:rPr>
          <w:rStyle w:val="Siln"/>
          <w:rFonts w:ascii="Arial" w:hAnsi="Arial" w:cs="Arial"/>
        </w:rPr>
        <w:lastRenderedPageBreak/>
        <w:t xml:space="preserve">Tabuľka č. 46 </w:t>
      </w:r>
      <w:r>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tc>
          <w:tcPr>
            <w:tcW w:w="3085"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63 600 000,00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3,73</w:t>
            </w: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121 519 800,40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7,13</w:t>
            </w:r>
          </w:p>
        </w:tc>
      </w:tr>
      <w:tr>
        <w:tc>
          <w:tcPr>
            <w:tcW w:w="308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185 119 800,40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w:hAnsi="Arial" w:cs="Arial"/>
                <w:sz w:val="16"/>
                <w:szCs w:val="16"/>
              </w:rPr>
            </w:pPr>
            <w:r>
              <w:rPr>
                <w:rFonts w:ascii="Arial" w:hAnsi="Arial" w:cs="Arial"/>
                <w:sz w:val="16"/>
                <w:szCs w:val="16"/>
              </w:rPr>
              <w:t>10,87</w:t>
            </w:r>
          </w:p>
        </w:tc>
      </w:tr>
    </w:tbl>
    <w:p>
      <w:pPr>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sectPr>
          <w:type w:val="continuous"/>
          <w:pgSz w:w="11906" w:h="16838"/>
          <w:pgMar w:top="1418" w:right="1418" w:bottom="1418" w:left="1418" w:header="709" w:footer="709" w:gutter="0"/>
          <w:cols w:space="708"/>
          <w:docGrid w:linePitch="360"/>
        </w:sectPr>
      </w:pPr>
      <w:bookmarkStart w:id="147" w:name="_Toc387651879"/>
    </w:p>
    <w:p>
      <w:pPr>
        <w:pStyle w:val="Nadpis1"/>
        <w:rPr>
          <w:rFonts w:ascii="Arial" w:hAnsi="Arial" w:cs="Arial"/>
        </w:rPr>
      </w:pPr>
      <w:r>
        <w:rPr>
          <w:rFonts w:ascii="Arial" w:hAnsi="Arial" w:cs="Arial"/>
        </w:rPr>
        <w:lastRenderedPageBreak/>
        <w:t>4 Integrovaný prístup k územnému rozvoju</w:t>
      </w:r>
      <w:bookmarkEnd w:id="147"/>
    </w:p>
    <w:p>
      <w:pPr>
        <w:rPr>
          <w:rFonts w:ascii="Arial" w:hAnsi="Arial" w:cs="Arial"/>
          <w:i/>
          <w:color w:val="4EACF3"/>
        </w:rPr>
      </w:pPr>
    </w:p>
    <w:p>
      <w:pPr>
        <w:jc w:val="both"/>
        <w:rPr>
          <w:rFonts w:ascii="Arial" w:hAnsi="Arial" w:cs="Arial"/>
        </w:rPr>
      </w:pPr>
      <w:r>
        <w:rPr>
          <w:rFonts w:ascii="Arial" w:hAnsi="Arial" w:cs="Arial"/>
        </w:rPr>
        <w:t xml:space="preserve">Na základe nastavenej stratégie, výberu investičných priorít a stanovených špecifických cieľov a výsledkov je možné IROP považovať za príspevok k integrovanému prístupu k územnému rozvoju v SR z hľadiska napĺňania jeho nevyhnutých aspektov (obsahových, územných, implementačných).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pPr>
        <w:jc w:val="both"/>
        <w:rPr>
          <w:rFonts w:ascii="Arial" w:hAnsi="Arial" w:cs="Arial"/>
        </w:rPr>
      </w:pPr>
      <w:r>
        <w:rPr>
          <w:rFonts w:ascii="Arial" w:hAnsi="Arial" w:cs="Arial"/>
        </w:rPr>
        <w:t xml:space="preserve">Obsahovým aspektom integrovaného prístupu k územnému rozvoju je plánovanie a realizácia obsahovo 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(ďalej len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w:t>
      </w:r>
      <w:proofErr w:type="spellStart"/>
      <w:r>
        <w:rPr>
          <w:rFonts w:ascii="Arial" w:hAnsi="Arial" w:cs="Arial"/>
        </w:rPr>
        <w:t>polycentrického</w:t>
      </w:r>
      <w:proofErr w:type="spellEnd"/>
      <w:r>
        <w:rPr>
          <w:rFonts w:ascii="Arial" w:hAnsi="Arial" w:cs="Arial"/>
        </w:rPr>
        <w:t xml:space="preserve"> územného rozvoja a pozitíva prístupu rozvoja funkčných území, nie nezávisle sa správajúcich individuálnych sídiel, nakoľko 1) územím RIÚS je funkčné územie celého regiónu (NUTS 3) a 2) relevantné subjekty si musia spoločne zvoliť prioritné projektové zámery, ktoré chcú realizovať v kontexte celej RIÚS.</w:t>
      </w:r>
    </w:p>
    <w:p>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w:t>
      </w:r>
      <w:proofErr w:type="spellStart"/>
      <w:r>
        <w:rPr>
          <w:rFonts w:ascii="Arial" w:hAnsi="Arial" w:cs="Arial"/>
        </w:rPr>
        <w:t>mesto-vidiek</w:t>
      </w:r>
      <w:proofErr w:type="spellEnd"/>
      <w:r>
        <w:rPr>
          <w:rFonts w:ascii="Arial" w:hAnsi="Arial" w:cs="Arial"/>
        </w:rPr>
        <w:t>“, nakoľko partnerstvo je spoločnou platformou pre zapojené mestá aj obce. Navrhnutý model umožňuje eliminovať negatívne dopady nekoordinovaného plánovania v ohraničenom území.</w:t>
      </w:r>
    </w:p>
    <w:p>
      <w:pPr>
        <w:jc w:val="both"/>
        <w:rPr>
          <w:rFonts w:ascii="Arial" w:hAnsi="Arial" w:cs="Arial"/>
        </w:rPr>
      </w:pPr>
    </w:p>
    <w:p>
      <w:pPr>
        <w:pStyle w:val="Nadpis2"/>
        <w:rPr>
          <w:rFonts w:ascii="Arial" w:hAnsi="Arial" w:cs="Arial"/>
        </w:rPr>
      </w:pPr>
      <w:bookmarkStart w:id="148" w:name="_Toc387651880"/>
      <w:r>
        <w:rPr>
          <w:rFonts w:ascii="Arial" w:hAnsi="Arial" w:cs="Arial"/>
        </w:rPr>
        <w:lastRenderedPageBreak/>
        <w:t>4.1 Miestny rozvoj vedený komunitou</w:t>
      </w:r>
      <w:bookmarkEnd w:id="148"/>
    </w:p>
    <w:p>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pPr>
        <w:spacing w:before="120"/>
        <w:jc w:val="both"/>
        <w:rPr>
          <w:rStyle w:val="Zvraznenie"/>
          <w:rFonts w:ascii="Arial" w:hAnsi="Arial" w:cs="Arial"/>
          <w:i w:val="0"/>
        </w:rPr>
      </w:pPr>
      <w:r>
        <w:rPr>
          <w:rStyle w:val="Zvraznenie"/>
          <w:rFonts w:ascii="Arial" w:hAnsi="Arial" w:cs="Arial"/>
          <w:i w:val="0"/>
        </w:rPr>
        <w:t xml:space="preserve">Cieľovým územím pre CLLD je celé územie SR, t. z. z hľadiska typológie regiónov podľa EÚ vidiecke a vidiecko-mestské oblasti. Na tomto území bude podporený vznik jedného typu miestnej akčnej skupiny (ďalej len „MAS“). Pôjde o vidiecke MAS, pričom </w:t>
      </w:r>
      <w:proofErr w:type="spellStart"/>
      <w:r>
        <w:rPr>
          <w:rStyle w:val="Zvraznenie"/>
          <w:rFonts w:ascii="Arial" w:hAnsi="Arial" w:cs="Arial"/>
          <w:i w:val="0"/>
        </w:rPr>
        <w:t>vidieckosť</w:t>
      </w:r>
      <w:proofErr w:type="spellEnd"/>
      <w:r>
        <w:rPr>
          <w:rStyle w:val="Zvraznenie"/>
          <w:rFonts w:ascii="Arial" w:hAnsi="Arial" w:cs="Arial"/>
          <w:i w:val="0"/>
        </w:rPr>
        <w:t xml:space="preserve">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pPr>
        <w:spacing w:before="120"/>
        <w:jc w:val="both"/>
      </w:pPr>
      <w:r>
        <w:rPr>
          <w:rStyle w:val="Zvraznenie"/>
          <w:rFonts w:ascii="Arial" w:hAnsi="Arial" w:cs="Arial"/>
          <w:i w:val="0"/>
        </w:rPr>
        <w:t>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oblasti podpory v rámci PRV (poľnohospodárstvo, potravinárstvo, lesníctvo, vidiecky cestovný ruch,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Kvalita partnerstva</w:t>
      </w:r>
    </w:p>
    <w:p>
      <w:pPr>
        <w:pStyle w:val="Odsekzoznamu"/>
        <w:numPr>
          <w:ilvl w:val="0"/>
          <w:numId w:val="44"/>
        </w:numPr>
        <w:spacing w:before="120"/>
        <w:jc w:val="both"/>
        <w:rPr>
          <w:rStyle w:val="Zvraznenie"/>
          <w:rFonts w:ascii="Arial" w:hAnsi="Arial" w:cs="Arial"/>
          <w:i w:val="0"/>
        </w:rPr>
      </w:pPr>
      <w:r>
        <w:rPr>
          <w:rStyle w:val="Zvraznenie"/>
          <w:rFonts w:ascii="Arial" w:hAnsi="Arial" w:cs="Arial"/>
          <w:i w:val="0"/>
        </w:rPr>
        <w:lastRenderedPageBreak/>
        <w:t>Kvalita stratégie</w:t>
      </w:r>
    </w:p>
    <w:p>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zlepšovaniu ekonomického rozvoja;</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rovnomerné územné rozdelenie v rámci NUTS 3;</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zameranie stratégie na ciele a priority CLLD uvedené v Partnerskej dohode, IROP a PRV;</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 xml:space="preserve">prínos stratégie k sociálnej inklúzii </w:t>
      </w:r>
      <w:proofErr w:type="spellStart"/>
      <w:r>
        <w:rPr>
          <w:rStyle w:val="Zvraznenie"/>
          <w:rFonts w:ascii="Arial" w:hAnsi="Arial" w:cs="Arial"/>
          <w:i w:val="0"/>
        </w:rPr>
        <w:t>marginalizovaných</w:t>
      </w:r>
      <w:proofErr w:type="spellEnd"/>
      <w:r>
        <w:rPr>
          <w:rStyle w:val="Zvraznenie"/>
          <w:rFonts w:ascii="Arial" w:hAnsi="Arial" w:cs="Arial"/>
          <w:i w:val="0"/>
        </w:rPr>
        <w:t xml:space="preserve"> skupín obyvateľstva vrátane </w:t>
      </w:r>
      <w:proofErr w:type="spellStart"/>
      <w:r>
        <w:rPr>
          <w:rStyle w:val="Zvraznenie"/>
          <w:rFonts w:ascii="Arial" w:hAnsi="Arial" w:cs="Arial"/>
          <w:i w:val="0"/>
        </w:rPr>
        <w:t>marginalizovaných</w:t>
      </w:r>
      <w:proofErr w:type="spellEnd"/>
      <w:r>
        <w:rPr>
          <w:rStyle w:val="Zvraznenie"/>
          <w:rFonts w:ascii="Arial" w:hAnsi="Arial" w:cs="Arial"/>
          <w:i w:val="0"/>
        </w:rPr>
        <w:t xml:space="preserve"> rómskych komunít</w:t>
      </w:r>
    </w:p>
    <w:p>
      <w:pPr>
        <w:pStyle w:val="Odsekzoznamu"/>
        <w:numPr>
          <w:ilvl w:val="0"/>
          <w:numId w:val="45"/>
        </w:numPr>
        <w:spacing w:before="120"/>
        <w:jc w:val="both"/>
        <w:rPr>
          <w:rStyle w:val="Zvraznenie"/>
          <w:rFonts w:ascii="Arial" w:hAnsi="Arial" w:cs="Arial"/>
          <w:i w:val="0"/>
        </w:rPr>
      </w:pPr>
      <w:proofErr w:type="spellStart"/>
      <w:r>
        <w:rPr>
          <w:rStyle w:val="Zvraznenie"/>
          <w:rFonts w:ascii="Arial" w:hAnsi="Arial" w:cs="Arial"/>
          <w:i w:val="0"/>
        </w:rPr>
        <w:t>multiplikačný</w:t>
      </w:r>
      <w:proofErr w:type="spellEnd"/>
      <w:r>
        <w:rPr>
          <w:rStyle w:val="Zvraznenie"/>
          <w:rFonts w:ascii="Arial" w:hAnsi="Arial" w:cs="Arial"/>
          <w:i w:val="0"/>
        </w:rPr>
        <w:t xml:space="preserve"> efekt stratégie – ako stratégia prispieva k riešeniu problémov, vzťah medzi problémami a navrhnutými riešeniami a pod. (plánovacia logická matica);</w:t>
      </w:r>
    </w:p>
    <w:p>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 xml:space="preserve">doplnkovosť stratégie voči iným strategickým dokumentom na nadnárodnej (Dunajská stratégia), národnej, regionálnej (PHSR kraja, iné krajské stratégie) a lokálnej úrovni (plány hospodárskeho a sociálneho rozvoja obcí a krajov a iné stratégie existujúce v území) a príspevok k napĺňaniu ex </w:t>
      </w:r>
      <w:proofErr w:type="spellStart"/>
      <w:r>
        <w:rPr>
          <w:rStyle w:val="Zvraznenie"/>
          <w:rFonts w:ascii="Arial" w:hAnsi="Arial" w:cs="Arial"/>
          <w:i w:val="0"/>
        </w:rPr>
        <w:t>ante</w:t>
      </w:r>
      <w:proofErr w:type="spellEnd"/>
      <w:r>
        <w:rPr>
          <w:rStyle w:val="Zvraznenie"/>
          <w:rFonts w:ascii="Arial" w:hAnsi="Arial" w:cs="Arial"/>
          <w:i w:val="0"/>
        </w:rPr>
        <w:t xml:space="preserve"> </w:t>
      </w:r>
      <w:proofErr w:type="spellStart"/>
      <w:r>
        <w:rPr>
          <w:rStyle w:val="Zvraznenie"/>
          <w:rFonts w:ascii="Arial" w:hAnsi="Arial" w:cs="Arial"/>
          <w:i w:val="0"/>
        </w:rPr>
        <w:t>kondicionalít</w:t>
      </w:r>
      <w:proofErr w:type="spellEnd"/>
      <w:r>
        <w:rPr>
          <w:rStyle w:val="Zvraznenie"/>
          <w:rFonts w:ascii="Arial" w:hAnsi="Arial" w:cs="Arial"/>
          <w:i w:val="0"/>
        </w:rPr>
        <w:t xml:space="preserve"> IROP ako aj k jednotlivým výsledkovým ukazovateľom.</w:t>
      </w:r>
    </w:p>
    <w:p>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pPr>
        <w:spacing w:before="120"/>
        <w:jc w:val="both"/>
        <w:rPr>
          <w:rStyle w:val="Zvraznenie"/>
          <w:rFonts w:ascii="Arial" w:hAnsi="Arial" w:cs="Arial"/>
          <w:i w:val="0"/>
        </w:rPr>
      </w:pPr>
      <w:r>
        <w:rPr>
          <w:rStyle w:val="Zvraznenie"/>
          <w:rFonts w:ascii="Arial" w:hAnsi="Arial" w:cs="Arial"/>
          <w:i w:val="0"/>
        </w:rPr>
        <w:t>SR neuplatní financovanie prevádzkových nákladov na chod MAS a nákladov na oživenie stratégií CLLD prostredníctvom hlavného (</w:t>
      </w:r>
      <w:proofErr w:type="spellStart"/>
      <w:r>
        <w:rPr>
          <w:rStyle w:val="Zvraznenie"/>
          <w:rFonts w:ascii="Arial" w:hAnsi="Arial" w:cs="Arial"/>
        </w:rPr>
        <w:t>lead</w:t>
      </w:r>
      <w:proofErr w:type="spellEnd"/>
      <w:r>
        <w:rPr>
          <w:rStyle w:val="Zvraznenie"/>
          <w:rFonts w:ascii="Arial" w:hAnsi="Arial" w:cs="Arial"/>
          <w:i w:val="0"/>
        </w:rPr>
        <w:t>)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Prípravná podpora bude financovaná z EPFRV.</w:t>
      </w:r>
    </w:p>
    <w:p>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pPr>
        <w:spacing w:before="120"/>
        <w:jc w:val="both"/>
        <w:rPr>
          <w:rStyle w:val="Zvraznenie"/>
          <w:rFonts w:ascii="Arial" w:hAnsi="Arial" w:cs="Arial"/>
          <w:i w:val="0"/>
        </w:rPr>
      </w:pPr>
      <w:r>
        <w:rPr>
          <w:rStyle w:val="Zvraznenie"/>
          <w:rFonts w:ascii="Arial" w:hAnsi="Arial" w:cs="Arial"/>
          <w:i w:val="0"/>
        </w:rPr>
        <w:t xml:space="preserve">Stratégie CLLD budú pripravované ako integrované a </w:t>
      </w:r>
      <w:proofErr w:type="spellStart"/>
      <w:r>
        <w:rPr>
          <w:rStyle w:val="Zvraznenie"/>
          <w:rFonts w:ascii="Arial" w:hAnsi="Arial" w:cs="Arial"/>
          <w:i w:val="0"/>
        </w:rPr>
        <w:t>multisektorové</w:t>
      </w:r>
      <w:proofErr w:type="spellEnd"/>
      <w:r>
        <w:rPr>
          <w:rStyle w:val="Zvraznenie"/>
          <w:rFonts w:ascii="Arial" w:hAnsi="Arial" w:cs="Arial"/>
          <w:i w:val="0"/>
        </w:rPr>
        <w:t xml:space="preserve">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 je 100 mil. EUR. CLLD sa nebude priamo implementovať prostredníctvom ESF a ENRF. ESF </w:t>
      </w:r>
      <w:r>
        <w:rPr>
          <w:rStyle w:val="Zvraznenie"/>
          <w:rFonts w:ascii="Arial" w:hAnsi="Arial" w:cs="Arial"/>
          <w:i w:val="0"/>
        </w:rPr>
        <w:lastRenderedPageBreak/>
        <w:t>bude podporovať územie MAS nepriamo, a to prostredníctvom OP ĽZ, v rámci ktorého budú medzi oprávnenými prijímateľmi MAS ako aj žiadatelia z územia MAS.</w:t>
      </w:r>
    </w:p>
    <w:p>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  ako aj minimálne limity príspevku fondov EPFRV a EFRR v rámci jednej stratégie.</w:t>
      </w:r>
    </w:p>
    <w:p>
      <w:pPr>
        <w:spacing w:before="120"/>
        <w:jc w:val="both"/>
        <w:rPr>
          <w:rStyle w:val="Zvraznenie"/>
          <w:rFonts w:ascii="Arial" w:hAnsi="Arial" w:cs="Arial"/>
          <w:i w:val="0"/>
        </w:rPr>
      </w:pPr>
    </w:p>
    <w:p>
      <w:pPr>
        <w:pStyle w:val="Nadpis2"/>
        <w:rPr>
          <w:rFonts w:ascii="Arial" w:hAnsi="Arial" w:cs="Arial"/>
        </w:rPr>
      </w:pPr>
      <w:bookmarkStart w:id="149" w:name="_Toc387651881"/>
      <w:r>
        <w:rPr>
          <w:rFonts w:ascii="Arial" w:hAnsi="Arial" w:cs="Arial"/>
        </w:rPr>
        <w:t>4.2 Podpora udržateľného mestského rozvoja</w:t>
      </w:r>
      <w:bookmarkEnd w:id="149"/>
    </w:p>
    <w:p>
      <w:pPr>
        <w:spacing w:before="120"/>
        <w:jc w:val="both"/>
        <w:rPr>
          <w:rStyle w:val="Zvraznenie"/>
          <w:rFonts w:ascii="Arial" w:hAnsi="Arial" w:cs="Arial"/>
          <w:i w:val="0"/>
        </w:rPr>
      </w:pPr>
      <w:r>
        <w:rPr>
          <w:rStyle w:val="Zvraznenie"/>
          <w:rFonts w:ascii="Arial" w:hAnsi="Arial" w:cs="Arial"/>
          <w:i w:val="0"/>
        </w:rPr>
        <w:t xml:space="preserve">Partnerská zmluva 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čerpajúcich zdroje z prioritných osí IROP. 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pPr>
        <w:spacing w:before="120"/>
        <w:jc w:val="both"/>
        <w:rPr>
          <w:rFonts w:ascii="Arial" w:hAnsi="Arial" w:cs="Arial"/>
        </w:rPr>
      </w:pPr>
      <w:r>
        <w:rPr>
          <w:rStyle w:val="Zvraznenie"/>
          <w:rFonts w:ascii="Arial" w:hAnsi="Arial" w:cs="Arial"/>
          <w:i w:val="0"/>
        </w:rPr>
        <w:t xml:space="preserve">Udržateľný mestský rozvoj (ďalej aj „UMR“) sa bude realizovať ako súčasť modelu regionálnych integrovaných územných stratégií, t. z. že samotné stratégie budú obsahovať špecifickú časť venovanú udržateľnému mestskému rozvoju vo vzťahu k stanoveným mestským oblastiam. </w:t>
      </w:r>
      <w:r>
        <w:rPr>
          <w:rFonts w:ascii="Arial" w:hAnsi="Arial" w:cs="Arial"/>
        </w:rPr>
        <w:t xml:space="preserve">Na základe toho sa budú realizovať IÚI pre udržateľný mestský rozvoj. </w:t>
      </w:r>
      <w:r>
        <w:rPr>
          <w:rStyle w:val="Zvraznenie"/>
          <w:rFonts w:ascii="Arial" w:hAnsi="Arial" w:cs="Arial"/>
          <w:i w:val="0"/>
        </w:rPr>
        <w:t>Za účelom prípravy stratégie UMR vytvorí krajské mesto partnerstvo za účasti zástupcov partnerov tvoriacich mestskú funkčnú oblasť.</w:t>
      </w:r>
      <w:r>
        <w:rPr>
          <w:rStyle w:val="Zvraznenie"/>
          <w:rFonts w:ascii="Arial" w:hAnsi="Arial" w:cs="Arial"/>
        </w:rPr>
        <w:t xml:space="preserve"> </w:t>
      </w:r>
      <w:r>
        <w:rPr>
          <w:rStyle w:val="Zvraznenie"/>
          <w:rFonts w:ascii="Arial" w:hAnsi="Arial" w:cs="Arial"/>
          <w:i w:val="0"/>
        </w:rPr>
        <w:t xml:space="preserve">Výkon úloh, minimálne v rozsahu výberu operácií, bude zabezpečený v rámci fungovania a rozhodovacích mechanizmov partnerstva na úrovni danej mestskej funkčnej oblasti. Schvaľovanie projektových zámerov vychádzajúcich zo stratégii pre UMR bude vykonávané zo strany orgánov miest, obcí a ďalších partnerov vo funkčných územiach UMR. </w:t>
      </w: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Style w:val="Siln"/>
          <w:rFonts w:ascii="Arial" w:hAnsi="Arial" w:cs="Arial"/>
        </w:rPr>
      </w:pPr>
    </w:p>
    <w:p>
      <w:pPr>
        <w:rPr>
          <w:rFonts w:ascii="Arial" w:hAnsi="Arial" w:cs="Arial"/>
        </w:rPr>
      </w:pPr>
      <w:r>
        <w:rPr>
          <w:rStyle w:val="Siln"/>
          <w:rFonts w:ascii="Arial" w:hAnsi="Arial" w:cs="Arial"/>
        </w:rPr>
        <w:lastRenderedPageBreak/>
        <w:t xml:space="preserve">Tabuľka č. 47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pPr>
              <w:rPr>
                <w:rFonts w:ascii="Arial" w:hAnsi="Arial" w:cs="Arial"/>
                <w:sz w:val="16"/>
                <w:szCs w:val="16"/>
              </w:rPr>
            </w:pPr>
            <w:r>
              <w:rPr>
                <w:rFonts w:ascii="Arial" w:hAnsi="Arial" w:cs="Arial"/>
                <w:sz w:val="16"/>
                <w:szCs w:val="16"/>
              </w:rPr>
              <w:t>1. Fond</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EFRR 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377 000 000,00</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20,78</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ESF spolu</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sz w:val="16"/>
                <w:szCs w:val="16"/>
              </w:rPr>
            </w:pPr>
            <w:r>
              <w:rPr>
                <w:rFonts w:ascii="Arial" w:hAnsi="Arial" w:cs="Arial"/>
                <w:sz w:val="16"/>
                <w:szCs w:val="16"/>
              </w:rPr>
              <w:t>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377 000 000,00</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20,78</w:t>
            </w:r>
          </w:p>
        </w:tc>
      </w:tr>
    </w:tbl>
    <w:p>
      <w:pPr>
        <w:rPr>
          <w:rFonts w:ascii="Arial" w:hAnsi="Arial" w:cs="Arial"/>
        </w:rPr>
      </w:pPr>
    </w:p>
    <w:p>
      <w:pPr>
        <w:pStyle w:val="Nadpis2"/>
        <w:rPr>
          <w:rFonts w:ascii="Arial" w:hAnsi="Arial" w:cs="Arial"/>
        </w:rPr>
      </w:pPr>
      <w:bookmarkStart w:id="150" w:name="_Toc387651882"/>
      <w:r>
        <w:rPr>
          <w:rFonts w:ascii="Arial" w:hAnsi="Arial" w:cs="Arial"/>
        </w:rPr>
        <w:t>4.3 Integrované územné investície</w:t>
      </w:r>
      <w:bookmarkEnd w:id="150"/>
    </w:p>
    <w:p>
      <w:pPr>
        <w:spacing w:before="120"/>
        <w:jc w:val="both"/>
        <w:rPr>
          <w:rFonts w:ascii="Arial" w:hAnsi="Arial" w:cs="Arial"/>
        </w:rPr>
      </w:pPr>
      <w:r>
        <w:rPr>
          <w:rFonts w:ascii="Arial" w:hAnsi="Arial" w:cs="Arial"/>
        </w:rPr>
        <w:t>Základná požiadavka pre implementáciu integrovaných územných investícií (ďalej aj „IÚI“) je existencia strategického dokumentu, ktorý definuje celkové ciele vrátane očakávaných výsledkov; príslušné územie realizácie IÚI; investičné priority zodpovedajúcich OP; implementačné procesy výkonu stratégií a monitorovací mechanizmus vrátane výsledkových ukazovateľov.</w:t>
      </w:r>
    </w:p>
    <w:p>
      <w:pPr>
        <w:tabs>
          <w:tab w:val="left" w:pos="5670"/>
        </w:tabs>
        <w:jc w:val="both"/>
        <w:rPr>
          <w:rFonts w:ascii="Arial" w:hAnsi="Arial" w:cs="Arial"/>
        </w:rPr>
      </w:pPr>
      <w:r>
        <w:rPr>
          <w:rFonts w:ascii="Arial" w:hAnsi="Arial" w:cs="Arial"/>
        </w:rPr>
        <w:t>IROP bude zväčša implementovaný prostredníctvom regionálnych integrovaných územných stratégií (ďalej aj „RIÚS“). RIÚS budú východiskovými strategickými dokumentmi pre realizáciu IÚI na regionálnej úrovni s dopadom na miestnu úroveň. Budú nástrojom na systematickú a koordinovanú implementáciu finančných prostriedkov z EŠIF (IROP). Na základe RIÚS sa budú realizovať IÚI v zmysle individuálnych alebo integrovaných projektov, ktorých vzájomná realizácia prispieva k plnenie cieľov danej RIÚS. Integrovaný prístup v danom funkčnom území sa zabezpečí tým  že na základe RIÚS bude predkladaný obmedzený počet individuálnych projektov navrhnutých v kontexte príspevku k rozvoju celého funkčného územia RIÚS.</w:t>
      </w:r>
    </w:p>
    <w:p>
      <w:pPr>
        <w:jc w:val="both"/>
        <w:rPr>
          <w:rFonts w:ascii="Arial" w:hAnsi="Arial" w:cs="Arial"/>
        </w:rPr>
      </w:pPr>
      <w:r>
        <w:rPr>
          <w:rFonts w:ascii="Arial" w:hAnsi="Arial" w:cs="Arial"/>
        </w:rPr>
        <w:t xml:space="preserve">Model RIÚS na bude skladať z nasledovných častí: 1) samotný dokument, 2) realizačný mechanizmus RIÚS (implementácia, monitorovanie, hodnotenie). Každá RIÚS bude územne pokrývať územie VÚC (8 RIÚS). </w:t>
      </w:r>
    </w:p>
    <w:p>
      <w:pPr>
        <w:jc w:val="both"/>
        <w:rPr>
          <w:rFonts w:ascii="Arial" w:hAnsi="Arial" w:cs="Arial"/>
        </w:rPr>
      </w:pPr>
      <w:r>
        <w:rPr>
          <w:rFonts w:ascii="Arial" w:hAnsi="Arial" w:cs="Arial"/>
        </w:rPr>
        <w:t>Opatrenia a aktivity - IÚI vychádzajúce z RIÚS budú financované zo všetkých prioritných osí IROP (okrem časti IP 3.1 - v rozsahu návratnej podpory prostredníctvom finančných nástrojov, celej IP 4.1 a PO 5).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 podporu, ktoré budú predkladané na schválenie iných OP a ich ciele budú korešpondovať s plánovanými opatreniami v schválenej RIÚS, budú zvýhodnené v hodnotiacom a výberovom procese.</w:t>
      </w:r>
    </w:p>
    <w:p>
      <w:pPr>
        <w:jc w:val="both"/>
        <w:rPr>
          <w:rFonts w:ascii="Arial" w:hAnsi="Arial" w:cs="Arial"/>
        </w:rPr>
      </w:pPr>
      <w:r>
        <w:rPr>
          <w:rFonts w:ascii="Arial" w:hAnsi="Arial" w:cs="Arial"/>
        </w:rPr>
        <w:t xml:space="preserve">Model RIÚS je aplikáciou princípu partnerstva v súlade č. 5 Nariadenia EP a Rady (EÚ) č. 1303/2013. Nositeľom RIÚS bude partnerstvo pre tvorbu a implementáciu RIÚS (ďalej aj </w:t>
      </w:r>
      <w:r>
        <w:rPr>
          <w:rFonts w:ascii="Arial" w:hAnsi="Arial" w:cs="Arial"/>
        </w:rPr>
        <w:lastRenderedPageBreak/>
        <w:t>„partnerstvo“) zložené z orgánov regionálnej samosprávy (VÚC), miestnej samosprávy (mestá a obce), štátnej správy, miestnych iniciatív (združenia obcí) a ďalších socioekonomických partnerov (záujmové združenia, tretí sektor apod.). Regionálne partnerstvo bude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pPr>
        <w:jc w:val="both"/>
        <w:rPr>
          <w:rFonts w:ascii="Arial" w:hAnsi="Arial" w:cs="Arial"/>
        </w:rPr>
      </w:pPr>
      <w:r>
        <w:rPr>
          <w:rFonts w:ascii="Arial" w:hAnsi="Arial" w:cs="Arial"/>
        </w:rPr>
        <w:t>Pre efektívny výkon RIÚS je potrebné zabezpečovať koordinačné a technicko-organizačné úlohy spojené s prípravou a implementáciou RIÚS. Z pozície orgánu pre koordináciu prípravy a implementácie RIÚS (ďalej len „orgán pre koordináciu RIÚS“) budú  úlohy spojené s prípravou RIÚS (napr. navrhnutie tímu odborníkov, poverených prípravou RIÚS, ich koordinácia, zodpovednosť za prípravu jednotlivých častí RIÚS) a jej implementáciou (napr. zber projektových zámerov, predkladanie zoznamu projektových zámerov Rade partnerstva pre RIÚS na rokovanie) pred konaním o žiadosti o NFP, ako aj zabezpečovanie procesu monitorovania a hodnotenia RIÚS, plniť VÚC. Všetky zásadné rozhodnutia a výstupy orgánov pre koordináciu RIÚS budú podliehať schváleniu Radou partnerstva pre RIÚS. Úlohou RO pre IROP bude vo vzťahu k partnerstvu potvrdzovať jeho rozhodnutia (konečné schválenie RIÚS, konečné schválenie predložených žiadostí o podporu zodpovedajúcich projektovým zámerom schváleným na úrovni Rady partnerstva pre RIÚS, pokiaľ tieto splnia kvalitatívne a formálne náležitosti, dohľad nad napĺňaním stratégie IROP atď.). Prínosom celého modelu RIÚS, t. j. identifikovanie a realizácia priorít na základe konsenzu aktérov daného územia, je predchádzanie negatívnym účinkom nekoordinovaného plánovania, ktoré je typické pre dopytovo orientovaný prístup napr. s dôsledkom vysokého počtu žiadostí o NFP niekoľkonásobne prevyšujúceho alokácie alebo nemožnosti plnohodnotne posudzovať žiadosti vo vzájomných časových, vecných a územných väzbách.</w:t>
      </w:r>
    </w:p>
    <w:p>
      <w:pPr>
        <w:jc w:val="both"/>
        <w:rPr>
          <w:rFonts w:ascii="Arial" w:hAnsi="Arial" w:cs="Arial"/>
        </w:rPr>
      </w:pPr>
      <w:r>
        <w:rPr>
          <w:rFonts w:ascii="Arial" w:hAnsi="Arial" w:cs="Arial"/>
        </w:rPr>
        <w:t>Monitorovanie a hodnotenie na národnej úrovni bude zabezpečovať RO pre IROP, v spolupráci s orgánmi pre koordináciu RIÚS.</w:t>
      </w:r>
    </w:p>
    <w:p>
      <w:pPr>
        <w:jc w:val="both"/>
        <w:rPr>
          <w:rFonts w:ascii="Arial" w:hAnsi="Arial" w:cs="Arial"/>
        </w:rPr>
      </w:pPr>
      <w:r>
        <w:rPr>
          <w:rFonts w:ascii="Arial" w:hAnsi="Arial" w:cs="Arial"/>
        </w:rPr>
        <w:t>Alokácie IROP pridelené na jednotlivé špecifické ciele, kategórie intervencií a hodnoty merateľných ukazovateľov vychádzajú zo súčtu údajov z RIÚS.</w:t>
      </w:r>
    </w:p>
    <w:p>
      <w:pPr>
        <w:jc w:val="both"/>
        <w:rPr>
          <w:rFonts w:ascii="Arial" w:hAnsi="Arial" w:cs="Arial"/>
        </w:rPr>
      </w:pPr>
      <w:r>
        <w:rPr>
          <w:rFonts w:ascii="Arial" w:hAnsi="Arial" w:cs="Arial"/>
        </w:rPr>
        <w:t>Obsahovo budú RIÚS vychádzať z PHSR VÚC, PHSR miest a obcí, regionálnych, sektorových koncepčných dokumentov a ďalších relevantných strategických dokumentov. RIÚS bude záväzných akčným plánom plánovaných aktivít ROP v danom regióne definujúcim konkrétne opatrenia s dôrazom na integrovaný prístup.</w:t>
      </w:r>
    </w:p>
    <w:p>
      <w:pPr>
        <w:jc w:val="both"/>
        <w:rPr>
          <w:rFonts w:ascii="Arial" w:hAnsi="Arial" w:cs="Arial"/>
        </w:rPr>
      </w:pPr>
      <w:r>
        <w:rPr>
          <w:rFonts w:ascii="Arial" w:hAnsi="Arial" w:cs="Arial"/>
        </w:rPr>
        <w:t>Podrobnejšia úprava modelu RIÚS je obsahom metodického pokynu NÁZOV, ktorý vydal RO pre IROP dňa DD. MM. 2014.</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Fonts w:ascii="Arial" w:hAnsi="Arial" w:cs="Arial"/>
        </w:rPr>
      </w:pPr>
      <w:r>
        <w:rPr>
          <w:rStyle w:val="Siln"/>
          <w:rFonts w:ascii="Arial" w:hAnsi="Arial" w:cs="Arial"/>
        </w:rPr>
        <w:lastRenderedPageBreak/>
        <w:t xml:space="preserve">Tabuľka č. 48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pPr>
              <w:rPr>
                <w:rFonts w:ascii="Arial" w:hAnsi="Arial" w:cs="Arial"/>
                <w:sz w:val="16"/>
                <w:szCs w:val="16"/>
              </w:rPr>
            </w:pPr>
            <w:r>
              <w:rPr>
                <w:rFonts w:ascii="Arial" w:hAnsi="Arial" w:cs="Arial"/>
                <w:sz w:val="16"/>
                <w:szCs w:val="16"/>
              </w:rPr>
              <w:t>Priorita</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pP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312 000 000,00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474 913 197,00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bCs w:val="0"/>
                <w:sz w:val="16"/>
                <w:szCs w:val="16"/>
              </w:rPr>
              <w:t>PO 3 Mobilizácia kreatívneho potenciálu v regiónoch</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98 860 548,00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sz w:val="16"/>
                <w:szCs w:val="16"/>
              </w:rPr>
              <w:t>PO 4 Zlepšenie kvality života v regiónoch s dôrazom na životné prostredie</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60 328 116,00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pPr>
              <w:rPr>
                <w:rFonts w:ascii="Arial" w:hAnsi="Arial" w:cs="Arial"/>
                <w:b w:val="0"/>
                <w:sz w:val="16"/>
                <w:szCs w:val="16"/>
              </w:rPr>
            </w:pPr>
            <w:r>
              <w:rPr>
                <w:rFonts w:ascii="Arial" w:hAnsi="Arial" w:cs="Arial"/>
                <w:b w:val="0"/>
                <w:sz w:val="16"/>
                <w:szCs w:val="16"/>
              </w:rPr>
              <w:t>Spolu</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946 101 861,00</w:t>
            </w:r>
          </w:p>
        </w:tc>
      </w:tr>
    </w:tbl>
    <w:p>
      <w:pPr>
        <w:rPr>
          <w:rFonts w:ascii="Arial" w:hAnsi="Arial" w:cs="Arial"/>
        </w:rPr>
      </w:pPr>
    </w:p>
    <w:p>
      <w:pPr>
        <w:pStyle w:val="Nadpis2"/>
        <w:rPr>
          <w:rFonts w:ascii="Arial" w:hAnsi="Arial" w:cs="Arial"/>
        </w:rPr>
      </w:pPr>
      <w:bookmarkStart w:id="151" w:name="_Toc387651883"/>
      <w:r>
        <w:rPr>
          <w:rFonts w:ascii="Arial" w:hAnsi="Arial" w:cs="Arial"/>
        </w:rPr>
        <w:t>4.4 Mechanizmus zabezpečenia koordinácie s aktivitami spolupráce a </w:t>
      </w:r>
      <w:proofErr w:type="spellStart"/>
      <w:r>
        <w:rPr>
          <w:rFonts w:ascii="Arial" w:hAnsi="Arial" w:cs="Arial"/>
        </w:rPr>
        <w:t>makroregionálnymi</w:t>
      </w:r>
      <w:proofErr w:type="spellEnd"/>
      <w:r>
        <w:rPr>
          <w:rFonts w:ascii="Arial" w:hAnsi="Arial" w:cs="Arial"/>
        </w:rPr>
        <w:t xml:space="preserve"> stratégiami a stratégiami súvisiacimi s morskými oblasťami</w:t>
      </w:r>
      <w:bookmarkEnd w:id="151"/>
    </w:p>
    <w:p>
      <w:pPr>
        <w:rPr>
          <w:rFonts w:ascii="Arial" w:hAnsi="Arial" w:cs="Arial"/>
        </w:rPr>
      </w:pPr>
    </w:p>
    <w:p>
      <w:pPr>
        <w:jc w:val="both"/>
        <w:rPr>
          <w:rFonts w:ascii="Arial" w:hAnsi="Arial" w:cs="Arial"/>
        </w:rPr>
      </w:pPr>
      <w:r>
        <w:rPr>
          <w:rFonts w:ascii="Arial" w:hAnsi="Arial" w:cs="Arial"/>
        </w:rPr>
        <w:t xml:space="preserve">Pre dosiahnutie </w:t>
      </w:r>
      <w:proofErr w:type="spellStart"/>
      <w:r>
        <w:rPr>
          <w:rFonts w:ascii="Arial" w:hAnsi="Arial" w:cs="Arial"/>
        </w:rPr>
        <w:t>komplementarity</w:t>
      </w:r>
      <w:proofErr w:type="spellEnd"/>
      <w:r>
        <w:rPr>
          <w:rFonts w:ascii="Arial" w:hAnsi="Arial" w:cs="Arial"/>
        </w:rPr>
        <w:t xml:space="preserve">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pPr>
        <w:jc w:val="both"/>
        <w:rPr>
          <w:rFonts w:ascii="Arial" w:hAnsi="Arial" w:cs="Arial"/>
        </w:rPr>
      </w:pPr>
      <w:r>
        <w:rPr>
          <w:rFonts w:ascii="Arial" w:hAnsi="Arial" w:cs="Arial"/>
        </w:rPr>
        <w:t>Mechanizmus zabezpečenia medziregionálnej a nadnárodnej spolupráce, v rámci OP, s prijímateľmi s iných ČS.</w:t>
      </w:r>
    </w:p>
    <w:p>
      <w:pPr>
        <w:jc w:val="both"/>
        <w:rPr>
          <w:rFonts w:ascii="Arial" w:hAnsi="Arial" w:cs="Arial"/>
        </w:rPr>
      </w:pPr>
      <w:r>
        <w:rPr>
          <w:rFonts w:ascii="Arial" w:hAnsi="Arial" w:cs="Arial"/>
        </w:rPr>
        <w:t xml:space="preserve">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w:t>
      </w:r>
      <w:proofErr w:type="spellStart"/>
      <w:r>
        <w:rPr>
          <w:rFonts w:ascii="Arial" w:hAnsi="Arial" w:cs="Arial"/>
        </w:rPr>
        <w:t>nízkouhlíkových</w:t>
      </w:r>
      <w:proofErr w:type="spellEnd"/>
      <w:r>
        <w:rPr>
          <w:rFonts w:ascii="Arial" w:hAnsi="Arial" w:cs="Arial"/>
        </w:rPr>
        <w:t xml:space="preserve">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w:t>
      </w:r>
      <w:proofErr w:type="spellStart"/>
      <w:r>
        <w:rPr>
          <w:rFonts w:ascii="Arial" w:hAnsi="Arial" w:cs="Arial"/>
        </w:rPr>
        <w:t>acquis</w:t>
      </w:r>
      <w:proofErr w:type="spellEnd"/>
      <w:r>
        <w:rPr>
          <w:rFonts w:ascii="Arial" w:hAnsi="Arial" w:cs="Arial"/>
        </w:rPr>
        <w:t xml:space="preserve">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w:t>
      </w:r>
      <w:r>
        <w:rPr>
          <w:rFonts w:ascii="Arial" w:hAnsi="Arial" w:cs="Arial"/>
        </w:rPr>
        <w:lastRenderedPageBreak/>
        <w:t>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w:t>
      </w:r>
      <w:proofErr w:type="spellStart"/>
      <w:r>
        <w:rPr>
          <w:rFonts w:ascii="Arial" w:hAnsi="Arial" w:cs="Arial"/>
        </w:rPr>
        <w:t>komplementaritu</w:t>
      </w:r>
      <w:proofErr w:type="spellEnd"/>
      <w:r>
        <w:rPr>
          <w:rFonts w:ascii="Arial" w:hAnsi="Arial" w:cs="Arial"/>
        </w:rPr>
        <w:t xml:space="preserve"> a synergiu výzvy na predkladanie žiadostí o ne/návratný finančný príspevok s aktivitami Dunajskej stratégie pred jej vyhlásením a vyhodnotenie príspevku predloží tejto pracovnej skupine na vyjadrenie.  </w:t>
      </w:r>
    </w:p>
    <w:p>
      <w:pPr>
        <w:spacing w:after="0" w:line="240" w:lineRule="auto"/>
        <w:rPr>
          <w:rFonts w:ascii="Arial" w:eastAsia="Times New Roman" w:hAnsi="Arial" w:cs="Arial"/>
          <w:b/>
          <w:bCs/>
          <w:color w:val="31479E"/>
          <w:sz w:val="28"/>
          <w:szCs w:val="28"/>
        </w:rPr>
      </w:pPr>
      <w:r>
        <w:rPr>
          <w:rFonts w:ascii="Arial" w:hAnsi="Arial" w:cs="Arial"/>
        </w:rPr>
        <w:br w:type="page"/>
      </w:r>
    </w:p>
    <w:p>
      <w:pPr>
        <w:pStyle w:val="Nadpis1"/>
        <w:rPr>
          <w:rFonts w:ascii="Arial" w:hAnsi="Arial" w:cs="Arial"/>
        </w:rPr>
      </w:pPr>
      <w:bookmarkStart w:id="152" w:name="_Toc387651884"/>
      <w:r>
        <w:rPr>
          <w:rFonts w:ascii="Arial" w:hAnsi="Arial" w:cs="Arial"/>
        </w:rPr>
        <w:lastRenderedPageBreak/>
        <w:t xml:space="preserve">5 Špecifické potreby geografických oblastí najviac postihnutých chudobou alebo cieľových skupín najviac ohrozených diskrimináciou alebo sociálnym vylúčením s osobitným zreteľom na </w:t>
      </w:r>
      <w:proofErr w:type="spellStart"/>
      <w:r>
        <w:rPr>
          <w:rFonts w:ascii="Arial" w:hAnsi="Arial" w:cs="Arial"/>
        </w:rPr>
        <w:t>marginalizované</w:t>
      </w:r>
      <w:proofErr w:type="spellEnd"/>
      <w:r>
        <w:rPr>
          <w:rFonts w:ascii="Arial" w:hAnsi="Arial" w:cs="Arial"/>
        </w:rPr>
        <w:t xml:space="preserve"> komunity a osoby s postihnutím</w:t>
      </w:r>
      <w:bookmarkEnd w:id="152"/>
    </w:p>
    <w:p>
      <w:pPr>
        <w:pStyle w:val="Nadpis2"/>
        <w:rPr>
          <w:rFonts w:ascii="Arial" w:hAnsi="Arial" w:cs="Arial"/>
        </w:rPr>
      </w:pPr>
      <w:bookmarkStart w:id="153" w:name="_Toc387651885"/>
      <w:r>
        <w:rPr>
          <w:rFonts w:ascii="Arial" w:hAnsi="Arial" w:cs="Arial"/>
        </w:rPr>
        <w:t>5.1 Geografické oblasti najviac postihnuté chudobou/cieľové skupiny najviac ohrozené diskrimináciou</w:t>
      </w:r>
      <w:bookmarkEnd w:id="153"/>
    </w:p>
    <w:p>
      <w:pPr>
        <w:spacing w:before="240"/>
        <w:jc w:val="both"/>
        <w:rPr>
          <w:rFonts w:ascii="Arial" w:hAnsi="Arial" w:cs="Arial"/>
        </w:rPr>
      </w:pPr>
      <w:r>
        <w:rPr>
          <w:rFonts w:ascii="Arial" w:hAnsi="Arial" w:cs="Arial"/>
        </w:rPr>
        <w:t xml:space="preserve">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w:t>
      </w:r>
      <w:proofErr w:type="spellStart"/>
      <w:r>
        <w:rPr>
          <w:rFonts w:ascii="Arial" w:hAnsi="Arial" w:cs="Arial"/>
        </w:rPr>
        <w:t>marginalizovaných</w:t>
      </w:r>
      <w:proofErr w:type="spellEnd"/>
      <w:r>
        <w:rPr>
          <w:rFonts w:ascii="Arial" w:hAnsi="Arial" w:cs="Arial"/>
        </w:rPr>
        <w:t xml:space="preserve">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pPr>
        <w:jc w:val="both"/>
        <w:rPr>
          <w:rFonts w:ascii="Arial" w:hAnsi="Arial" w:cs="Arial"/>
        </w:rPr>
      </w:pPr>
      <w:r>
        <w:rPr>
          <w:rFonts w:ascii="Arial" w:hAnsi="Arial" w:cs="Arial"/>
        </w:rPr>
        <w:t xml:space="preserve">Príslušníci </w:t>
      </w:r>
      <w:proofErr w:type="spellStart"/>
      <w:r>
        <w:rPr>
          <w:rFonts w:ascii="Arial" w:hAnsi="Arial" w:cs="Arial"/>
        </w:rPr>
        <w:t>marginalizovaných</w:t>
      </w:r>
      <w:proofErr w:type="spellEnd"/>
      <w:r>
        <w:rPr>
          <w:rFonts w:ascii="Arial" w:hAnsi="Arial" w:cs="Arial"/>
        </w:rPr>
        <w:t xml:space="preserve">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w:t>
      </w:r>
      <w:proofErr w:type="spellStart"/>
      <w:r>
        <w:rPr>
          <w:rFonts w:ascii="Arial" w:hAnsi="Arial" w:cs="Arial"/>
        </w:rPr>
        <w:t>deprivovaných</w:t>
      </w:r>
      <w:proofErr w:type="spellEnd"/>
      <w:r>
        <w:rPr>
          <w:rFonts w:ascii="Arial" w:hAnsi="Arial" w:cs="Arial"/>
        </w:rPr>
        <w:t xml:space="preserve">.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pPr>
        <w:jc w:val="both"/>
        <w:rPr>
          <w:rFonts w:ascii="Arial" w:hAnsi="Arial" w:cs="Arial"/>
        </w:rPr>
      </w:pPr>
    </w:p>
    <w:p>
      <w:pPr>
        <w:pStyle w:val="Nadpis2"/>
        <w:rPr>
          <w:rFonts w:ascii="Arial" w:hAnsi="Arial" w:cs="Arial"/>
        </w:rPr>
      </w:pPr>
      <w:bookmarkStart w:id="154" w:name="_Toc387651886"/>
      <w:r>
        <w:rPr>
          <w:rFonts w:ascii="Arial" w:hAnsi="Arial" w:cs="Arial"/>
        </w:rPr>
        <w:t>5.2 Stratégia IROP na riešenie špecifických potrieb geografických oblastí/cieľových skupín najviac postihnutých chudobou</w:t>
      </w:r>
      <w:bookmarkEnd w:id="154"/>
    </w:p>
    <w:p>
      <w:pPr>
        <w:rPr>
          <w:rFonts w:ascii="Arial" w:hAnsi="Arial" w:cs="Arial"/>
        </w:rPr>
      </w:pPr>
    </w:p>
    <w:p>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pPr>
        <w:jc w:val="both"/>
        <w:rPr>
          <w:rFonts w:ascii="Arial" w:hAnsi="Arial" w:cs="Arial"/>
        </w:rPr>
      </w:pPr>
      <w:r>
        <w:rPr>
          <w:rFonts w:ascii="Arial" w:hAnsi="Arial" w:cs="Arial"/>
        </w:rPr>
        <w:lastRenderedPageBreak/>
        <w:t xml:space="preserve">Zabezpečením </w:t>
      </w:r>
      <w:proofErr w:type="spellStart"/>
      <w:r>
        <w:rPr>
          <w:rFonts w:ascii="Arial" w:hAnsi="Arial" w:cs="Arial"/>
        </w:rPr>
        <w:t>komplementarity</w:t>
      </w:r>
      <w:proofErr w:type="spellEnd"/>
      <w:r>
        <w:rPr>
          <w:rFonts w:ascii="Arial" w:hAnsi="Arial" w:cs="Arial"/>
        </w:rPr>
        <w:t xml:space="preserve">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pPr>
        <w:rPr>
          <w:rFonts w:ascii="Arial" w:hAnsi="Arial" w:cs="Arial"/>
        </w:rPr>
      </w:pPr>
      <w:r>
        <w:rPr>
          <w:rStyle w:val="Siln"/>
          <w:rFonts w:ascii="Arial" w:hAnsi="Arial" w:cs="Arial"/>
        </w:rPr>
        <w:t xml:space="preserve">Tabuľka č. 49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3"/>
        <w:gridCol w:w="1462"/>
        <w:gridCol w:w="1334"/>
        <w:gridCol w:w="121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pPr>
              <w:rPr>
                <w:rFonts w:ascii="Arial" w:hAnsi="Arial" w:cs="Arial"/>
                <w:sz w:val="16"/>
                <w:szCs w:val="16"/>
              </w:rPr>
            </w:pPr>
            <w:r>
              <w:rPr>
                <w:rFonts w:ascii="Arial" w:hAnsi="Arial" w:cs="Arial"/>
                <w:sz w:val="16"/>
                <w:szCs w:val="16"/>
              </w:rPr>
              <w:t>Cieľová skupina/geografická oblasť</w:t>
            </w:r>
          </w:p>
        </w:tc>
        <w:tc>
          <w:tcPr>
            <w:tcW w:w="1693"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pP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pPr>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pPr>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p>
      <w:pPr>
        <w:rPr>
          <w:rFonts w:eastAsia="Times New Roman"/>
          <w:color w:val="31479E"/>
          <w:sz w:val="28"/>
          <w:szCs w:val="28"/>
        </w:rPr>
      </w:pPr>
      <w:r>
        <w:br w:type="page"/>
      </w:r>
    </w:p>
    <w:p>
      <w:pPr>
        <w:pStyle w:val="Nadpis1"/>
        <w:rPr>
          <w:rFonts w:ascii="Arial" w:hAnsi="Arial" w:cs="Arial"/>
        </w:rPr>
      </w:pPr>
      <w:bookmarkStart w:id="155" w:name="_Toc387651887"/>
      <w:r>
        <w:rPr>
          <w:rFonts w:ascii="Arial" w:hAnsi="Arial" w:cs="Arial"/>
        </w:rPr>
        <w:lastRenderedPageBreak/>
        <w:t>6 Špecifické potreby geografických oblastí závažne a trvalo znevýhodnených prírodnými a demografickými podmienkami</w:t>
      </w:r>
      <w:bookmarkEnd w:id="155"/>
    </w:p>
    <w:p>
      <w:pPr>
        <w:rPr>
          <w:rFonts w:ascii="Arial" w:hAnsi="Arial" w:cs="Arial"/>
          <w:i/>
          <w:color w:val="4EACF3"/>
        </w:rPr>
      </w:pPr>
    </w:p>
    <w:p>
      <w:pPr>
        <w:jc w:val="both"/>
        <w:rPr>
          <w:rFonts w:ascii="Arial" w:hAnsi="Arial" w:cs="Arial"/>
        </w:rPr>
      </w:pPr>
      <w:r>
        <w:rPr>
          <w:rFonts w:ascii="Arial" w:hAnsi="Arial" w:cs="Arial"/>
        </w:rPr>
        <w:t>Pre IROP – N/A.</w:t>
      </w:r>
    </w:p>
    <w:p>
      <w:pPr>
        <w:pStyle w:val="Nadpis1"/>
        <w:rPr>
          <w:rFonts w:ascii="Arial" w:hAnsi="Arial" w:cs="Arial"/>
        </w:rPr>
      </w:pPr>
      <w:bookmarkStart w:id="156" w:name="_Toc387651888"/>
      <w:r>
        <w:rPr>
          <w:rFonts w:ascii="Arial" w:hAnsi="Arial" w:cs="Arial"/>
        </w:rPr>
        <w:t>7 Orgány zodpovedné za riadenie, kontrolu a audit a úlohy relevantných partnerov</w:t>
      </w:r>
      <w:bookmarkEnd w:id="156"/>
    </w:p>
    <w:p>
      <w:pPr>
        <w:pStyle w:val="Nadpis2"/>
        <w:rPr>
          <w:rFonts w:ascii="Arial" w:hAnsi="Arial" w:cs="Arial"/>
        </w:rPr>
      </w:pPr>
      <w:bookmarkStart w:id="157" w:name="_Toc387651889"/>
      <w:r>
        <w:rPr>
          <w:rFonts w:ascii="Arial" w:hAnsi="Arial" w:cs="Arial"/>
        </w:rPr>
        <w:t>7.1 Identifikácia relevantných orgánov</w:t>
      </w:r>
      <w:bookmarkEnd w:id="157"/>
    </w:p>
    <w:p>
      <w:pPr>
        <w:rPr>
          <w:rFonts w:ascii="Arial" w:hAnsi="Arial" w:cs="Arial"/>
        </w:rPr>
      </w:pPr>
    </w:p>
    <w:p>
      <w:pPr>
        <w:rPr>
          <w:rFonts w:ascii="Arial" w:hAnsi="Arial" w:cs="Arial"/>
        </w:rPr>
      </w:pPr>
      <w:r>
        <w:rPr>
          <w:rStyle w:val="Siln"/>
          <w:rFonts w:ascii="Arial" w:hAnsi="Arial" w:cs="Arial"/>
        </w:rPr>
        <w:t xml:space="preserve">Tabuľka č. 50 </w:t>
      </w:r>
      <w:r>
        <w:rPr>
          <w:rStyle w:val="Zvraznenie"/>
          <w:rFonts w:ascii="Arial" w:hAnsi="Arial" w:cs="Arial"/>
        </w:rPr>
        <w:t>Identifikácia a kontaktné údaje relevantných orgánov</w:t>
      </w:r>
    </w:p>
    <w:tbl>
      <w:tblP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tc>
          <w:tcPr>
            <w:tcW w:w="237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Vedúci Úradu vlády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pôdohospodárstva a rozvoja vidieka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pPr>
              <w:spacing w:after="0" w:line="240" w:lineRule="auto"/>
              <w:rPr>
                <w:rFonts w:ascii="Arial" w:hAnsi="Arial" w:cs="Arial"/>
                <w:sz w:val="20"/>
                <w:szCs w:val="20"/>
              </w:rPr>
            </w:pPr>
            <w:r>
              <w:rPr>
                <w:rFonts w:ascii="Arial" w:hAnsi="Arial" w:cs="Arial"/>
                <w:sz w:val="20"/>
                <w:szCs w:val="20"/>
              </w:rPr>
              <w:t>Minister kultúry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pPr>
              <w:spacing w:after="0" w:line="240" w:lineRule="auto"/>
              <w:rPr>
                <w:rFonts w:ascii="Arial" w:hAnsi="Arial" w:cs="Arial"/>
                <w:sz w:val="20"/>
                <w:szCs w:val="20"/>
              </w:rPr>
            </w:pPr>
            <w:r>
              <w:rPr>
                <w:rFonts w:ascii="Arial" w:hAnsi="Arial" w:cs="Arial"/>
                <w:sz w:val="20"/>
                <w:szCs w:val="20"/>
              </w:rPr>
              <w:t>Minister zdravotníctva SR</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Vyšší územný celok</w:t>
            </w:r>
          </w:p>
        </w:tc>
        <w:tc>
          <w:tcPr>
            <w:tcW w:w="2551" w:type="dxa"/>
            <w:vAlign w:val="center"/>
          </w:tcPr>
          <w:p>
            <w:pPr>
              <w:spacing w:after="0" w:line="240" w:lineRule="auto"/>
              <w:rPr>
                <w:rFonts w:ascii="Arial" w:hAnsi="Arial" w:cs="Arial"/>
                <w:sz w:val="20"/>
                <w:szCs w:val="20"/>
              </w:rPr>
            </w:pPr>
            <w:r>
              <w:rPr>
                <w:rFonts w:ascii="Arial" w:hAnsi="Arial" w:cs="Arial"/>
                <w:sz w:val="20"/>
                <w:szCs w:val="20"/>
              </w:rPr>
              <w:t>Predseda vyššieho územného celku</w:t>
            </w:r>
          </w:p>
        </w:tc>
      </w:tr>
      <w:tr>
        <w:tblPrEx>
          <w:tblLook w:val="00A0" w:firstRow="1" w:lastRow="0" w:firstColumn="1" w:lastColumn="0" w:noHBand="0" w:noVBand="0"/>
        </w:tblPrEx>
        <w:tc>
          <w:tcPr>
            <w:tcW w:w="2376" w:type="dxa"/>
          </w:tcPr>
          <w:p>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pPr>
              <w:spacing w:after="0" w:line="240" w:lineRule="auto"/>
              <w:rPr>
                <w:rFonts w:ascii="Arial" w:hAnsi="Arial" w:cs="Arial"/>
                <w:sz w:val="20"/>
                <w:szCs w:val="20"/>
              </w:rPr>
            </w:pPr>
            <w:r>
              <w:rPr>
                <w:rFonts w:ascii="Arial" w:hAnsi="Arial" w:cs="Arial"/>
                <w:sz w:val="20"/>
                <w:szCs w:val="20"/>
              </w:rPr>
              <w:t>Obec v sídle kraja</w:t>
            </w:r>
          </w:p>
        </w:tc>
        <w:tc>
          <w:tcPr>
            <w:tcW w:w="2551" w:type="dxa"/>
            <w:vAlign w:val="center"/>
          </w:tcPr>
          <w:p>
            <w:pPr>
              <w:spacing w:after="0" w:line="240" w:lineRule="auto"/>
              <w:rPr>
                <w:rFonts w:ascii="Arial" w:hAnsi="Arial" w:cs="Arial"/>
                <w:sz w:val="20"/>
                <w:szCs w:val="20"/>
              </w:rPr>
            </w:pPr>
            <w:r>
              <w:rPr>
                <w:rFonts w:ascii="Arial" w:hAnsi="Arial" w:cs="Arial"/>
                <w:sz w:val="20"/>
                <w:szCs w:val="20"/>
              </w:rPr>
              <w:t>Primátor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r>
        <w:tc>
          <w:tcPr>
            <w:tcW w:w="2376"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w:hAnsi="Arial" w:cs="Arial"/>
                <w:sz w:val="20"/>
                <w:szCs w:val="20"/>
              </w:rPr>
            </w:pPr>
            <w:r>
              <w:rPr>
                <w:rFonts w:ascii="Arial" w:hAnsi="Arial" w:cs="Arial"/>
                <w:sz w:val="20"/>
                <w:szCs w:val="20"/>
              </w:rPr>
              <w:t>Minister financií SR</w:t>
            </w:r>
          </w:p>
        </w:tc>
      </w:tr>
    </w:tbl>
    <w:p>
      <w:pPr>
        <w:rPr>
          <w:rFonts w:ascii="Arial" w:hAnsi="Arial" w:cs="Arial"/>
        </w:rPr>
      </w:pPr>
    </w:p>
    <w:p>
      <w:pPr>
        <w:pStyle w:val="Nadpis2"/>
        <w:rPr>
          <w:rFonts w:ascii="Arial" w:hAnsi="Arial" w:cs="Arial"/>
        </w:rPr>
      </w:pPr>
      <w:bookmarkStart w:id="158" w:name="_Toc387651890"/>
      <w:r>
        <w:rPr>
          <w:rFonts w:ascii="Arial" w:hAnsi="Arial" w:cs="Arial"/>
        </w:rPr>
        <w:t>7.2 Opatrenia na zapojenie relevantných partnerov pri príprave IROP, úloha partnerov pri implementácii, monitorovaní a hodnotení IROP</w:t>
      </w:r>
      <w:bookmarkEnd w:id="158"/>
    </w:p>
    <w:p>
      <w:pPr>
        <w:pStyle w:val="Nadpis3"/>
        <w:rPr>
          <w:rFonts w:ascii="Arial" w:hAnsi="Arial" w:cs="Arial"/>
        </w:rPr>
      </w:pPr>
      <w:bookmarkStart w:id="159" w:name="_Toc387651891"/>
      <w:r>
        <w:rPr>
          <w:rFonts w:ascii="Arial" w:hAnsi="Arial" w:cs="Arial"/>
        </w:rPr>
        <w:t>7.2.1. Úloha relevantných partnerov pri príprave, implementácii, monitorovaní a hodnotení IROP</w:t>
      </w:r>
      <w:bookmarkEnd w:id="159"/>
    </w:p>
    <w:p>
      <w:pPr>
        <w:rPr>
          <w:rFonts w:ascii="Arial" w:hAnsi="Arial" w:cs="Arial"/>
        </w:rPr>
      </w:pPr>
    </w:p>
    <w:p>
      <w:pPr>
        <w:jc w:val="both"/>
        <w:rPr>
          <w:rFonts w:ascii="Arial" w:hAnsi="Arial" w:cs="Arial"/>
        </w:rPr>
      </w:pPr>
      <w:r>
        <w:rPr>
          <w:rFonts w:ascii="Arial" w:hAnsi="Arial" w:cs="Arial"/>
        </w:rPr>
        <w:t xml:space="preserve">Už od úvodných fáz prípravy programového dokumentu IROP sa začala aktívna spolupráca s CKO, Úradom Podpredsedu vlády SR pre investície a ostatnými riadiacimi orgánmi. V </w:t>
      </w:r>
      <w:r>
        <w:rPr>
          <w:rFonts w:ascii="Arial" w:hAnsi="Arial" w:cs="Arial"/>
        </w:rPr>
        <w:lastRenderedPageBreak/>
        <w:t xml:space="preserve">poslednom prípade bola spolupráca zameraná na zladenie synergií a </w:t>
      </w:r>
      <w:proofErr w:type="spellStart"/>
      <w:r>
        <w:rPr>
          <w:rFonts w:ascii="Arial" w:hAnsi="Arial" w:cs="Arial"/>
        </w:rPr>
        <w:t>komplementarít</w:t>
      </w:r>
      <w:proofErr w:type="spellEnd"/>
      <w:r>
        <w:rPr>
          <w:rFonts w:ascii="Arial" w:hAnsi="Arial" w:cs="Arial"/>
        </w:rPr>
        <w:t xml:space="preserve"> podpory v rámci novovzniknutých operačných programov.</w:t>
      </w:r>
    </w:p>
    <w:p>
      <w:pPr>
        <w:jc w:val="both"/>
        <w:rPr>
          <w:rFonts w:ascii="Arial" w:hAnsi="Arial" w:cs="Arial"/>
        </w:rPr>
      </w:pPr>
      <w:r>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pPr>
        <w:jc w:val="both"/>
        <w:rPr>
          <w:rFonts w:ascii="Arial" w:hAnsi="Arial" w:cs="Arial"/>
        </w:rPr>
      </w:pPr>
      <w:r>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pPr>
        <w:jc w:val="both"/>
        <w:rPr>
          <w:rFonts w:ascii="Arial" w:hAnsi="Arial" w:cs="Arial"/>
        </w:rPr>
      </w:pPr>
      <w:r>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pPr>
        <w:jc w:val="both"/>
        <w:rPr>
          <w:rFonts w:ascii="Arial" w:hAnsi="Arial" w:cs="Arial"/>
          <w:i/>
        </w:rPr>
      </w:pPr>
      <w:r>
        <w:rPr>
          <w:rFonts w:ascii="Arial" w:hAnsi="Arial" w:cs="Arial"/>
        </w:rPr>
        <w:t xml:space="preserve">Pracovná skupina zasadala v dňoch 26. 03. 2013, 16. 05. 2013, 23. 10. 2013 a 31.1. – 14. 2. 2014 (formou per </w:t>
      </w:r>
      <w:proofErr w:type="spellStart"/>
      <w:r>
        <w:rPr>
          <w:rFonts w:ascii="Arial" w:hAnsi="Arial" w:cs="Arial"/>
        </w:rPr>
        <w:t>rollam</w:t>
      </w:r>
      <w:proofErr w:type="spellEnd"/>
      <w:r>
        <w:rPr>
          <w:rFonts w:ascii="Arial" w:hAnsi="Arial" w:cs="Arial"/>
        </w:rPr>
        <w:t xml:space="preserve">).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w:t>
      </w:r>
      <w:r>
        <w:rPr>
          <w:rFonts w:ascii="Arial" w:hAnsi="Arial" w:cs="Arial"/>
        </w:rPr>
        <w:lastRenderedPageBreak/>
        <w:t>zdravotníctva k oblasti podpory zdravotníckej infraštruktúry. S rezortom kultúry sa uskutočnili stretnutia v dňoch 12. 12. 2013 a 08. 04. 2014 k oblasti podpory kultúrneho a kreatívneho priemyslu.</w:t>
      </w:r>
      <w:r>
        <w:rPr>
          <w:rStyle w:val="Zvraznenie"/>
          <w:rFonts w:ascii="Arial" w:hAnsi="Arial" w:cs="Arial"/>
          <w:i w:val="0"/>
        </w:rPr>
        <w:t xml:space="preserve">. </w:t>
      </w:r>
    </w:p>
    <w:p>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pPr>
        <w:jc w:val="both"/>
        <w:rPr>
          <w:rFonts w:ascii="Arial" w:hAnsi="Arial" w:cs="Arial"/>
        </w:rPr>
      </w:pPr>
      <w:r>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pPr>
        <w:jc w:val="both"/>
        <w:rPr>
          <w:rFonts w:ascii="Arial" w:hAnsi="Arial" w:cs="Arial"/>
        </w:rPr>
      </w:pPr>
      <w:r>
        <w:rPr>
          <w:rFonts w:ascii="Arial" w:hAnsi="Arial" w:cs="Arial"/>
        </w:rPr>
        <w:t>Princíp partnerstva bude riadne uplatňovaný aj v procese implementácie, monitorovania</w:t>
      </w:r>
      <w:r>
        <w:rPr>
          <w:rFonts w:ascii="Arial" w:hAnsi="Arial" w:cs="Arial"/>
        </w:rPr>
        <w:br/>
        <w:t>a hodnotenia IROP. Na programovej úrovni bude fungovanie partnerstva zabezpečené v rámci monitorovania a hodnotenia IROP, a to prostredníctvom členstva v Monitorovacom výbore pre IROP vrátane členstva Centrálneho koordinačného orgánu.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pPr>
        <w:jc w:val="both"/>
        <w:rPr>
          <w:rFonts w:ascii="Arial" w:hAnsi="Arial" w:cs="Arial"/>
        </w:rPr>
      </w:pPr>
    </w:p>
    <w:p>
      <w:pPr>
        <w:pStyle w:val="Nadpis3"/>
        <w:rPr>
          <w:rFonts w:ascii="Arial" w:hAnsi="Arial" w:cs="Arial"/>
        </w:rPr>
      </w:pPr>
      <w:bookmarkStart w:id="160" w:name="_Toc387651892"/>
      <w:r>
        <w:rPr>
          <w:rFonts w:ascii="Arial" w:hAnsi="Arial" w:cs="Arial"/>
        </w:rPr>
        <w:t>7.2.2 Pre ESF: Globálne granty</w:t>
      </w:r>
      <w:bookmarkEnd w:id="160"/>
    </w:p>
    <w:p>
      <w:pPr>
        <w:jc w:val="both"/>
        <w:rPr>
          <w:rFonts w:ascii="Arial" w:hAnsi="Arial" w:cs="Arial"/>
        </w:rPr>
      </w:pPr>
      <w:r>
        <w:rPr>
          <w:rFonts w:ascii="Arial" w:hAnsi="Arial" w:cs="Arial"/>
        </w:rPr>
        <w:t>Pre IROP – N/A</w:t>
      </w:r>
    </w:p>
    <w:p>
      <w:pPr>
        <w:pStyle w:val="Nadpis3"/>
        <w:rPr>
          <w:rFonts w:ascii="Arial" w:hAnsi="Arial" w:cs="Arial"/>
        </w:rPr>
      </w:pPr>
      <w:bookmarkStart w:id="161" w:name="_Toc387651893"/>
      <w:r>
        <w:rPr>
          <w:rFonts w:ascii="Arial" w:hAnsi="Arial" w:cs="Arial"/>
        </w:rPr>
        <w:t>7.2.3 Pre ESF: Budovanie kapacít</w:t>
      </w:r>
      <w:bookmarkEnd w:id="161"/>
    </w:p>
    <w:p>
      <w:pPr>
        <w:jc w:val="both"/>
        <w:rPr>
          <w:rFonts w:ascii="Arial" w:hAnsi="Arial" w:cs="Arial"/>
        </w:rPr>
      </w:pPr>
      <w:r>
        <w:rPr>
          <w:rFonts w:ascii="Arial" w:hAnsi="Arial" w:cs="Arial"/>
        </w:rPr>
        <w:t>Pre IROP – N/A</w:t>
      </w:r>
    </w:p>
    <w:p>
      <w:pPr>
        <w:pStyle w:val="Nadpis1"/>
        <w:rPr>
          <w:rFonts w:ascii="Arial" w:hAnsi="Arial" w:cs="Arial"/>
        </w:rPr>
      </w:pPr>
      <w:bookmarkStart w:id="162" w:name="_Toc387651894"/>
      <w:r>
        <w:rPr>
          <w:rFonts w:ascii="Arial" w:hAnsi="Arial" w:cs="Arial"/>
        </w:rPr>
        <w:lastRenderedPageBreak/>
        <w:t>8 Koordinácia medzi fondmi, EPFRV, EFNRH a ostatnými národnými a EÚ nástrojmi, a EIB</w:t>
      </w:r>
      <w:bookmarkEnd w:id="162"/>
    </w:p>
    <w:p>
      <w:pPr>
        <w:rPr>
          <w:rFonts w:ascii="Arial" w:hAnsi="Arial" w:cs="Arial"/>
        </w:rPr>
      </w:pPr>
    </w:p>
    <w:p>
      <w:pPr>
        <w:jc w:val="both"/>
        <w:rPr>
          <w:rFonts w:ascii="Arial" w:hAnsi="Arial" w:cs="Arial"/>
          <w:bCs/>
          <w:iCs/>
          <w:szCs w:val="20"/>
        </w:rPr>
      </w:pPr>
      <w:r>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pPr>
        <w:jc w:val="both"/>
        <w:rPr>
          <w:rFonts w:ascii="Arial" w:hAnsi="Arial" w:cs="Arial"/>
          <w:bCs/>
          <w:iCs/>
          <w:szCs w:val="20"/>
        </w:rPr>
      </w:pPr>
      <w:r>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pPr>
        <w:jc w:val="both"/>
        <w:rPr>
          <w:rFonts w:ascii="Arial" w:hAnsi="Arial" w:cs="Arial"/>
        </w:rPr>
      </w:pPr>
      <w:r>
        <w:rPr>
          <w:rFonts w:ascii="Arial" w:hAnsi="Arial" w:cs="Arial"/>
        </w:rPr>
        <w:t xml:space="preserve">Doplnkovosť IROP je zrejmá v prípade </w:t>
      </w:r>
      <w:r>
        <w:rPr>
          <w:rFonts w:ascii="Arial" w:hAnsi="Arial" w:cs="Arial"/>
          <w:b/>
        </w:rPr>
        <w:t>OP a nástrojov Cieľa 2 Európska územná spolupráca</w:t>
      </w:r>
      <w:r>
        <w:rPr>
          <w:rFonts w:ascii="Arial" w:hAnsi="Arial" w:cs="Arial"/>
        </w:rPr>
        <w:t xml:space="preserve">. </w:t>
      </w:r>
      <w:proofErr w:type="spellStart"/>
      <w:r>
        <w:rPr>
          <w:rFonts w:ascii="Arial" w:hAnsi="Arial" w:cs="Arial"/>
        </w:rPr>
        <w:t>Komplementarita</w:t>
      </w:r>
      <w:proofErr w:type="spellEnd"/>
      <w:r>
        <w:rPr>
          <w:rFonts w:ascii="Arial" w:hAnsi="Arial" w:cs="Arial"/>
        </w:rPr>
        <w:t xml:space="preserve"> IROP a </w:t>
      </w:r>
      <w:r>
        <w:rPr>
          <w:rFonts w:ascii="Arial" w:hAnsi="Arial" w:cs="Arial"/>
          <w:b/>
        </w:rPr>
        <w:t>OP cezhraničnej spolupráce</w:t>
      </w:r>
      <w:r>
        <w:rPr>
          <w:rFonts w:ascii="Arial" w:hAnsi="Arial" w:cs="Arial"/>
        </w:rPr>
        <w:t xml:space="preserve"> sa predpokladá </w:t>
      </w:r>
      <w:proofErr w:type="spellStart"/>
      <w:r>
        <w:rPr>
          <w:rFonts w:ascii="Arial" w:hAnsi="Arial" w:cs="Arial"/>
        </w:rPr>
        <w:t>sv</w:t>
      </w:r>
      <w:proofErr w:type="spellEnd"/>
      <w:r>
        <w:rPr>
          <w:rFonts w:ascii="Arial" w:hAnsi="Arial" w:cs="Arial"/>
        </w:rPr>
        <w:t> nasledovných oblastiach: doprava (napr. zlepšenie kvality cestnej siete s ohľadom na prepojenosť prihraničných území, využívanie ekologických foriem dopravy); oblasť ŽP (ochrana a rozvoj kult. a </w:t>
      </w:r>
      <w:proofErr w:type="spellStart"/>
      <w:r>
        <w:rPr>
          <w:rFonts w:ascii="Arial" w:hAnsi="Arial" w:cs="Arial"/>
        </w:rPr>
        <w:t>prír</w:t>
      </w:r>
      <w:proofErr w:type="spellEnd"/>
      <w:r>
        <w:rPr>
          <w:rFonts w:ascii="Arial" w:hAnsi="Arial" w:cs="Arial"/>
        </w:rPr>
        <w:t xml:space="preserve">. dedičstva a zachovanie biodiverzity); výskum a inovácie (napr.  cezhraničná spolupráca  subjektov výskumu, vývoja a podnikateľskej sféry, cezhraničné inovačné platformy apod. ); vzdelávanie (posilnenie odborného a celoživotného vzdelávania a praxe); posilňovanie inštitucionálnych kapacít a efektívnej verejnej správy). OP </w:t>
      </w:r>
      <w:r>
        <w:rPr>
          <w:rFonts w:ascii="Arial" w:hAnsi="Arial" w:cs="Arial"/>
          <w:b/>
        </w:rPr>
        <w:t>ENI HU-SK-RO-UA 2014 – 2020</w:t>
      </w:r>
      <w:r>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w:t>
      </w:r>
      <w:proofErr w:type="spellStart"/>
      <w:r>
        <w:rPr>
          <w:rFonts w:ascii="Arial" w:hAnsi="Arial" w:cs="Arial"/>
        </w:rPr>
        <w:t>komplementaritu</w:t>
      </w:r>
      <w:proofErr w:type="spellEnd"/>
      <w:r>
        <w:rPr>
          <w:rFonts w:ascii="Arial" w:hAnsi="Arial" w:cs="Arial"/>
        </w:rPr>
        <w:t xml:space="preserve"> a synergiu výzvy s aktivitami DS pred jej vyhlásením a vyhodnotenie príspevku predloží pracovnej skupine na vyjadrenie.</w:t>
      </w:r>
    </w:p>
    <w:p>
      <w:pPr>
        <w:tabs>
          <w:tab w:val="left" w:pos="0"/>
        </w:tabs>
        <w:jc w:val="both"/>
        <w:rPr>
          <w:rFonts w:ascii="Arial" w:hAnsi="Arial" w:cs="Arial"/>
          <w:bCs/>
        </w:rPr>
      </w:pPr>
      <w:proofErr w:type="spellStart"/>
      <w:r>
        <w:rPr>
          <w:rFonts w:ascii="Arial" w:hAnsi="Arial" w:cs="Arial"/>
        </w:rPr>
        <w:t>Komplementarita</w:t>
      </w:r>
      <w:proofErr w:type="spellEnd"/>
      <w:r>
        <w:rPr>
          <w:rFonts w:ascii="Arial" w:hAnsi="Arial" w:cs="Arial"/>
        </w:rPr>
        <w:t xml:space="preserve"> je predpokladaná aj s</w:t>
      </w:r>
      <w:r>
        <w:rPr>
          <w:rFonts w:ascii="Arial" w:hAnsi="Arial" w:cs="Arial"/>
          <w:b/>
        </w:rPr>
        <w:t> Programom nadnárodnej spolupráce Stredná Európa 2014-2020</w:t>
      </w:r>
      <w:r>
        <w:rPr>
          <w:rFonts w:ascii="Arial" w:hAnsi="Arial" w:cs="Arial"/>
        </w:rPr>
        <w:t xml:space="preserve"> v rámci cieľa EÚS, ktorý je </w:t>
      </w:r>
      <w:r>
        <w:rPr>
          <w:rFonts w:ascii="Arial" w:hAnsi="Arial" w:cs="Arial"/>
          <w:bCs/>
        </w:rPr>
        <w:t xml:space="preserve">zameraný na 4 oblasti spolupráce krajín Strednej Európy: inovácie s cieľom zvýšenia konkurencieschopnosti; </w:t>
      </w:r>
      <w:proofErr w:type="spellStart"/>
      <w:r>
        <w:rPr>
          <w:rFonts w:ascii="Arial" w:hAnsi="Arial" w:cs="Arial"/>
          <w:bCs/>
        </w:rPr>
        <w:t>nízkouhlíkové</w:t>
      </w:r>
      <w:proofErr w:type="spellEnd"/>
      <w:r>
        <w:rPr>
          <w:rFonts w:ascii="Arial" w:hAnsi="Arial" w:cs="Arial"/>
          <w:bCs/>
        </w:rPr>
        <w:t xml:space="preserve"> stratégie; prírodné a kultúrne zdroje pre udržateľný rast; doprava so zameraním na lepšie prepojenie Strednej Európy. </w:t>
      </w:r>
    </w:p>
    <w:p>
      <w:pPr>
        <w:jc w:val="both"/>
        <w:rPr>
          <w:rFonts w:ascii="Arial" w:hAnsi="Arial" w:cs="Arial"/>
          <w:i/>
          <w:u w:val="single"/>
        </w:rPr>
      </w:pPr>
      <w:r>
        <w:rPr>
          <w:rFonts w:ascii="Arial" w:hAnsi="Arial" w:cs="Arial"/>
          <w:bCs/>
        </w:rPr>
        <w:t xml:space="preserve">Doplnkovosť aktivít IROP je predpokladaná s  programom </w:t>
      </w:r>
      <w:r>
        <w:rPr>
          <w:rFonts w:ascii="Arial" w:hAnsi="Arial" w:cs="Arial"/>
          <w:b/>
          <w:bCs/>
        </w:rPr>
        <w:t>URBACT III</w:t>
      </w:r>
      <w:r>
        <w:rPr>
          <w:rFonts w:ascii="Arial" w:hAnsi="Arial" w:cs="Arial"/>
          <w:bCs/>
        </w:rPr>
        <w:t xml:space="preserve">, ktorý je zameraný na </w:t>
      </w:r>
      <w:r>
        <w:rPr>
          <w:rFonts w:ascii="Arial" w:hAnsi="Arial" w:cs="Arial"/>
        </w:rPr>
        <w:t xml:space="preserve">podporu integrovaného prístupu k UMR a poskytuje zapojeným subjektom prostredníctvom </w:t>
      </w:r>
      <w:r>
        <w:rPr>
          <w:rFonts w:ascii="Arial" w:hAnsi="Arial" w:cs="Arial"/>
        </w:rPr>
        <w:lastRenderedPageBreak/>
        <w:t>sietí miest prenos poznatkov a výmenu skúseností na účinnú prípravu politík pre inovatívne mestské riešenia. Skúsenosti získané vďaka URBACT III sú vhodné pri príprave a implementácii opatrení UMR v IROP.</w:t>
      </w:r>
    </w:p>
    <w:p>
      <w:pPr>
        <w:jc w:val="both"/>
        <w:rPr>
          <w:rFonts w:ascii="Arial" w:hAnsi="Arial" w:cs="Arial"/>
          <w:b/>
        </w:rPr>
      </w:pPr>
      <w:r>
        <w:rPr>
          <w:rFonts w:ascii="Arial" w:hAnsi="Arial" w:cs="Arial"/>
        </w:rPr>
        <w:t xml:space="preserve">Rámcovo je možné uviesť aj potenciálnu </w:t>
      </w:r>
      <w:proofErr w:type="spellStart"/>
      <w:r>
        <w:rPr>
          <w:rFonts w:ascii="Arial" w:hAnsi="Arial" w:cs="Arial"/>
        </w:rPr>
        <w:t>komplementaritu</w:t>
      </w:r>
      <w:proofErr w:type="spellEnd"/>
      <w:r>
        <w:rPr>
          <w:rFonts w:ascii="Arial" w:hAnsi="Arial" w:cs="Arial"/>
        </w:rPr>
        <w:t xml:space="preserve"> IROP </w:t>
      </w:r>
      <w:r>
        <w:rPr>
          <w:rFonts w:ascii="Arial" w:hAnsi="Arial" w:cs="Arial"/>
          <w:b/>
        </w:rPr>
        <w:t>s komunitárnymi programami</w:t>
      </w:r>
      <w:r>
        <w:rPr>
          <w:rFonts w:ascii="Arial" w:hAnsi="Arial" w:cs="Arial"/>
        </w:rPr>
        <w:t xml:space="preserve">: Horizont 2020, </w:t>
      </w:r>
      <w:proofErr w:type="spellStart"/>
      <w:r>
        <w:rPr>
          <w:rFonts w:ascii="Arial" w:hAnsi="Arial" w:cs="Arial"/>
        </w:rPr>
        <w:t>Erasmus</w:t>
      </w:r>
      <w:proofErr w:type="spellEnd"/>
      <w:r>
        <w:rPr>
          <w:rFonts w:ascii="Arial" w:hAnsi="Arial" w:cs="Arial"/>
        </w:rPr>
        <w:t xml:space="preserve">+, </w:t>
      </w:r>
      <w:proofErr w:type="spellStart"/>
      <w:r>
        <w:rPr>
          <w:rFonts w:ascii="Arial" w:hAnsi="Arial" w:cs="Arial"/>
        </w:rPr>
        <w:t>Life</w:t>
      </w:r>
      <w:proofErr w:type="spellEnd"/>
      <w:r>
        <w:rPr>
          <w:rFonts w:ascii="Arial" w:hAnsi="Arial" w:cs="Arial"/>
        </w:rPr>
        <w:t>+, COSME a Kreatívna Európa a </w:t>
      </w:r>
      <w:r>
        <w:rPr>
          <w:rFonts w:ascii="Arial" w:hAnsi="Arial" w:cs="Arial"/>
          <w:b/>
        </w:rPr>
        <w:t>nástrojom štátnej podpory</w:t>
      </w:r>
      <w:r>
        <w:rPr>
          <w:rFonts w:ascii="Arial" w:hAnsi="Arial" w:cs="Arial"/>
        </w:rPr>
        <w:t xml:space="preserve"> starostlivosti o ŽP – Environmentálnym fondom.</w:t>
      </w:r>
    </w:p>
    <w:p>
      <w:pPr>
        <w:jc w:val="both"/>
        <w:rPr>
          <w:rFonts w:ascii="Arial" w:hAnsi="Arial" w:cs="Arial"/>
        </w:rPr>
      </w:pPr>
      <w:r>
        <w:rPr>
          <w:rFonts w:ascii="Arial" w:hAnsi="Arial" w:cs="Arial"/>
        </w:rPr>
        <w:t xml:space="preserve">Nižšie uvedený prehľad </w:t>
      </w:r>
      <w:r>
        <w:rPr>
          <w:rFonts w:ascii="Arial" w:hAnsi="Arial" w:cs="Arial"/>
          <w:b/>
        </w:rPr>
        <w:t>OP spolufinancovaných z EŠIF</w:t>
      </w:r>
      <w:r>
        <w:rPr>
          <w:rFonts w:ascii="Arial" w:hAnsi="Arial" w:cs="Arial"/>
        </w:rPr>
        <w:t>, u ktorých sa predpokladá komplementárne, resp. synergické pôsobenie s aktivitami IROP, vrátane vymedzenia deliacich línií, je uvedený v členení podľa TC, resp. IP.</w:t>
      </w:r>
    </w:p>
    <w:p>
      <w:pPr>
        <w:jc w:val="both"/>
        <w:rPr>
          <w:rFonts w:ascii="Arial" w:hAnsi="Arial" w:cs="Arial"/>
          <w:b/>
        </w:rPr>
      </w:pPr>
      <w:r>
        <w:rPr>
          <w:rFonts w:ascii="Arial" w:hAnsi="Arial" w:cs="Arial"/>
          <w:b/>
        </w:rPr>
        <w:t>TC4</w:t>
      </w:r>
    </w:p>
    <w:p>
      <w:pPr>
        <w:jc w:val="both"/>
        <w:rPr>
          <w:rFonts w:ascii="Arial" w:hAnsi="Arial" w:cs="Arial"/>
          <w:b/>
        </w:rPr>
      </w:pPr>
      <w:r>
        <w:rPr>
          <w:rFonts w:ascii="Arial" w:hAnsi="Arial" w:cs="Arial"/>
          <w:b/>
        </w:rPr>
        <w:t>IP4(c)</w:t>
      </w:r>
    </w:p>
    <w:p>
      <w:pPr>
        <w:tabs>
          <w:tab w:val="left" w:pos="0"/>
        </w:tabs>
        <w:jc w:val="both"/>
        <w:rPr>
          <w:rFonts w:ascii="Arial" w:hAnsi="Arial" w:cs="Arial"/>
        </w:rPr>
      </w:pPr>
      <w:r>
        <w:rPr>
          <w:rFonts w:ascii="Arial" w:hAnsi="Arial" w:cs="Arial"/>
          <w:b/>
        </w:rPr>
        <w:t>IROP</w:t>
      </w:r>
      <w:r>
        <w:rPr>
          <w:rFonts w:ascii="Arial" w:hAnsi="Arial" w:cs="Arial"/>
        </w:rPr>
        <w:t xml:space="preserve"> podporí komplexnú obnovu budov s cieľom dosiahnutia ich energetickej efektívnosti v</w:t>
      </w:r>
      <w:r>
        <w:rPr>
          <w:rFonts w:ascii="Arial" w:hAnsi="Arial" w:cs="Arial"/>
          <w:b/>
        </w:rPr>
        <w:t xml:space="preserve"> sektore bývania</w:t>
      </w:r>
      <w:r>
        <w:rPr>
          <w:rFonts w:ascii="Arial" w:hAnsi="Arial" w:cs="Arial"/>
        </w:rPr>
        <w:t xml:space="preserve">. </w:t>
      </w:r>
      <w:r>
        <w:rPr>
          <w:rFonts w:ascii="Arial" w:hAnsi="Arial" w:cs="Arial"/>
          <w:b/>
        </w:rPr>
        <w:t>OP KŽP</w:t>
      </w:r>
      <w:r>
        <w:rPr>
          <w:rFonts w:ascii="Arial" w:hAnsi="Arial" w:cs="Arial"/>
        </w:rPr>
        <w:t xml:space="preserve"> podporí projekty zamerané na zlepšenie energetickej efektívnosti budov </w:t>
      </w:r>
      <w:r>
        <w:rPr>
          <w:rFonts w:ascii="Arial" w:hAnsi="Arial" w:cs="Arial"/>
          <w:b/>
        </w:rPr>
        <w:t>štátnej a verejnej správy</w:t>
      </w:r>
      <w:r>
        <w:rPr>
          <w:rFonts w:ascii="Arial" w:hAnsi="Arial" w:cs="Arial"/>
        </w:rPr>
        <w:t xml:space="preserve"> </w:t>
      </w:r>
      <w:r>
        <w:rPr>
          <w:rFonts w:ascii="Arial" w:hAnsi="Arial" w:cs="Arial"/>
          <w:b/>
        </w:rPr>
        <w:t>PRV</w:t>
      </w:r>
      <w:r>
        <w:rPr>
          <w:rFonts w:ascii="Arial" w:hAnsi="Arial" w:cs="Arial"/>
        </w:rPr>
        <w:t xml:space="preserve"> podporí investície do zvyšovania energetickej efektívnosti, využívania OZE </w:t>
      </w:r>
      <w:r>
        <w:rPr>
          <w:rFonts w:ascii="Arial" w:hAnsi="Arial" w:cs="Arial"/>
          <w:b/>
        </w:rPr>
        <w:t xml:space="preserve">špecificky pre poľnohospodárov a potravinárov a podnikateľov s podielom </w:t>
      </w:r>
      <w:proofErr w:type="spellStart"/>
      <w:r>
        <w:rPr>
          <w:rFonts w:ascii="Arial" w:hAnsi="Arial" w:cs="Arial"/>
          <w:b/>
        </w:rPr>
        <w:t>poľnohosp</w:t>
      </w:r>
      <w:proofErr w:type="spellEnd"/>
      <w:r>
        <w:rPr>
          <w:rFonts w:ascii="Arial" w:hAnsi="Arial" w:cs="Arial"/>
          <w:b/>
        </w:rPr>
        <w:t>. činnosti viac ako 30%</w:t>
      </w:r>
      <w:r>
        <w:rPr>
          <w:rFonts w:ascii="Arial" w:hAnsi="Arial" w:cs="Arial"/>
        </w:rPr>
        <w:t xml:space="preserve">. </w:t>
      </w:r>
    </w:p>
    <w:p>
      <w:pPr>
        <w:jc w:val="both"/>
        <w:rPr>
          <w:rFonts w:ascii="Arial" w:hAnsi="Arial" w:cs="Arial"/>
          <w:b/>
        </w:rPr>
      </w:pPr>
      <w:r>
        <w:rPr>
          <w:rFonts w:ascii="Arial" w:hAnsi="Arial" w:cs="Arial"/>
          <w:b/>
        </w:rPr>
        <w:t>TC6</w:t>
      </w:r>
    </w:p>
    <w:p>
      <w:pPr>
        <w:rPr>
          <w:rFonts w:ascii="Arial" w:hAnsi="Arial" w:cs="Arial"/>
        </w:rPr>
      </w:pPr>
      <w:r>
        <w:rPr>
          <w:rFonts w:ascii="Arial" w:hAnsi="Arial" w:cs="Arial"/>
          <w:b/>
        </w:rPr>
        <w:t>IP6(b)</w:t>
      </w:r>
      <w:r>
        <w:rPr>
          <w:rFonts w:ascii="Arial" w:hAnsi="Arial" w:cs="Arial"/>
        </w:rPr>
        <w:t xml:space="preserve"> </w:t>
      </w:r>
    </w:p>
    <w:p>
      <w:pPr>
        <w:jc w:val="both"/>
        <w:rPr>
          <w:rFonts w:ascii="Arial" w:hAnsi="Arial" w:cs="Arial"/>
        </w:rPr>
      </w:pPr>
      <w:r>
        <w:rPr>
          <w:rFonts w:ascii="Arial" w:hAnsi="Arial" w:cs="Arial"/>
          <w:b/>
        </w:rPr>
        <w:t>IROP</w:t>
      </w:r>
      <w:r>
        <w:rPr>
          <w:rFonts w:ascii="Arial" w:hAnsi="Arial" w:cs="Arial"/>
        </w:rPr>
        <w:t xml:space="preserve"> v oblasti </w:t>
      </w:r>
      <w:r>
        <w:rPr>
          <w:rFonts w:ascii="Arial" w:hAnsi="Arial" w:cs="Arial"/>
          <w:b/>
        </w:rPr>
        <w:t>vodného hospodárstva</w:t>
      </w:r>
      <w:r>
        <w:rPr>
          <w:rFonts w:ascii="Arial" w:hAnsi="Arial" w:cs="Arial"/>
        </w:rPr>
        <w:t xml:space="preserve"> podporí zvýšenie dostupnosti zdrojov podzemných vôd pre zásobovanie obyvateľstva pitnou vodou, ako aj rekonštrukciu a budovanie verejných vodovodov (okrem prípadov ich súbežnej výstavby s výstavbou verejnej kanalizácie podľa aktualizovaného Národného programu SR pre vykonávanie smernice Rady 91/271/EHS, ktoré podporuje </w:t>
      </w:r>
      <w:r>
        <w:rPr>
          <w:rFonts w:ascii="Arial" w:hAnsi="Arial" w:cs="Arial"/>
          <w:b/>
        </w:rPr>
        <w:t>OP KŽP</w:t>
      </w:r>
      <w:r>
        <w:rPr>
          <w:rFonts w:ascii="Arial" w:hAnsi="Arial" w:cs="Arial"/>
        </w:rPr>
        <w:t xml:space="preserve">). Podporované budú aj: rekonštrukcia stokovej siete (obce od 1000 obyvateľov), budovanie verejných kanalizácií a ČOV (obce od 1000 do 2000 obyvateľov, s výnimkou obcí začlenených do aglomerácií nad 2000 EO v zmysle Národného programu pre vykonávanie smernice 91/271/EHS a aglomerácií pod 2000 EO, ktoré prispievajú k zlepšeniu kvality vody v chránených vodohospodárskych oblastiach, ktoré podporuje </w:t>
      </w:r>
      <w:r>
        <w:rPr>
          <w:rFonts w:ascii="Arial" w:hAnsi="Arial" w:cs="Arial"/>
          <w:b/>
        </w:rPr>
        <w:t>OP KŽP</w:t>
      </w:r>
      <w:r>
        <w:rPr>
          <w:rFonts w:ascii="Arial" w:hAnsi="Arial" w:cs="Arial"/>
        </w:rPr>
        <w:t xml:space="preserve">). </w:t>
      </w:r>
      <w:r>
        <w:rPr>
          <w:rFonts w:ascii="Arial" w:hAnsi="Arial" w:cs="Arial"/>
          <w:b/>
        </w:rPr>
        <w:t>OP KŽP</w:t>
      </w:r>
      <w:r>
        <w:rPr>
          <w:rFonts w:ascii="Arial" w:hAnsi="Arial" w:cs="Arial"/>
        </w:rPr>
        <w:t xml:space="preserve"> podporí výstavbu ČOV v aglomeráciách do 2000 EO vtedy, ak už je vybudovaná stoková sieť min. na 80% danej aglomerácie.</w:t>
      </w:r>
    </w:p>
    <w:p>
      <w:pPr>
        <w:jc w:val="both"/>
        <w:rPr>
          <w:rFonts w:ascii="Arial" w:hAnsi="Arial" w:cs="Arial"/>
        </w:rPr>
      </w:pPr>
      <w:r>
        <w:rPr>
          <w:rFonts w:ascii="Arial" w:hAnsi="Arial" w:cs="Arial"/>
          <w:b/>
        </w:rPr>
        <w:t>PRV</w:t>
      </w:r>
      <w:r>
        <w:rPr>
          <w:rFonts w:ascii="Arial" w:hAnsi="Arial" w:cs="Arial"/>
        </w:rPr>
        <w:t xml:space="preserve"> umožní podporu projektov na dobudovanie verejných vodovodov, kanalizácií a ČOV (obce do 1000 obyvateľov (vrátane) s výnimkou obcí, ktoré sú súčasťou aglomerácií oprávnených v OP KŽP). Platí pravidlo že ak sa daný projekt bude realizovať prostredníctvom  RIÚS v rámci IROP, nebude oprávnený v rámci PRV.</w:t>
      </w:r>
    </w:p>
    <w:p>
      <w:pPr>
        <w:jc w:val="both"/>
        <w:rPr>
          <w:rFonts w:ascii="Arial" w:hAnsi="Arial" w:cs="Arial"/>
        </w:rPr>
      </w:pPr>
      <w:proofErr w:type="spellStart"/>
      <w:r>
        <w:rPr>
          <w:rFonts w:ascii="Arial" w:hAnsi="Arial" w:cs="Arial"/>
        </w:rPr>
        <w:t>Komplementarita</w:t>
      </w:r>
      <w:proofErr w:type="spellEnd"/>
      <w:r>
        <w:rPr>
          <w:rFonts w:ascii="Arial" w:hAnsi="Arial" w:cs="Arial"/>
        </w:rPr>
        <w:t xml:space="preserve"> a synergia medzi prioritnými osami Technická vybavenosť v obciach s prítomnosťou MRK (PO 5 ŠC 5.1.1) v </w:t>
      </w:r>
      <w:r>
        <w:rPr>
          <w:rFonts w:ascii="Arial" w:hAnsi="Arial" w:cs="Arial"/>
          <w:b/>
        </w:rPr>
        <w:t>OP ĽZ (</w:t>
      </w:r>
      <w:r>
        <w:rPr>
          <w:rFonts w:ascii="Arial" w:hAnsi="Arial" w:cs="Arial"/>
        </w:rPr>
        <w:t xml:space="preserve">MV SR/ÚSVRK) </w:t>
      </w:r>
      <w:r>
        <w:rPr>
          <w:rFonts w:ascii="Arial" w:hAnsi="Arial" w:cs="Arial"/>
          <w:b/>
        </w:rPr>
        <w:t>a IROP</w:t>
      </w:r>
      <w:r>
        <w:rPr>
          <w:rFonts w:ascii="Arial" w:hAnsi="Arial" w:cs="Arial"/>
        </w:rPr>
        <w:t xml:space="preserve"> (PO 4 ŠC 4.2.2.): na úrovni prípravy relevantných častí RIÚS a schvaľovania RIÚS vo forme členstva v Rade Partnerstva pre RIÚS. Nadväzujúca spolupráca bude pri príprave samotných výziev MV SR/ÚSVRK za účasti RO pre IROP, v spolupráci s RO pre OP ĽZ.</w:t>
      </w:r>
    </w:p>
    <w:p>
      <w:pPr>
        <w:jc w:val="both"/>
        <w:rPr>
          <w:rFonts w:ascii="Arial" w:hAnsi="Arial" w:cs="Arial"/>
          <w:b/>
        </w:rPr>
      </w:pPr>
    </w:p>
    <w:p>
      <w:pPr>
        <w:jc w:val="both"/>
        <w:rPr>
          <w:rFonts w:ascii="Arial" w:hAnsi="Arial" w:cs="Arial"/>
          <w:b/>
        </w:rPr>
      </w:pPr>
      <w:r>
        <w:rPr>
          <w:rFonts w:ascii="Arial" w:hAnsi="Arial" w:cs="Arial"/>
          <w:b/>
        </w:rPr>
        <w:lastRenderedPageBreak/>
        <w:t>IP6(e)</w:t>
      </w:r>
    </w:p>
    <w:p>
      <w:pPr>
        <w:jc w:val="both"/>
        <w:rPr>
          <w:rFonts w:ascii="Arial" w:hAnsi="Arial" w:cs="Arial"/>
        </w:rPr>
      </w:pPr>
      <w:r>
        <w:rPr>
          <w:rFonts w:ascii="Arial" w:hAnsi="Arial" w:cs="Arial"/>
          <w:b/>
        </w:rPr>
        <w:t>IROP</w:t>
      </w:r>
      <w:r>
        <w:rPr>
          <w:rFonts w:ascii="Arial" w:hAnsi="Arial" w:cs="Arial"/>
        </w:rPr>
        <w:t xml:space="preserve"> v oblasti investícií do </w:t>
      </w:r>
      <w:r>
        <w:rPr>
          <w:rFonts w:ascii="Arial" w:hAnsi="Arial" w:cs="Arial"/>
          <w:b/>
        </w:rPr>
        <w:t xml:space="preserve">opustených a nevyužívaných priemyselných oblastí a lokalít </w:t>
      </w:r>
      <w:r>
        <w:rPr>
          <w:rFonts w:ascii="Arial" w:hAnsi="Arial" w:cs="Arial"/>
        </w:rPr>
        <w:t xml:space="preserve">podporí ich revitalizáciu na nové funkčné využitie. Ak bude revitalizované územie identifikované ako environmentálna záťaž, revitalizácia bude možná len po predchádzajúcej intervencii z OP KŽP. </w:t>
      </w:r>
      <w:r>
        <w:rPr>
          <w:rFonts w:ascii="Arial" w:hAnsi="Arial" w:cs="Arial"/>
          <w:b/>
        </w:rPr>
        <w:t>OP KŽP</w:t>
      </w:r>
      <w:r>
        <w:rPr>
          <w:rFonts w:ascii="Arial" w:hAnsi="Arial" w:cs="Arial"/>
        </w:rPr>
        <w:t xml:space="preserve"> podporí prieskum, analýzu rizika znečisteného územia environmentálnych záťaží a sanáciu environmentálnych záťaží v mestskom prostredí a opustených priemyselných lokalitách. V </w:t>
      </w:r>
      <w:r>
        <w:rPr>
          <w:rFonts w:ascii="Arial" w:hAnsi="Arial" w:cs="Arial"/>
          <w:b/>
        </w:rPr>
        <w:t>PRV</w:t>
      </w:r>
      <w:r>
        <w:rPr>
          <w:rFonts w:ascii="Arial" w:hAnsi="Arial" w:cs="Arial"/>
        </w:rPr>
        <w:t xml:space="preserve"> bude možná rekonštrukcia nevyužívaných budov (obce do 1000 obyvateľov vrátane), a to len ak sa daný projekt nebude realizovať  v  rámci RIÚS v IROP.</w:t>
      </w:r>
    </w:p>
    <w:p>
      <w:pPr>
        <w:jc w:val="both"/>
        <w:rPr>
          <w:rFonts w:ascii="Arial" w:hAnsi="Arial" w:cs="Arial"/>
        </w:rPr>
      </w:pPr>
      <w:r>
        <w:rPr>
          <w:rFonts w:ascii="Arial" w:hAnsi="Arial" w:cs="Arial"/>
        </w:rPr>
        <w:t xml:space="preserve">V oblasti </w:t>
      </w:r>
      <w:r>
        <w:rPr>
          <w:rFonts w:ascii="Arial" w:hAnsi="Arial" w:cs="Arial"/>
          <w:b/>
        </w:rPr>
        <w:t>environmentálnych aspektov v mestách a mestských oblastiach</w:t>
      </w:r>
      <w:r>
        <w:rPr>
          <w:rFonts w:ascii="Arial" w:hAnsi="Arial" w:cs="Arial"/>
        </w:rPr>
        <w:t xml:space="preserve"> </w:t>
      </w:r>
      <w:r>
        <w:rPr>
          <w:rFonts w:ascii="Arial" w:hAnsi="Arial" w:cs="Arial"/>
          <w:b/>
        </w:rPr>
        <w:t>IROP</w:t>
      </w:r>
      <w:r>
        <w:rPr>
          <w:rFonts w:ascii="Arial" w:hAnsi="Arial" w:cs="Arial"/>
        </w:rPr>
        <w:t xml:space="preserve"> podporí budovanie prvkov zelenej infraštruktúry v mestách vrátane </w:t>
      </w:r>
      <w:proofErr w:type="spellStart"/>
      <w:r>
        <w:rPr>
          <w:rFonts w:ascii="Arial" w:hAnsi="Arial" w:cs="Arial"/>
        </w:rPr>
        <w:t>vodozádržných</w:t>
      </w:r>
      <w:proofErr w:type="spellEnd"/>
      <w:r>
        <w:rPr>
          <w:rFonts w:ascii="Arial" w:hAnsi="Arial" w:cs="Arial"/>
        </w:rPr>
        <w:t xml:space="preserve"> prvkov a zavádzanie adaptačných opatrení v intraviláne miest participujúcich na UMR. </w:t>
      </w:r>
      <w:r>
        <w:rPr>
          <w:rFonts w:ascii="Arial" w:hAnsi="Arial" w:cs="Arial"/>
          <w:b/>
        </w:rPr>
        <w:t>Deliaca línia medzi IROP a OP KŽP</w:t>
      </w:r>
      <w:r>
        <w:rPr>
          <w:rFonts w:ascii="Arial" w:hAnsi="Arial" w:cs="Arial"/>
        </w:rPr>
        <w:t xml:space="preserve"> je na úrovni oprávneného územia. </w:t>
      </w:r>
      <w:r>
        <w:rPr>
          <w:rFonts w:ascii="Arial" w:hAnsi="Arial" w:cs="Arial"/>
          <w:b/>
        </w:rPr>
        <w:t>OP KŽP</w:t>
      </w:r>
      <w:r>
        <w:rPr>
          <w:rFonts w:ascii="Arial" w:hAnsi="Arial" w:cs="Arial"/>
        </w:rPr>
        <w:t xml:space="preserve"> podporí technologické a technické opatrenia na redukciu emisií znečisťujúcich látok do ovzdušia realizované na zdrojoch znečisťovania ovzdušia (najmä za účelom plnenia požiadaviek smerníc EÚ v oblasti ochrany ovzdušia). Tu je deliaca línia s IROP na úrovni oprávnených aktivít. Deliaca línia medzi </w:t>
      </w:r>
      <w:r>
        <w:rPr>
          <w:rFonts w:ascii="Arial" w:hAnsi="Arial" w:cs="Arial"/>
          <w:b/>
        </w:rPr>
        <w:t>PRV a OP KŽP</w:t>
      </w:r>
      <w:r>
        <w:rPr>
          <w:rFonts w:ascii="Arial" w:hAnsi="Arial" w:cs="Arial"/>
        </w:rPr>
        <w:t xml:space="preserve"> je na úrovni žiadateľov a aktivít: PRV podporuje kompenzačné platby na príslušné územia NATURA 2000 (žiadatelia – </w:t>
      </w:r>
      <w:proofErr w:type="spellStart"/>
      <w:r>
        <w:rPr>
          <w:rFonts w:ascii="Arial" w:hAnsi="Arial" w:cs="Arial"/>
        </w:rPr>
        <w:t>poľnohosp</w:t>
      </w:r>
      <w:proofErr w:type="spellEnd"/>
      <w:r>
        <w:rPr>
          <w:rFonts w:ascii="Arial" w:hAnsi="Arial" w:cs="Arial"/>
        </w:rPr>
        <w:t>. subjekty a súkromní vlastníci lesov). OP KŽP podporuje  prípravu plánov riadenia (napr. pre lokality NATURA 2000) zahŕňajúcich opatrenia týkajúce sa biodiverzity</w:t>
      </w:r>
    </w:p>
    <w:p>
      <w:pPr>
        <w:jc w:val="both"/>
        <w:rPr>
          <w:rFonts w:ascii="Arial" w:hAnsi="Arial" w:cs="Arial"/>
          <w:b/>
        </w:rPr>
      </w:pPr>
      <w:r>
        <w:rPr>
          <w:rFonts w:ascii="Arial" w:hAnsi="Arial" w:cs="Arial"/>
          <w:b/>
        </w:rPr>
        <w:t>TC7</w:t>
      </w:r>
    </w:p>
    <w:p>
      <w:pPr>
        <w:jc w:val="both"/>
        <w:rPr>
          <w:rFonts w:ascii="Arial" w:hAnsi="Arial" w:cs="Arial"/>
          <w:b/>
        </w:rPr>
      </w:pPr>
      <w:r>
        <w:rPr>
          <w:rFonts w:ascii="Arial" w:hAnsi="Arial" w:cs="Arial"/>
          <w:b/>
        </w:rPr>
        <w:t>IP7(a) a (b)</w:t>
      </w:r>
    </w:p>
    <w:p>
      <w:pPr>
        <w:jc w:val="both"/>
        <w:rPr>
          <w:rFonts w:ascii="Arial" w:hAnsi="Arial" w:cs="Arial"/>
        </w:rPr>
      </w:pPr>
      <w:r>
        <w:rPr>
          <w:rFonts w:ascii="Arial" w:hAnsi="Arial" w:cs="Arial"/>
        </w:rPr>
        <w:t xml:space="preserve">Synergia v oblasti </w:t>
      </w:r>
      <w:r>
        <w:rPr>
          <w:rFonts w:ascii="Arial" w:hAnsi="Arial" w:cs="Arial"/>
          <w:b/>
        </w:rPr>
        <w:t>cestnej infraštruktúry</w:t>
      </w:r>
      <w:r>
        <w:rPr>
          <w:rFonts w:ascii="Arial" w:hAnsi="Arial" w:cs="Arial"/>
        </w:rPr>
        <w:t xml:space="preserve">: </w:t>
      </w:r>
      <w:r>
        <w:rPr>
          <w:rFonts w:ascii="Arial" w:hAnsi="Arial" w:cs="Arial"/>
          <w:b/>
        </w:rPr>
        <w:t>OP II</w:t>
      </w:r>
      <w:r>
        <w:rPr>
          <w:rFonts w:ascii="Arial" w:hAnsi="Arial" w:cs="Arial"/>
        </w:rPr>
        <w:t xml:space="preserve"> (IP7a,b) podporí výstavbu diaľnic a rýchlostných ciest vrátane privádzačov, budovanie inteligentných dopravných systémov a </w:t>
      </w:r>
      <w:proofErr w:type="spellStart"/>
      <w:r>
        <w:rPr>
          <w:rFonts w:ascii="Arial" w:hAnsi="Arial" w:cs="Arial"/>
        </w:rPr>
        <w:t>ekoduktov</w:t>
      </w:r>
      <w:proofErr w:type="spellEnd"/>
      <w:r>
        <w:rPr>
          <w:rFonts w:ascii="Arial" w:hAnsi="Arial" w:cs="Arial"/>
        </w:rPr>
        <w:t xml:space="preserve">. </w:t>
      </w:r>
      <w:r>
        <w:rPr>
          <w:rFonts w:ascii="Arial" w:hAnsi="Arial" w:cs="Arial"/>
          <w:b/>
        </w:rPr>
        <w:t xml:space="preserve">IROP </w:t>
      </w:r>
      <w:r>
        <w:rPr>
          <w:rFonts w:ascii="Arial" w:hAnsi="Arial" w:cs="Arial"/>
        </w:rPr>
        <w:t>(IP7a)</w:t>
      </w:r>
      <w:r>
        <w:rPr>
          <w:rFonts w:ascii="Arial" w:hAnsi="Arial" w:cs="Arial"/>
          <w:b/>
        </w:rPr>
        <w:t xml:space="preserve"> </w:t>
      </w:r>
      <w:r>
        <w:rPr>
          <w:rFonts w:ascii="Arial" w:hAnsi="Arial" w:cs="Arial"/>
        </w:rPr>
        <w:t xml:space="preserve">podporí rekonštrukciu a modernizáciu (resp. výstavbu) </w:t>
      </w:r>
      <w:r>
        <w:rPr>
          <w:rFonts w:ascii="Arial" w:hAnsi="Arial" w:cs="Arial"/>
          <w:b/>
        </w:rPr>
        <w:t>ciest II. a III.</w:t>
      </w:r>
      <w:r>
        <w:rPr>
          <w:rFonts w:ascii="Arial" w:hAnsi="Arial" w:cs="Arial"/>
        </w:rPr>
        <w:t xml:space="preserve"> </w:t>
      </w:r>
      <w:r>
        <w:rPr>
          <w:rFonts w:ascii="Arial" w:hAnsi="Arial" w:cs="Arial"/>
          <w:b/>
        </w:rPr>
        <w:t>triedy</w:t>
      </w:r>
      <w:r>
        <w:rPr>
          <w:rFonts w:ascii="Arial" w:hAnsi="Arial" w:cs="Arial"/>
        </w:rPr>
        <w:t xml:space="preserve"> </w:t>
      </w:r>
      <w:r>
        <w:rPr>
          <w:rFonts w:ascii="Arial" w:hAnsi="Arial" w:cs="Arial"/>
          <w:b/>
        </w:rPr>
        <w:t xml:space="preserve">s napojením na TEN-T </w:t>
      </w:r>
      <w:r>
        <w:rPr>
          <w:rFonts w:ascii="Arial" w:hAnsi="Arial" w:cs="Arial"/>
        </w:rPr>
        <w:t xml:space="preserve">a nadradenú dopravnú infraštruktúru, resp. v kontexte prepojenia centier osídlenia regiónov a centier hospodárskeho významu. </w:t>
      </w:r>
      <w:r>
        <w:rPr>
          <w:rFonts w:ascii="Arial" w:hAnsi="Arial" w:cs="Arial"/>
          <w:b/>
        </w:rPr>
        <w:t>Koordinácia</w:t>
      </w:r>
      <w:r>
        <w:rPr>
          <w:rFonts w:ascii="Arial" w:hAnsi="Arial" w:cs="Arial"/>
        </w:rPr>
        <w:t>: na základe Strategického plánu rozvoja dopravy na úrovni regiónov a Pracovnou skupinou pre koordináciu IROP a OP II.</w:t>
      </w:r>
    </w:p>
    <w:p>
      <w:pPr>
        <w:jc w:val="both"/>
        <w:rPr>
          <w:rFonts w:ascii="Arial" w:hAnsi="Arial" w:cs="Arial"/>
          <w:b/>
        </w:rPr>
      </w:pPr>
      <w:r>
        <w:rPr>
          <w:rFonts w:ascii="Arial" w:hAnsi="Arial" w:cs="Arial"/>
          <w:b/>
        </w:rPr>
        <w:t>IP7(c)</w:t>
      </w:r>
    </w:p>
    <w:p>
      <w:pPr>
        <w:tabs>
          <w:tab w:val="left" w:pos="709"/>
        </w:tabs>
        <w:jc w:val="both"/>
        <w:rPr>
          <w:rFonts w:ascii="Arial" w:hAnsi="Arial" w:cs="Arial"/>
        </w:rPr>
      </w:pPr>
      <w:r>
        <w:rPr>
          <w:rFonts w:ascii="Arial" w:hAnsi="Arial" w:cs="Arial"/>
          <w:b/>
        </w:rPr>
        <w:t>IROP</w:t>
      </w:r>
      <w:r>
        <w:rPr>
          <w:rFonts w:ascii="Arial" w:hAnsi="Arial" w:cs="Arial"/>
        </w:rPr>
        <w:t xml:space="preserve"> podporí </w:t>
      </w:r>
      <w:proofErr w:type="spellStart"/>
      <w:r>
        <w:rPr>
          <w:rFonts w:ascii="Arial" w:hAnsi="Arial" w:cs="Arial"/>
        </w:rPr>
        <w:t>environmentalizáciu</w:t>
      </w:r>
      <w:proofErr w:type="spellEnd"/>
      <w:r>
        <w:rPr>
          <w:rFonts w:ascii="Arial" w:hAnsi="Arial" w:cs="Arial"/>
        </w:rPr>
        <w:t xml:space="preserve"> </w:t>
      </w:r>
      <w:r>
        <w:rPr>
          <w:rFonts w:ascii="Arial" w:hAnsi="Arial" w:cs="Arial"/>
          <w:b/>
        </w:rPr>
        <w:t xml:space="preserve">VOD </w:t>
      </w:r>
      <w:r>
        <w:rPr>
          <w:rFonts w:ascii="Arial" w:hAnsi="Arial" w:cs="Arial"/>
        </w:rPr>
        <w:t xml:space="preserve">a riešenie potrieb pre menej mobilných cestujúcich v mestskej a prímestskej autobusovej doprave (nákup </w:t>
      </w:r>
      <w:proofErr w:type="spellStart"/>
      <w:r>
        <w:rPr>
          <w:rFonts w:ascii="Arial" w:hAnsi="Arial" w:cs="Arial"/>
        </w:rPr>
        <w:t>nízkopodlažných</w:t>
      </w:r>
      <w:proofErr w:type="spellEnd"/>
      <w:r>
        <w:rPr>
          <w:rFonts w:ascii="Arial" w:hAnsi="Arial" w:cs="Arial"/>
        </w:rPr>
        <w:t xml:space="preserve"> a </w:t>
      </w:r>
      <w:proofErr w:type="spellStart"/>
      <w:r>
        <w:rPr>
          <w:rFonts w:ascii="Arial" w:hAnsi="Arial" w:cs="Arial"/>
        </w:rPr>
        <w:t>nízkoemisných</w:t>
      </w:r>
      <w:proofErr w:type="spellEnd"/>
      <w:r>
        <w:rPr>
          <w:rFonts w:ascii="Arial" w:hAnsi="Arial" w:cs="Arial"/>
        </w:rPr>
        <w:t xml:space="preserve"> autobusov, budovanie zásobovacej infraštruktúry. </w:t>
      </w:r>
      <w:r>
        <w:rPr>
          <w:rFonts w:ascii="Arial" w:hAnsi="Arial" w:cs="Arial"/>
          <w:b/>
        </w:rPr>
        <w:t xml:space="preserve">IROP </w:t>
      </w:r>
      <w:r>
        <w:rPr>
          <w:rFonts w:ascii="Arial" w:hAnsi="Arial" w:cs="Arial"/>
        </w:rPr>
        <w:t xml:space="preserve">podporí aj investične menej náročný rozvoj doplnkovej infraštruktúry (prestupné terminály, okrem terminálov pri železničných staniciach; parkoviská; autobusové zastávky a obratiská; preferovanie VOD na križovatkách). IROP bude financovať aj podporu IDS (investične menej náročné projekty - softvérové systémové riešenia, hardvér). </w:t>
      </w:r>
      <w:r>
        <w:rPr>
          <w:rFonts w:ascii="Arial" w:hAnsi="Arial" w:cs="Arial"/>
          <w:b/>
        </w:rPr>
        <w:t>IROP</w:t>
      </w:r>
      <w:r>
        <w:rPr>
          <w:rFonts w:ascii="Arial" w:hAnsi="Arial" w:cs="Arial"/>
        </w:rPr>
        <w:t xml:space="preserve"> podporí aj rozvoj </w:t>
      </w:r>
      <w:r>
        <w:rPr>
          <w:rFonts w:ascii="Arial" w:hAnsi="Arial" w:cs="Arial"/>
          <w:b/>
        </w:rPr>
        <w:t>cyklistickej dopravy</w:t>
      </w:r>
      <w:r>
        <w:rPr>
          <w:rFonts w:ascii="Arial" w:hAnsi="Arial" w:cs="Arial"/>
        </w:rPr>
        <w:t xml:space="preserve"> v mestách budovaním a obnovou cyklistickej infraštruktúry  a jej podpornej infraštruktúry. </w:t>
      </w:r>
      <w:r>
        <w:rPr>
          <w:rFonts w:ascii="Arial" w:hAnsi="Arial" w:cs="Arial"/>
          <w:b/>
        </w:rPr>
        <w:t>OP II</w:t>
      </w:r>
      <w:r>
        <w:rPr>
          <w:rFonts w:ascii="Arial" w:hAnsi="Arial" w:cs="Arial"/>
        </w:rPr>
        <w:t xml:space="preserve"> podporuje obnovu mobilného parku pre mestskú dráhovú dopravu (investične náročné projekty, napr. nákup električiek a trolejbusov, rekonštrukcia električkových tratí v Bratislave a Košiciach, výstavba trolejbusových liniek; obnova mobilných prostriedkov železničnej osobnej prímestskej a regionálnej dopravy apod.). </w:t>
      </w:r>
      <w:r>
        <w:rPr>
          <w:rFonts w:ascii="Arial" w:hAnsi="Arial" w:cs="Arial"/>
          <w:b/>
        </w:rPr>
        <w:t>Koordinácia</w:t>
      </w:r>
      <w:r>
        <w:rPr>
          <w:rFonts w:ascii="Arial" w:hAnsi="Arial" w:cs="Arial"/>
        </w:rPr>
        <w:t xml:space="preserve">: na základe Stratégie </w:t>
      </w:r>
      <w:r>
        <w:rPr>
          <w:rFonts w:ascii="Arial" w:hAnsi="Arial" w:cs="Arial"/>
        </w:rPr>
        <w:lastRenderedPageBreak/>
        <w:t>rozvoja verejnej osobnej a nemotorovej dopravy v SR do roku 2020 a Pracovnou skupinou pre koordináciu IROP a OP II.</w:t>
      </w:r>
    </w:p>
    <w:p>
      <w:pPr>
        <w:tabs>
          <w:tab w:val="left" w:pos="709"/>
        </w:tabs>
        <w:jc w:val="both"/>
        <w:rPr>
          <w:rFonts w:ascii="Arial" w:hAnsi="Arial" w:cs="Arial"/>
        </w:rPr>
      </w:pPr>
      <w:r>
        <w:rPr>
          <w:rFonts w:ascii="Arial" w:hAnsi="Arial" w:cs="Arial"/>
          <w:b/>
        </w:rPr>
        <w:t>PRV</w:t>
      </w:r>
      <w:r>
        <w:rPr>
          <w:rFonts w:ascii="Arial" w:hAnsi="Arial" w:cs="Arial"/>
        </w:rPr>
        <w:t xml:space="preserve"> umožňuje investície do parkovísk a zastávok a budovanie cykloturistickej infraštruktúry (obce do 1000 obyvateľov vrátane). Ak sa daný projekt bude realizovať prostredníctvom RIÚS v rámci IROP, nebude oprávnený v rámci PRV.  </w:t>
      </w:r>
    </w:p>
    <w:p>
      <w:pPr>
        <w:jc w:val="both"/>
        <w:rPr>
          <w:rFonts w:ascii="Arial" w:hAnsi="Arial" w:cs="Arial"/>
          <w:b/>
        </w:rPr>
      </w:pPr>
      <w:r>
        <w:rPr>
          <w:rFonts w:ascii="Arial" w:hAnsi="Arial" w:cs="Arial"/>
          <w:b/>
        </w:rPr>
        <w:t>TC 8</w:t>
      </w:r>
    </w:p>
    <w:p>
      <w:pPr>
        <w:jc w:val="both"/>
        <w:rPr>
          <w:rFonts w:ascii="Arial" w:hAnsi="Arial" w:cs="Arial"/>
          <w:b/>
        </w:rPr>
      </w:pPr>
      <w:r>
        <w:rPr>
          <w:rFonts w:ascii="Arial" w:hAnsi="Arial" w:cs="Arial"/>
          <w:b/>
        </w:rPr>
        <w:t>IP8(b)</w:t>
      </w:r>
    </w:p>
    <w:p>
      <w:pPr>
        <w:jc w:val="both"/>
        <w:rPr>
          <w:rFonts w:ascii="Arial" w:hAnsi="Arial" w:cs="Arial"/>
        </w:rPr>
      </w:pPr>
      <w:r>
        <w:rPr>
          <w:rFonts w:ascii="Arial" w:hAnsi="Arial" w:cs="Arial"/>
          <w:b/>
        </w:rPr>
        <w:t>IROP</w:t>
      </w:r>
      <w:r>
        <w:rPr>
          <w:rFonts w:ascii="Arial" w:hAnsi="Arial" w:cs="Arial"/>
        </w:rPr>
        <w:t xml:space="preserve"> sa zameria na podporu </w:t>
      </w:r>
      <w:r>
        <w:rPr>
          <w:rFonts w:ascii="Arial" w:hAnsi="Arial" w:cs="Arial"/>
          <w:b/>
        </w:rPr>
        <w:t>kreativity</w:t>
      </w:r>
      <w:r>
        <w:rPr>
          <w:rFonts w:ascii="Arial" w:hAnsi="Arial" w:cs="Arial"/>
        </w:rPr>
        <w:t xml:space="preserve"> ako predpokladu netechnologických inovácií a tvorby konceptov kreatívnych produktov a služieb s ekonomickou hodnotou (infraštruktúra nového typu a technologické vybavenie) a podporu platforiem pre spoluprácu, prenos poznatkov, sieťovania.  </w:t>
      </w:r>
      <w:r>
        <w:rPr>
          <w:rFonts w:ascii="Arial" w:hAnsi="Arial" w:cs="Arial"/>
          <w:b/>
        </w:rPr>
        <w:t xml:space="preserve">OP </w:t>
      </w:r>
      <w:proofErr w:type="spellStart"/>
      <w:r>
        <w:rPr>
          <w:rFonts w:ascii="Arial" w:hAnsi="Arial" w:cs="Arial"/>
          <w:b/>
        </w:rPr>
        <w:t>VaI</w:t>
      </w:r>
      <w:proofErr w:type="spellEnd"/>
      <w:r>
        <w:rPr>
          <w:rFonts w:ascii="Arial" w:hAnsi="Arial" w:cs="Arial"/>
        </w:rPr>
        <w:t xml:space="preserve"> podporí investície do </w:t>
      </w:r>
      <w:proofErr w:type="spellStart"/>
      <w:r>
        <w:rPr>
          <w:rFonts w:ascii="Arial" w:hAnsi="Arial" w:cs="Arial"/>
        </w:rPr>
        <w:t>mikro</w:t>
      </w:r>
      <w:proofErr w:type="spellEnd"/>
      <w:r>
        <w:rPr>
          <w:rFonts w:ascii="Arial" w:hAnsi="Arial" w:cs="Arial"/>
        </w:rPr>
        <w:t xml:space="preserve"> a MSP v KKS formou  poskytovania konzultácií a </w:t>
      </w:r>
      <w:proofErr w:type="spellStart"/>
      <w:r>
        <w:rPr>
          <w:rFonts w:ascii="Arial" w:hAnsi="Arial" w:cs="Arial"/>
        </w:rPr>
        <w:t>mentoringu</w:t>
      </w:r>
      <w:proofErr w:type="spellEnd"/>
      <w:r>
        <w:rPr>
          <w:rFonts w:ascii="Arial" w:hAnsi="Arial" w:cs="Arial"/>
        </w:rPr>
        <w:t xml:space="preserve"> v oblasti podnikania, finančných nástrojov, internacionalizácie výrobkov a služieb, exportu, prepojenia so súkromným sektorom naprieč sektormi (TC 3).</w:t>
      </w:r>
    </w:p>
    <w:p>
      <w:pPr>
        <w:jc w:val="both"/>
        <w:rPr>
          <w:rFonts w:ascii="Arial" w:hAnsi="Arial" w:cs="Arial"/>
          <w:b/>
        </w:rPr>
      </w:pPr>
      <w:r>
        <w:rPr>
          <w:rFonts w:ascii="Arial" w:hAnsi="Arial" w:cs="Arial"/>
          <w:b/>
        </w:rPr>
        <w:t>TC 9</w:t>
      </w:r>
    </w:p>
    <w:p>
      <w:pPr>
        <w:jc w:val="both"/>
        <w:rPr>
          <w:rFonts w:ascii="Arial" w:hAnsi="Arial" w:cs="Arial"/>
          <w:b/>
        </w:rPr>
      </w:pPr>
      <w:r>
        <w:rPr>
          <w:rFonts w:ascii="Arial" w:hAnsi="Arial" w:cs="Arial"/>
          <w:b/>
        </w:rPr>
        <w:t>IP9(a)</w:t>
      </w:r>
    </w:p>
    <w:p>
      <w:pPr>
        <w:jc w:val="both"/>
        <w:rPr>
          <w:rFonts w:ascii="Arial" w:hAnsi="Arial" w:cs="Arial"/>
          <w:b/>
        </w:rPr>
      </w:pPr>
      <w:r>
        <w:rPr>
          <w:rFonts w:ascii="Arial" w:hAnsi="Arial" w:cs="Arial"/>
          <w:b/>
        </w:rPr>
        <w:t>IROP</w:t>
      </w:r>
      <w:r>
        <w:rPr>
          <w:rFonts w:ascii="Arial" w:hAnsi="Arial" w:cs="Arial"/>
        </w:rPr>
        <w:t xml:space="preserve"> podporí v rámci procesu </w:t>
      </w:r>
      <w:r>
        <w:rPr>
          <w:rFonts w:ascii="Arial" w:hAnsi="Arial" w:cs="Arial"/>
          <w:b/>
        </w:rPr>
        <w:t xml:space="preserve">deinštitucionalizácie </w:t>
      </w:r>
      <w:r>
        <w:rPr>
          <w:rFonts w:ascii="Arial" w:hAnsi="Arial" w:cs="Arial"/>
        </w:rPr>
        <w:t xml:space="preserve">zmeny fyzického prostredia (kapitálové investície do budov a materiálno-technického vybavenia). </w:t>
      </w:r>
      <w:r>
        <w:rPr>
          <w:rFonts w:ascii="Arial" w:hAnsi="Arial" w:cs="Arial"/>
          <w:b/>
        </w:rPr>
        <w:t>OP ĽZ</w:t>
      </w:r>
      <w:r>
        <w:rPr>
          <w:rFonts w:ascii="Arial" w:hAnsi="Arial" w:cs="Arial"/>
        </w:rPr>
        <w:t xml:space="preserve"> komplementárne podporí systémové opatrenia, ako najmä: rozvoj nových a existujúcich sociálnych služieb a náhradnej starostlivosti na </w:t>
      </w:r>
      <w:proofErr w:type="spellStart"/>
      <w:r>
        <w:rPr>
          <w:rFonts w:ascii="Arial" w:hAnsi="Arial" w:cs="Arial"/>
        </w:rPr>
        <w:t>komunitnej</w:t>
      </w:r>
      <w:proofErr w:type="spellEnd"/>
      <w:r>
        <w:rPr>
          <w:rFonts w:ascii="Arial" w:hAnsi="Arial" w:cs="Arial"/>
        </w:rPr>
        <w:t xml:space="preserve"> úrovni; vzdelávanie odborného personálu; príprava klientov na podmienky nezávislého života v komunite; príprava komunity  na prijatie a integráciu týchto osôb. </w:t>
      </w:r>
      <w:r>
        <w:rPr>
          <w:rFonts w:ascii="Arial" w:hAnsi="Arial" w:cs="Arial"/>
          <w:b/>
        </w:rPr>
        <w:t>Koordinácia</w:t>
      </w:r>
      <w:r>
        <w:rPr>
          <w:rFonts w:ascii="Arial" w:hAnsi="Arial" w:cs="Arial"/>
        </w:rPr>
        <w:t>: Pracovná skupina pre koordináciu OP ĽZ a IROP v oblasti DI.</w:t>
      </w:r>
    </w:p>
    <w:p>
      <w:pPr>
        <w:pStyle w:val="Style13"/>
        <w:widowControl/>
        <w:tabs>
          <w:tab w:val="left" w:pos="696"/>
        </w:tabs>
        <w:spacing w:line="276" w:lineRule="auto"/>
        <w:ind w:firstLine="0"/>
        <w:rPr>
          <w:rFonts w:ascii="Arial" w:eastAsia="Trebuchet MS" w:hAnsi="Arial" w:cs="Arial"/>
          <w:sz w:val="22"/>
          <w:szCs w:val="22"/>
          <w:lang w:eastAsia="en-US"/>
        </w:rPr>
      </w:pPr>
      <w:r>
        <w:rPr>
          <w:rFonts w:ascii="Arial" w:eastAsia="Trebuchet MS" w:hAnsi="Arial" w:cs="Arial"/>
          <w:sz w:val="22"/>
          <w:szCs w:val="22"/>
          <w:lang w:eastAsia="en-US"/>
        </w:rPr>
        <w:t xml:space="preserve">Dostupnosť ku </w:t>
      </w:r>
      <w:r>
        <w:rPr>
          <w:rFonts w:ascii="Arial" w:eastAsia="Trebuchet MS" w:hAnsi="Arial" w:cs="Arial"/>
          <w:b/>
          <w:sz w:val="22"/>
          <w:szCs w:val="22"/>
          <w:lang w:eastAsia="en-US"/>
        </w:rPr>
        <w:t>kvalitnej zdravotnej starostlivosti IROP</w:t>
      </w:r>
      <w:r>
        <w:rPr>
          <w:rFonts w:ascii="Arial" w:eastAsia="Trebuchet MS" w:hAnsi="Arial" w:cs="Arial"/>
          <w:sz w:val="22"/>
          <w:szCs w:val="22"/>
          <w:lang w:eastAsia="en-US"/>
        </w:rPr>
        <w:t xml:space="preserve"> podporí modernizáciou zdravotníckej infraštruktúry - budovanie CIZS a modernizácia infraštruktúry nemocníc poskytujúcich akútnu zdravotnú starostlivosť. </w:t>
      </w:r>
      <w:r>
        <w:rPr>
          <w:rFonts w:ascii="Arial" w:eastAsia="Trebuchet MS" w:hAnsi="Arial" w:cs="Arial"/>
          <w:b/>
          <w:sz w:val="22"/>
          <w:szCs w:val="22"/>
          <w:lang w:eastAsia="en-US"/>
        </w:rPr>
        <w:t>OP ĽZ</w:t>
      </w:r>
      <w:r>
        <w:rPr>
          <w:rFonts w:ascii="Arial" w:eastAsia="Trebuchet MS" w:hAnsi="Arial" w:cs="Arial"/>
          <w:sz w:val="22"/>
          <w:szCs w:val="22"/>
          <w:lang w:eastAsia="en-US"/>
        </w:rPr>
        <w:t xml:space="preserve"> sa komplementárne zameria na podporu tvorby a inovácie klinických postupov a postupov pre výkon prevencie, ktoré budú etablované do celonárodného systému poskytovania zdravotnej starostlivosti a nadväzné vzdelávanie zdravotníckych pracovníkov . K</w:t>
      </w:r>
      <w:r>
        <w:rPr>
          <w:rFonts w:ascii="Arial" w:eastAsia="Trebuchet MS" w:hAnsi="Arial" w:cs="Arial"/>
          <w:sz w:val="22"/>
          <w:szCs w:val="22"/>
        </w:rPr>
        <w:t xml:space="preserve">oordinácia: Monitorovacia komisia v rámci Strategického rámca starostlivosti o zdravie pre roky 2014 – 2030, ako aj na </w:t>
      </w:r>
      <w:r>
        <w:rPr>
          <w:rFonts w:ascii="Arial" w:eastAsia="Trebuchet MS" w:hAnsi="Arial" w:cs="Arial"/>
          <w:sz w:val="22"/>
          <w:szCs w:val="22"/>
          <w:lang w:eastAsia="en-US"/>
        </w:rPr>
        <w:t>úrovni RO pre OP ĽZ a RO pre IROP.</w:t>
      </w:r>
    </w:p>
    <w:p>
      <w:pPr>
        <w:pStyle w:val="Style13"/>
        <w:widowControl/>
        <w:tabs>
          <w:tab w:val="left" w:pos="696"/>
        </w:tabs>
        <w:spacing w:line="240" w:lineRule="auto"/>
        <w:ind w:firstLine="0"/>
        <w:rPr>
          <w:rFonts w:ascii="Arial" w:eastAsia="Trebuchet MS" w:hAnsi="Arial" w:cs="Arial"/>
          <w:sz w:val="22"/>
          <w:szCs w:val="22"/>
          <w:lang w:eastAsia="en-US"/>
        </w:rPr>
      </w:pPr>
    </w:p>
    <w:p>
      <w:pPr>
        <w:pStyle w:val="Style13"/>
        <w:widowControl/>
        <w:tabs>
          <w:tab w:val="left" w:pos="696"/>
        </w:tabs>
        <w:spacing w:after="240" w:line="240" w:lineRule="auto"/>
        <w:ind w:firstLine="0"/>
        <w:rPr>
          <w:rFonts w:ascii="Arial" w:eastAsia="Trebuchet MS" w:hAnsi="Arial" w:cs="Arial"/>
          <w:b/>
          <w:sz w:val="22"/>
          <w:szCs w:val="22"/>
          <w:lang w:eastAsia="en-US"/>
        </w:rPr>
      </w:pPr>
      <w:r>
        <w:rPr>
          <w:rFonts w:ascii="Arial" w:eastAsia="Trebuchet MS" w:hAnsi="Arial" w:cs="Arial"/>
          <w:b/>
          <w:sz w:val="22"/>
          <w:szCs w:val="22"/>
          <w:lang w:eastAsia="en-US"/>
        </w:rPr>
        <w:t>IP9(d)</w:t>
      </w:r>
    </w:p>
    <w:p>
      <w:pPr>
        <w:pStyle w:val="Style13"/>
        <w:tabs>
          <w:tab w:val="left" w:pos="696"/>
        </w:tabs>
        <w:rPr>
          <w:rFonts w:ascii="Arial" w:eastAsia="Trebuchet MS" w:hAnsi="Arial" w:cs="Arial"/>
          <w:sz w:val="22"/>
          <w:szCs w:val="22"/>
          <w:lang w:eastAsia="en-US"/>
        </w:rPr>
      </w:pPr>
      <w:r>
        <w:rPr>
          <w:rFonts w:ascii="Arial" w:eastAsia="Trebuchet MS" w:hAnsi="Arial" w:cs="Arial"/>
          <w:sz w:val="22"/>
          <w:szCs w:val="22"/>
          <w:lang w:eastAsia="en-US"/>
        </w:rPr>
        <w:tab/>
        <w:t xml:space="preserve">Doplnkovosť opatrenia </w:t>
      </w:r>
      <w:r>
        <w:rPr>
          <w:rFonts w:ascii="Arial" w:eastAsia="Trebuchet MS" w:hAnsi="Arial" w:cs="Arial"/>
          <w:b/>
          <w:sz w:val="22"/>
          <w:szCs w:val="22"/>
          <w:lang w:eastAsia="en-US"/>
        </w:rPr>
        <w:t>LEADER</w:t>
      </w:r>
      <w:r>
        <w:rPr>
          <w:rFonts w:ascii="Arial" w:eastAsia="Trebuchet MS" w:hAnsi="Arial" w:cs="Arial"/>
          <w:sz w:val="22"/>
          <w:szCs w:val="22"/>
          <w:lang w:eastAsia="en-US"/>
        </w:rPr>
        <w:t xml:space="preserve"> v</w:t>
      </w:r>
      <w:r>
        <w:rPr>
          <w:rFonts w:ascii="Arial" w:eastAsia="Trebuchet MS" w:hAnsi="Arial" w:cs="Arial"/>
          <w:b/>
          <w:sz w:val="22"/>
          <w:szCs w:val="22"/>
          <w:lang w:eastAsia="en-US"/>
        </w:rPr>
        <w:t> PRV</w:t>
      </w:r>
      <w:r>
        <w:rPr>
          <w:rFonts w:ascii="Arial" w:eastAsia="Trebuchet MS" w:hAnsi="Arial" w:cs="Arial"/>
          <w:sz w:val="22"/>
          <w:szCs w:val="22"/>
          <w:lang w:eastAsia="en-US"/>
        </w:rPr>
        <w:t xml:space="preserve"> voči PO 5 </w:t>
      </w:r>
      <w:r>
        <w:rPr>
          <w:rFonts w:ascii="Arial" w:eastAsia="Trebuchet MS" w:hAnsi="Arial" w:cs="Arial"/>
          <w:b/>
          <w:sz w:val="22"/>
          <w:szCs w:val="22"/>
          <w:lang w:eastAsia="en-US"/>
        </w:rPr>
        <w:t>IROP</w:t>
      </w:r>
      <w:r>
        <w:rPr>
          <w:rFonts w:ascii="Arial" w:eastAsia="Trebuchet MS" w:hAnsi="Arial" w:cs="Arial"/>
          <w:sz w:val="22"/>
          <w:szCs w:val="22"/>
          <w:lang w:eastAsia="en-US"/>
        </w:rPr>
        <w:t xml:space="preserve"> spočíva v rozdielnych typoch oprávnených oblastí, príp. žiadateľov. Podpora obnova a rozvoj obcí je oprávnený v rámci oboch fondov. Na úrovni stratégie </w:t>
      </w:r>
      <w:r>
        <w:rPr>
          <w:rFonts w:ascii="Arial" w:eastAsia="Trebuchet MS" w:hAnsi="Arial" w:cs="Arial"/>
          <w:b/>
          <w:sz w:val="22"/>
          <w:szCs w:val="22"/>
          <w:lang w:eastAsia="en-US"/>
        </w:rPr>
        <w:t>CLLD</w:t>
      </w:r>
      <w:r>
        <w:rPr>
          <w:rFonts w:ascii="Arial" w:eastAsia="Trebuchet MS" w:hAnsi="Arial" w:cs="Arial"/>
          <w:sz w:val="22"/>
          <w:szCs w:val="22"/>
          <w:lang w:eastAsia="en-US"/>
        </w:rPr>
        <w:t xml:space="preserve"> sa stanoví, z ktorého OP budú realizované aké typy aktivít. </w:t>
      </w:r>
      <w:proofErr w:type="spellStart"/>
      <w:r>
        <w:rPr>
          <w:rFonts w:ascii="Arial" w:eastAsia="Trebuchet MS" w:hAnsi="Arial" w:cs="Arial"/>
          <w:sz w:val="22"/>
          <w:szCs w:val="22"/>
          <w:lang w:eastAsia="en-US"/>
        </w:rPr>
        <w:t>Komplementarita</w:t>
      </w:r>
      <w:proofErr w:type="spellEnd"/>
      <w:r>
        <w:rPr>
          <w:rFonts w:ascii="Arial" w:eastAsia="Trebuchet MS" w:hAnsi="Arial" w:cs="Arial"/>
          <w:sz w:val="22"/>
          <w:szCs w:val="22"/>
          <w:lang w:eastAsia="en-US"/>
        </w:rPr>
        <w:t xml:space="preserve"> a synergia s </w:t>
      </w:r>
      <w:r>
        <w:rPr>
          <w:rFonts w:ascii="Arial" w:eastAsia="Trebuchet MS" w:hAnsi="Arial" w:cs="Arial"/>
          <w:b/>
          <w:sz w:val="22"/>
          <w:szCs w:val="22"/>
          <w:lang w:eastAsia="en-US"/>
        </w:rPr>
        <w:t>OP ĽZ</w:t>
      </w:r>
      <w:r>
        <w:rPr>
          <w:rFonts w:ascii="Arial" w:eastAsia="Trebuchet MS" w:hAnsi="Arial" w:cs="Arial"/>
          <w:sz w:val="22"/>
          <w:szCs w:val="22"/>
          <w:lang w:eastAsia="en-US"/>
        </w:rPr>
        <w:t xml:space="preserve"> medzi PO Technická vybavenosť v obciach s prítomnosťou MRK (PO 5 ŠC 5.2.1 a 5.1.3) v OP ĽZ a IROP (PO 5 ŠC 5.1.2 a 5.1.3) je zabezpečená rozdielnymi typmi oprávnených oblastí, príp. žiadateľov. Na úrovni stratégie CLLD sa stanoví, z ktorého OP budú realizované aké typy aktivít. Deliaca línia podpory aktivít ŠC 5.1.2 IROP a ŠC 3.1.1 a 3.3.1 </w:t>
      </w:r>
      <w:proofErr w:type="spellStart"/>
      <w:r>
        <w:rPr>
          <w:rFonts w:ascii="Arial" w:eastAsia="Trebuchet MS" w:hAnsi="Arial" w:cs="Arial"/>
          <w:b/>
          <w:sz w:val="22"/>
          <w:szCs w:val="22"/>
          <w:lang w:eastAsia="en-US"/>
        </w:rPr>
        <w:t>OPVaI</w:t>
      </w:r>
      <w:proofErr w:type="spellEnd"/>
      <w:r>
        <w:rPr>
          <w:rFonts w:ascii="Arial" w:eastAsia="Trebuchet MS" w:hAnsi="Arial" w:cs="Arial"/>
          <w:sz w:val="22"/>
          <w:szCs w:val="22"/>
          <w:lang w:eastAsia="en-US"/>
        </w:rPr>
        <w:t xml:space="preserve"> je na úrovni rozhodnutí MAS. Aktivity podporené v rámci ŠC 5.1.2 IROP budú súvisieť s realizáciou miestnych stratégií.</w:t>
      </w:r>
    </w:p>
    <w:p>
      <w:pPr>
        <w:jc w:val="both"/>
        <w:rPr>
          <w:rFonts w:ascii="Arial" w:hAnsi="Arial" w:cs="Arial"/>
          <w:b/>
        </w:rPr>
      </w:pPr>
      <w:r>
        <w:rPr>
          <w:rFonts w:ascii="Arial" w:hAnsi="Arial" w:cs="Arial"/>
          <w:b/>
        </w:rPr>
        <w:lastRenderedPageBreak/>
        <w:t>TC 10</w:t>
      </w:r>
    </w:p>
    <w:p>
      <w:pPr>
        <w:jc w:val="both"/>
        <w:rPr>
          <w:rFonts w:ascii="Arial" w:hAnsi="Arial" w:cs="Arial"/>
          <w:b/>
        </w:rPr>
      </w:pPr>
      <w:r>
        <w:rPr>
          <w:rFonts w:ascii="Arial" w:hAnsi="Arial" w:cs="Arial"/>
          <w:b/>
        </w:rPr>
        <w:t>IP10(a)</w:t>
      </w:r>
    </w:p>
    <w:p>
      <w:pPr>
        <w:jc w:val="both"/>
        <w:rPr>
          <w:rFonts w:ascii="Arial" w:hAnsi="Arial" w:cs="Arial"/>
        </w:rPr>
      </w:pPr>
      <w:r>
        <w:rPr>
          <w:rFonts w:ascii="Arial" w:hAnsi="Arial" w:cs="Arial"/>
        </w:rPr>
        <w:t xml:space="preserve">V rámci </w:t>
      </w:r>
      <w:r>
        <w:rPr>
          <w:rFonts w:ascii="Arial" w:hAnsi="Arial" w:cs="Arial"/>
          <w:b/>
        </w:rPr>
        <w:t>vzdelávacej infraštruktúry IROP</w:t>
      </w:r>
      <w:r>
        <w:rPr>
          <w:rFonts w:ascii="Arial" w:hAnsi="Arial" w:cs="Arial"/>
        </w:rPr>
        <w:t xml:space="preserve"> podporí kapitálové výdavky: investície do infraštruktúry a materiálno-technického vybavenia </w:t>
      </w:r>
      <w:r>
        <w:rPr>
          <w:rFonts w:ascii="Arial" w:hAnsi="Arial" w:cs="Arial"/>
          <w:b/>
        </w:rPr>
        <w:t>MŠ</w:t>
      </w:r>
      <w:r>
        <w:rPr>
          <w:rFonts w:ascii="Arial" w:hAnsi="Arial" w:cs="Arial"/>
        </w:rPr>
        <w:t xml:space="preserve">; investície do infraštruktúry </w:t>
      </w:r>
      <w:r>
        <w:rPr>
          <w:rFonts w:ascii="Arial" w:hAnsi="Arial" w:cs="Arial"/>
          <w:b/>
        </w:rPr>
        <w:t>ŽŠ</w:t>
      </w:r>
      <w:r>
        <w:rPr>
          <w:rFonts w:ascii="Arial" w:hAnsi="Arial" w:cs="Arial"/>
        </w:rPr>
        <w:t xml:space="preserve"> zabezpečením technických miestností, laboratórií na prírodovedné a jazykové účely; investície do infraštruktúry </w:t>
      </w:r>
      <w:r>
        <w:rPr>
          <w:rFonts w:ascii="Arial" w:hAnsi="Arial" w:cs="Arial"/>
          <w:b/>
        </w:rPr>
        <w:t>SOŠ/COVP</w:t>
      </w:r>
      <w:r>
        <w:rPr>
          <w:rFonts w:ascii="Arial" w:hAnsi="Arial" w:cs="Arial"/>
        </w:rPr>
        <w:t xml:space="preserve"> a do materiálno-technického vybavenia. Komplementárne k IROP sa </w:t>
      </w:r>
      <w:r>
        <w:rPr>
          <w:rFonts w:ascii="Arial" w:hAnsi="Arial" w:cs="Arial"/>
          <w:b/>
        </w:rPr>
        <w:t>OP ĽZ</w:t>
      </w:r>
      <w:r>
        <w:rPr>
          <w:rFonts w:ascii="Arial" w:hAnsi="Arial" w:cs="Arial"/>
        </w:rPr>
        <w:t xml:space="preserve"> zameria na: vzdelávanie pedagogických a odborných zamestnancov </w:t>
      </w:r>
      <w:r>
        <w:rPr>
          <w:rFonts w:ascii="Arial" w:hAnsi="Arial" w:cs="Arial"/>
          <w:b/>
        </w:rPr>
        <w:t>MŠ</w:t>
      </w:r>
      <w:r>
        <w:rPr>
          <w:rFonts w:ascii="Arial" w:hAnsi="Arial" w:cs="Arial"/>
        </w:rPr>
        <w:t xml:space="preserve">; zvýšenie kvality a obsahu vzdelávania s dôrazom na matematické, prírodovedné, finančné a jazykové zručností, podnikateľských a ekonomického myslenia žiakov, ako aj na vypracovanie štandardov kvality </w:t>
      </w:r>
      <w:r>
        <w:rPr>
          <w:rFonts w:ascii="Arial" w:hAnsi="Arial" w:cs="Arial"/>
          <w:b/>
        </w:rPr>
        <w:t>primárneho vzdelávania</w:t>
      </w:r>
      <w:r>
        <w:rPr>
          <w:rFonts w:ascii="Arial" w:hAnsi="Arial" w:cs="Arial"/>
        </w:rPr>
        <w:t xml:space="preserve">; na podporu zavedenia prvkov duálneho systému vzdelávania. Zabezpečenie </w:t>
      </w:r>
      <w:proofErr w:type="spellStart"/>
      <w:r>
        <w:rPr>
          <w:rFonts w:ascii="Arial" w:hAnsi="Arial" w:cs="Arial"/>
        </w:rPr>
        <w:t>komplementarity</w:t>
      </w:r>
      <w:proofErr w:type="spellEnd"/>
      <w:r>
        <w:rPr>
          <w:rFonts w:ascii="Arial" w:hAnsi="Arial" w:cs="Arial"/>
        </w:rPr>
        <w:t xml:space="preserve"> podpory vzdelávania s investičnou podporou z IROP je členstvo zástupcu OP ĽZ (SO/RO - MŠVVŠ SR) v Rade Partnerstva pre RIÚS.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 </w:t>
      </w:r>
      <w:r>
        <w:rPr>
          <w:rFonts w:ascii="Arial" w:hAnsi="Arial" w:cs="Arial"/>
          <w:b/>
        </w:rPr>
        <w:t>Koordinácia</w:t>
      </w:r>
      <w:r>
        <w:rPr>
          <w:rFonts w:ascii="Arial" w:hAnsi="Arial" w:cs="Arial"/>
        </w:rPr>
        <w:t xml:space="preserve">: Pracovná skupina pre koordináciu OP ĽZ a IROP v oblasti vzdelávania. </w:t>
      </w:r>
    </w:p>
    <w:p>
      <w:pPr>
        <w:spacing w:after="0"/>
        <w:jc w:val="both"/>
        <w:rPr>
          <w:rFonts w:ascii="Arial" w:hAnsi="Arial" w:cs="Arial"/>
        </w:rPr>
      </w:pPr>
      <w:proofErr w:type="spellStart"/>
      <w:r>
        <w:rPr>
          <w:rFonts w:ascii="Arial" w:hAnsi="Arial" w:cs="Arial"/>
        </w:rPr>
        <w:t>Komplementarita</w:t>
      </w:r>
      <w:proofErr w:type="spellEnd"/>
      <w:r>
        <w:rPr>
          <w:rFonts w:ascii="Arial" w:hAnsi="Arial" w:cs="Arial"/>
        </w:rPr>
        <w:t xml:space="preserve"> a synergia investícií do infraštruktúry je identifikovaná aj medzi PO Technická vybavenosť v obciach s prítomnosťou MRK (PO 5 ŠC 5.1.2) v OP ĽZ a IROP (PO 2 ŠC 2.2.1.). Koordinácia a kooperácia s MV SR/ÚSVRK bude na úrovni prípravy relevantných častí RIÚS a schvaľovania RIÚS vo forme členstva v Rade Partnerstva pre RIÚS. Nadväzujúca spolupráca bude pri príprave samotných výziev MV SR/ÚSVRK formou zapojenia RO pre IROP, v spolupráci s RO pre OP ĽZ.</w:t>
      </w:r>
    </w:p>
    <w:p>
      <w:pPr>
        <w:spacing w:before="240" w:after="0"/>
        <w:jc w:val="both"/>
        <w:rPr>
          <w:rFonts w:ascii="Arial" w:hAnsi="Arial" w:cs="Arial"/>
        </w:rPr>
      </w:pPr>
      <w:r>
        <w:rPr>
          <w:rFonts w:ascii="Arial" w:hAnsi="Arial" w:cs="Arial"/>
        </w:rPr>
        <w:t xml:space="preserve">Aktivita </w:t>
      </w:r>
      <w:r>
        <w:rPr>
          <w:rFonts w:ascii="Arial" w:hAnsi="Arial" w:cs="Arial"/>
          <w:i/>
        </w:rPr>
        <w:t>Vytvorenie podnikateľského inkubátora pri COVP</w:t>
      </w:r>
      <w:r>
        <w:rPr>
          <w:rFonts w:ascii="Arial" w:hAnsi="Arial" w:cs="Arial"/>
        </w:rPr>
        <w:t xml:space="preserve"> v rámci ŠC 2.2.3 IROP je viazaná na podporu absolventov SOŠ pri rozbehu podnikateľskej činnosti (cieľová skupina -  absolventi daného COVP a ostatných SOŠ v odbore/odvetví zodpovedajúcom danému COVP). Aktivita </w:t>
      </w:r>
      <w:r>
        <w:rPr>
          <w:rFonts w:ascii="Arial" w:hAnsi="Arial" w:cs="Arial"/>
          <w:i/>
        </w:rPr>
        <w:t>Rozvoj podnikateľských centier v regiónoch SR (NPC)</w:t>
      </w:r>
      <w:r>
        <w:rPr>
          <w:rFonts w:ascii="Arial" w:hAnsi="Arial" w:cs="Arial"/>
        </w:rPr>
        <w:t xml:space="preserve"> – v rámci ŠC 3.1.1 </w:t>
      </w:r>
      <w:r>
        <w:rPr>
          <w:rFonts w:ascii="Arial" w:hAnsi="Arial" w:cs="Arial"/>
          <w:b/>
        </w:rPr>
        <w:t xml:space="preserve">OP </w:t>
      </w:r>
      <w:proofErr w:type="spellStart"/>
      <w:r>
        <w:rPr>
          <w:rFonts w:ascii="Arial" w:hAnsi="Arial" w:cs="Arial"/>
          <w:b/>
        </w:rPr>
        <w:t>VaI</w:t>
      </w:r>
      <w:proofErr w:type="spellEnd"/>
      <w:r>
        <w:rPr>
          <w:rFonts w:ascii="Arial" w:hAnsi="Arial" w:cs="Arial"/>
        </w:rPr>
        <w:t xml:space="preserve"> je zameraná na realizáciu koncepcie komplexných centier typu </w:t>
      </w:r>
      <w:proofErr w:type="spellStart"/>
      <w:r>
        <w:rPr>
          <w:rFonts w:ascii="Arial" w:hAnsi="Arial" w:cs="Arial"/>
        </w:rPr>
        <w:t>one-stop-shop</w:t>
      </w:r>
      <w:proofErr w:type="spellEnd"/>
      <w:r>
        <w:rPr>
          <w:rFonts w:ascii="Arial" w:hAnsi="Arial" w:cs="Arial"/>
        </w:rPr>
        <w:t xml:space="preserve"> pre všetky MSP (poskytovanie poradenstva, technickej a finančnej podpory, inkubačných služieb). Je možné rozšíriť časť služieb NPC aj na inkubátory vytvorené cez IROP.</w:t>
      </w:r>
    </w:p>
    <w:p>
      <w:pPr>
        <w:spacing w:after="0" w:line="240" w:lineRule="auto"/>
        <w:rPr>
          <w:rFonts w:ascii="Arial" w:hAnsi="Arial" w:cs="Arial"/>
          <w:b/>
        </w:rPr>
        <w:sectPr>
          <w:pgSz w:w="11906" w:h="16838"/>
          <w:pgMar w:top="1418" w:right="1418" w:bottom="1418" w:left="1418" w:header="709" w:footer="709" w:gutter="0"/>
          <w:cols w:space="708"/>
          <w:docGrid w:linePitch="360"/>
        </w:sectPr>
      </w:pPr>
    </w:p>
    <w:p>
      <w:pPr>
        <w:pStyle w:val="Nadpis1"/>
        <w:rPr>
          <w:rFonts w:ascii="Arial" w:hAnsi="Arial" w:cs="Arial"/>
        </w:rPr>
      </w:pPr>
      <w:bookmarkStart w:id="163" w:name="_Toc387651895"/>
      <w:r>
        <w:rPr>
          <w:rFonts w:ascii="Arial" w:hAnsi="Arial" w:cs="Arial"/>
        </w:rPr>
        <w:lastRenderedPageBreak/>
        <w:t xml:space="preserve">9 Ex </w:t>
      </w:r>
      <w:proofErr w:type="spellStart"/>
      <w:r>
        <w:rPr>
          <w:rFonts w:ascii="Arial" w:hAnsi="Arial" w:cs="Arial"/>
        </w:rPr>
        <w:t>ante</w:t>
      </w:r>
      <w:proofErr w:type="spellEnd"/>
      <w:r>
        <w:rPr>
          <w:rFonts w:ascii="Arial" w:hAnsi="Arial" w:cs="Arial"/>
        </w:rPr>
        <w:t xml:space="preserve"> </w:t>
      </w:r>
      <w:proofErr w:type="spellStart"/>
      <w:r>
        <w:rPr>
          <w:rFonts w:ascii="Arial" w:hAnsi="Arial" w:cs="Arial"/>
        </w:rPr>
        <w:t>kondicionality</w:t>
      </w:r>
      <w:bookmarkEnd w:id="163"/>
      <w:proofErr w:type="spellEnd"/>
      <w:r>
        <w:rPr>
          <w:rFonts w:ascii="Arial" w:hAnsi="Arial" w:cs="Arial"/>
        </w:rPr>
        <w:t xml:space="preserve"> </w:t>
      </w:r>
    </w:p>
    <w:p>
      <w:pPr>
        <w:pStyle w:val="Nadpis2"/>
        <w:rPr>
          <w:rFonts w:ascii="Arial" w:hAnsi="Arial" w:cs="Arial"/>
        </w:rPr>
      </w:pPr>
      <w:bookmarkStart w:id="164" w:name="_Toc387651896"/>
      <w:r>
        <w:rPr>
          <w:rFonts w:ascii="Arial" w:hAnsi="Arial" w:cs="Arial"/>
        </w:rPr>
        <w:t xml:space="preserve">9.1 Identifikácia aplikovateľných </w:t>
      </w:r>
      <w:proofErr w:type="spellStart"/>
      <w:r>
        <w:rPr>
          <w:rFonts w:ascii="Arial" w:hAnsi="Arial" w:cs="Arial"/>
        </w:rPr>
        <w:t>ex-ante</w:t>
      </w:r>
      <w:proofErr w:type="spellEnd"/>
      <w:r>
        <w:rPr>
          <w:rFonts w:ascii="Arial" w:hAnsi="Arial" w:cs="Arial"/>
        </w:rPr>
        <w:t xml:space="preserve"> </w:t>
      </w:r>
      <w:proofErr w:type="spellStart"/>
      <w:r>
        <w:rPr>
          <w:rFonts w:ascii="Arial" w:hAnsi="Arial" w:cs="Arial"/>
        </w:rPr>
        <w:t>kondicionalít</w:t>
      </w:r>
      <w:proofErr w:type="spellEnd"/>
      <w:r>
        <w:rPr>
          <w:rFonts w:ascii="Arial" w:hAnsi="Arial" w:cs="Arial"/>
        </w:rPr>
        <w:t xml:space="preserve"> a vyhodnotenie ich splnenia</w:t>
      </w:r>
      <w:bookmarkEnd w:id="164"/>
    </w:p>
    <w:p>
      <w:pPr>
        <w:spacing w:before="120"/>
        <w:rPr>
          <w:rStyle w:val="Zvraznenie"/>
          <w:rFonts w:ascii="Arial" w:hAnsi="Arial" w:cs="Arial"/>
        </w:rPr>
      </w:pPr>
      <w:r>
        <w:rPr>
          <w:rStyle w:val="Siln"/>
          <w:rFonts w:ascii="Arial" w:hAnsi="Arial" w:cs="Arial"/>
        </w:rPr>
        <w:t xml:space="preserve">Tabuľka č. 51  </w:t>
      </w:r>
      <w:r>
        <w:rPr>
          <w:rStyle w:val="Zvraznenie"/>
          <w:rFonts w:ascii="Arial" w:hAnsi="Arial" w:cs="Arial"/>
        </w:rPr>
        <w:t xml:space="preserve">Identifikácia aplikovateľných </w:t>
      </w:r>
      <w:proofErr w:type="spellStart"/>
      <w:r>
        <w:rPr>
          <w:rStyle w:val="Zvraznenie"/>
          <w:rFonts w:ascii="Arial" w:hAnsi="Arial" w:cs="Arial"/>
        </w:rPr>
        <w:t>ex-ante</w:t>
      </w:r>
      <w:proofErr w:type="spellEnd"/>
      <w:r>
        <w:rPr>
          <w:rStyle w:val="Zvraznenie"/>
          <w:rFonts w:ascii="Arial" w:hAnsi="Arial" w:cs="Arial"/>
        </w:rPr>
        <w:t xml:space="preserve"> </w:t>
      </w:r>
      <w:proofErr w:type="spellStart"/>
      <w:r>
        <w:rPr>
          <w:rStyle w:val="Zvraznenie"/>
          <w:rFonts w:ascii="Arial" w:hAnsi="Arial" w:cs="Arial"/>
        </w:rPr>
        <w:t>kondicionalít</w:t>
      </w:r>
      <w:proofErr w:type="spellEnd"/>
      <w:r>
        <w:rPr>
          <w:rStyle w:val="Zvraznenie"/>
          <w:rFonts w:ascii="Arial" w:hAnsi="Arial" w:cs="Arial"/>
        </w:rPr>
        <w:t xml:space="preserve">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 xml:space="preserve">Ex </w:t>
            </w:r>
            <w:proofErr w:type="spellStart"/>
            <w:r>
              <w:rPr>
                <w:rFonts w:ascii="Arial Narrow" w:hAnsi="Arial Narrow" w:cs="Arial"/>
                <w:sz w:val="16"/>
                <w:szCs w:val="16"/>
              </w:rPr>
              <w:t>ante</w:t>
            </w:r>
            <w:proofErr w:type="spellEnd"/>
            <w:r>
              <w:rPr>
                <w:rFonts w:ascii="Arial Narrow" w:hAnsi="Arial Narrow" w:cs="Arial"/>
                <w:sz w:val="16"/>
                <w:szCs w:val="16"/>
              </w:rPr>
              <w:t xml:space="preserve"> </w:t>
            </w:r>
            <w:proofErr w:type="spellStart"/>
            <w:r>
              <w:rPr>
                <w:rFonts w:ascii="Arial Narrow" w:hAnsi="Arial Narrow" w:cs="Arial"/>
                <w:sz w:val="16"/>
                <w:szCs w:val="16"/>
              </w:rPr>
              <w:t>kondicionalita</w:t>
            </w:r>
            <w:proofErr w:type="spellEnd"/>
          </w:p>
        </w:tc>
        <w:tc>
          <w:tcPr>
            <w:tcW w:w="771"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Splnená </w:t>
            </w:r>
            <w:proofErr w:type="spellStart"/>
            <w:r>
              <w:rPr>
                <w:rFonts w:ascii="Arial Narrow" w:hAnsi="Arial Narrow" w:cs="Arial"/>
                <w:sz w:val="16"/>
                <w:szCs w:val="16"/>
              </w:rPr>
              <w:t>ex-ante</w:t>
            </w:r>
            <w:proofErr w:type="spellEnd"/>
            <w:r>
              <w:rPr>
                <w:rFonts w:ascii="Arial Narrow" w:hAnsi="Arial Narrow" w:cs="Arial"/>
                <w:sz w:val="16"/>
                <w:szCs w:val="16"/>
              </w:rPr>
              <w:t xml:space="preserve"> </w:t>
            </w:r>
            <w:proofErr w:type="spellStart"/>
            <w:r>
              <w:rPr>
                <w:rFonts w:ascii="Arial Narrow" w:hAnsi="Arial Narrow" w:cs="Arial"/>
                <w:sz w:val="16"/>
                <w:szCs w:val="16"/>
              </w:rPr>
              <w:t>kondicionalita</w:t>
            </w:r>
            <w:proofErr w:type="spellEnd"/>
            <w:r>
              <w:rPr>
                <w:rFonts w:ascii="Arial Narrow" w:hAnsi="Arial Narrow" w:cs="Arial"/>
                <w:sz w:val="16"/>
                <w:szCs w:val="16"/>
              </w:rPr>
              <w:t>: Áno/Nie</w:t>
            </w:r>
          </w:p>
        </w:tc>
        <w:tc>
          <w:tcPr>
            <w:tcW w:w="2501"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2,3,5</w:t>
            </w: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Čiastočne</w:t>
            </w:r>
          </w:p>
        </w:tc>
        <w:tc>
          <w:tcPr>
            <w:tcW w:w="2501"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Zavedená je vnútroštátna alebo regionálna stratégia inteligentnej špecializácie, ktorá: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je založená na SWOT alebo podobnej analýze s cieľom sústrediť zdroje na obmedzený počet priorít v oblasti výskumu a inovácií,</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opisuje opatrenia na podporu súkromných investícií do výskumu a vývoja,</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obsahuje monitorovací mechanizmus.</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Bol prijatý rámec opisujúci dostupné rozpočtové zdroje na výskum a inovácie.</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MS Mincho" w:hAnsi="Arial Narrow"/>
                <w:sz w:val="16"/>
                <w:szCs w:val="16"/>
              </w:rPr>
            </w:pPr>
            <w:hyperlink r:id="rId14" w:history="1">
              <w:r>
                <w:rPr>
                  <w:rFonts w:ascii="Arial Narrow" w:eastAsia="MS Mincho" w:hAnsi="Arial Narrow"/>
                  <w:sz w:val="16"/>
                  <w:szCs w:val="16"/>
                </w:rPr>
                <w:t>http://www.rokovanie.sk/Rokovanie.aspx/BodRokovaniaDetail?idMaterial=23039</w:t>
              </w:r>
            </w:hyperlink>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MS Mincho"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5" w:history="1">
              <w:r>
                <w:rPr>
                  <w:rStyle w:val="Hypertextovprepojenie"/>
                  <w:rFonts w:ascii="Arial Narrow" w:hAnsi="Arial Narrow"/>
                  <w:sz w:val="16"/>
                  <w:szCs w:val="16"/>
                </w:rPr>
                <w:t>https://www.vedatechnika.sk/SK/VedaATechnikaVSR/Stranky/Ramcova-koncepcia-a-struktura-strategie-inteligentnej-specializacie-S3-v-SR.aspx</w:t>
              </w:r>
            </w:hyperlink>
          </w:p>
          <w:p>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Dňa 13. novembra 2013 bola RIS3 SK schválená vládou SR.</w:t>
            </w:r>
          </w:p>
          <w:p>
            <w:pPr>
              <w:pStyle w:val="Normlnywebov"/>
              <w:tabs>
                <w:tab w:val="left" w:pos="3"/>
                <w:tab w:val="num" w:pos="2580"/>
              </w:tabs>
              <w:spacing w:after="0" w:afterAutospacing="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Pre efektívnu implementáciu RIS3 budú vypracovávané akčné plány vrátane vykonávania priebežného vyhodnocovania a aktualizácie RIS3, resp. akčných plánov.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„Akčný plán implementácie RIS3 pre roky 2014 – 2016“ (vypracovaný do 31.5.2014) bude obsahovať najdôležitejšie tematické oblasti a aktivity podmieňujúce úspešnú implementáciu RIS3 a zohľadňujúce podmienky naplnenia ex </w:t>
            </w:r>
            <w:proofErr w:type="spellStart"/>
            <w:r>
              <w:rPr>
                <w:rFonts w:ascii="Arial Narrow" w:hAnsi="Arial Narrow" w:cs="Arial"/>
                <w:sz w:val="16"/>
                <w:szCs w:val="16"/>
              </w:rPr>
              <w:t>ante</w:t>
            </w:r>
            <w:proofErr w:type="spellEnd"/>
            <w:r>
              <w:rPr>
                <w:rFonts w:ascii="Arial Narrow" w:hAnsi="Arial Narrow" w:cs="Arial"/>
                <w:sz w:val="16"/>
                <w:szCs w:val="16"/>
              </w:rPr>
              <w:t xml:space="preserve"> </w:t>
            </w:r>
            <w:proofErr w:type="spellStart"/>
            <w:r>
              <w:rPr>
                <w:rFonts w:ascii="Arial Narrow" w:hAnsi="Arial Narrow" w:cs="Arial"/>
                <w:sz w:val="16"/>
                <w:szCs w:val="16"/>
              </w:rPr>
              <w:t>kondicionalít</w:t>
            </w:r>
            <w:proofErr w:type="spellEnd"/>
            <w:r>
              <w:rPr>
                <w:rFonts w:ascii="Arial Narrow" w:hAnsi="Arial Narrow" w:cs="Arial"/>
                <w:sz w:val="16"/>
                <w:szCs w:val="16"/>
              </w:rPr>
              <w:t xml:space="preserve"> pre TC 1 najmä:</w:t>
            </w:r>
          </w:p>
          <w:p>
            <w:pPr>
              <w:tabs>
                <w:tab w:val="left" w:pos="21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cs="Arial"/>
                <w:sz w:val="16"/>
                <w:szCs w:val="16"/>
              </w:rPr>
              <w:tab/>
              <w:t xml:space="preserve">dopracovanie relevantných OP v súlade s RIS3, vrátane aktualizácie ukazovateľov pre OP a RIS3 vo väzbe na konečné verzie všetkých relevantných OP, </w:t>
            </w:r>
          </w:p>
          <w:p>
            <w:pPr>
              <w:tabs>
                <w:tab w:val="left" w:pos="21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cs="Arial"/>
                <w:sz w:val="16"/>
                <w:szCs w:val="16"/>
              </w:rPr>
              <w:tab/>
              <w:t>dopracovanie finančných rámcov s indikatívnymi alokáciami podľa opatrení, zdrojov financovania a typov finančných nástrojov,</w:t>
            </w:r>
          </w:p>
          <w:p>
            <w:pPr>
              <w:tabs>
                <w:tab w:val="left" w:pos="21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cs="Arial"/>
                <w:sz w:val="16"/>
                <w:szCs w:val="16"/>
              </w:rPr>
              <w:tab/>
              <w:t xml:space="preserve">základné legislatívne zmeny nevyhnutné  na dosiahnutie cieľov RIS3, </w:t>
            </w:r>
          </w:p>
          <w:p>
            <w:pPr>
              <w:tabs>
                <w:tab w:val="left" w:pos="21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cs="Arial"/>
                <w:sz w:val="16"/>
                <w:szCs w:val="16"/>
              </w:rPr>
              <w:tab/>
              <w:t xml:space="preserve">plán inštitucionálnych zmien pre aplikáciu navrhnutého modelu </w:t>
            </w:r>
            <w:proofErr w:type="spellStart"/>
            <w:r>
              <w:rPr>
                <w:rFonts w:ascii="Arial Narrow" w:hAnsi="Arial Narrow" w:cs="Arial"/>
                <w:sz w:val="16"/>
                <w:szCs w:val="16"/>
              </w:rPr>
              <w:t>governance</w:t>
            </w:r>
            <w:proofErr w:type="spellEnd"/>
            <w:r>
              <w:rPr>
                <w:rFonts w:ascii="Arial Narrow" w:hAnsi="Arial Narrow" w:cs="Arial"/>
                <w:sz w:val="16"/>
                <w:szCs w:val="16"/>
              </w:rPr>
              <w:t xml:space="preserve"> RIS3 v záujme eliminácie fragmentácie, vrátane aktualizácie relevantných podzákonných právnych predpisov, </w:t>
            </w:r>
          </w:p>
          <w:p>
            <w:pPr>
              <w:tabs>
                <w:tab w:val="left" w:pos="21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cs="Arial"/>
                <w:sz w:val="16"/>
                <w:szCs w:val="16"/>
              </w:rPr>
              <w:tab/>
              <w:t xml:space="preserve">SK </w:t>
            </w:r>
            <w:proofErr w:type="spellStart"/>
            <w:r>
              <w:rPr>
                <w:rFonts w:ascii="Arial Narrow" w:hAnsi="Arial Narrow" w:cs="Arial"/>
                <w:sz w:val="16"/>
                <w:szCs w:val="16"/>
              </w:rPr>
              <w:t>Roadmap</w:t>
            </w:r>
            <w:proofErr w:type="spellEnd"/>
            <w:r>
              <w:rPr>
                <w:rFonts w:ascii="Arial Narrow" w:hAnsi="Arial Narrow" w:cs="Arial"/>
                <w:sz w:val="16"/>
                <w:szCs w:val="16"/>
              </w:rPr>
              <w:t xml:space="preserve">  pre budovanie ESFRI infraštruktúry.</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 xml:space="preserve">4.1. Uskutočnili sa opatrenia na podporu nákladovo efektívnych zlepšení efektívnosti koncového využívania energie </w:t>
            </w:r>
            <w:r>
              <w:rPr>
                <w:rFonts w:ascii="Arial Narrow" w:hAnsi="Arial Narrow" w:cs="Arial"/>
                <w:sz w:val="16"/>
                <w:szCs w:val="16"/>
              </w:rPr>
              <w:lastRenderedPageBreak/>
              <w:t>a nákladovo efektívnych investícií do energetickej efektívnosti pri stavbe alebo renovácii budov.</w:t>
            </w:r>
          </w:p>
        </w:tc>
        <w:tc>
          <w:tcPr>
            <w:tcW w:w="77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4</w:t>
            </w:r>
          </w:p>
        </w:tc>
        <w:tc>
          <w:tcPr>
            <w:tcW w:w="1406"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opatrenia potrebné na zavedenie systému certifikácie energetickej </w:t>
            </w:r>
            <w:r>
              <w:rPr>
                <w:rFonts w:ascii="Arial Narrow" w:hAnsi="Arial Narrow" w:cs="Arial"/>
                <w:sz w:val="16"/>
                <w:szCs w:val="16"/>
              </w:rPr>
              <w:lastRenderedPageBreak/>
              <w:t>hospodárnosti budov v súlade s článkom 11 smernice 2010/31/EÚ;</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Zákon č. 555/2005 Z. z. o energetickej hospodárnosti budov v znení neskorších predpisov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 w:history="1">
              <w:r>
                <w:rPr>
                  <w:rFonts w:ascii="Arial Narrow" w:hAnsi="Arial Narrow"/>
                  <w:color w:val="0000FF"/>
                  <w:sz w:val="16"/>
                  <w:szCs w:val="16"/>
                  <w:u w:val="single"/>
                </w:rPr>
                <w:t>http://www.telecom.gov.sk/index/index.php?ids=83478</w:t>
              </w:r>
            </w:hyperlink>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Vyhláška MDVRR SR č. 364/2012 Z. z., ktorou sa </w:t>
            </w:r>
            <w:r>
              <w:rPr>
                <w:rFonts w:ascii="Arial Narrow" w:hAnsi="Arial Narrow" w:cs="Arial"/>
                <w:sz w:val="16"/>
                <w:szCs w:val="16"/>
              </w:rPr>
              <w:lastRenderedPageBreak/>
              <w:t>vykonáva zákon č. 555/2005 Z. z. o energetickej hospodárnosti budov a o zmene a doplnení niektorých zákonov v znení neskorších predpisov</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7" w:history="1">
              <w:r>
                <w:rPr>
                  <w:rFonts w:ascii="Arial Narrow" w:hAnsi="Arial Narrow"/>
                  <w:color w:val="0000FF"/>
                  <w:sz w:val="16"/>
                  <w:szCs w:val="16"/>
                  <w:u w:val="single"/>
                </w:rPr>
                <w:t>http://www.telecom.gov.sk/index/index.php?ids=83478</w:t>
              </w:r>
            </w:hyperlink>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program reforiem 2013</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8" w:history="1">
              <w:r>
                <w:rPr>
                  <w:rFonts w:ascii="Arial Narrow" w:hAnsi="Arial Narrow"/>
                  <w:color w:val="0000FF"/>
                  <w:sz w:val="16"/>
                  <w:szCs w:val="16"/>
                  <w:u w:val="single"/>
                </w:rPr>
                <w:t>http://www.rokovania.sk/Rokovanie.aspx/BodRokovaniaDetail?idMaterial=22344</w:t>
              </w:r>
            </w:hyperlink>
            <w:r>
              <w:rPr>
                <w:rFonts w:ascii="Arial Narrow" w:hAnsi="Arial Narrow"/>
                <w:color w:val="0000FF"/>
                <w:sz w:val="16"/>
                <w:szCs w:val="16"/>
                <w:u w:val="single"/>
              </w:rPr>
              <w:t xml:space="preserve">  </w:t>
            </w:r>
            <w:r>
              <w:rPr>
                <w:rFonts w:ascii="Arial Narrow" w:hAnsi="Arial Narrow" w:cs="Arial"/>
                <w:sz w:val="16"/>
                <w:szCs w:val="16"/>
              </w:rPr>
              <w:t>Schválený vládou SR dňa 24.4.2013.</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Technické a ekonomické aspekty nákladovo optimálnych opatrení zabezpečenia energetickej hospodárnosti budov. Štúdia bola notifikovaná Úradom vlády SR listom č. 08307/2013/B610-SV-28312.</w:t>
            </w:r>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Zákon sa vzťahuje na všetky významne obnovované budovy, ak je to technicky, funkčne a ekonomicky uskutočniteľné, minimálne požiadavky na energetickú hospodárnosť nových budov musí spĺňať aj existujúca budova po uskutočnení jej významnej obnovy.</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roofErr w:type="spellStart"/>
            <w:r>
              <w:rPr>
                <w:rFonts w:ascii="Arial Narrow" w:hAnsi="Arial Narrow" w:cs="Arial"/>
                <w:sz w:val="16"/>
                <w:szCs w:val="16"/>
              </w:rPr>
              <w:t>Tepelnotechnické</w:t>
            </w:r>
            <w:proofErr w:type="spellEnd"/>
            <w:r>
              <w:rPr>
                <w:rFonts w:ascii="Arial Narrow" w:hAnsi="Arial Narrow" w:cs="Arial"/>
                <w:sz w:val="16"/>
                <w:szCs w:val="16"/>
              </w:rPr>
              <w:t xml:space="preserve">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V uvedenej norme STN sú stanovené </w:t>
            </w:r>
            <w:r>
              <w:rPr>
                <w:rFonts w:ascii="Arial Narrow" w:hAnsi="Arial Narrow" w:cs="Arial"/>
                <w:sz w:val="16"/>
                <w:szCs w:val="16"/>
              </w:rPr>
              <w:lastRenderedPageBreak/>
              <w:t>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NPR 2013 stanovil národný indikatívny cieľ energetickej efektívnosti, ktorý bol v súlade s požiadavkami čl. 3 smernice 2012/27/EU.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s rozlíšením medzi novými 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lastRenderedPageBreak/>
              <w:t xml:space="preserve">7.1 Doprava: </w:t>
            </w:r>
          </w:p>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základnej siete TEN-T a úplnej siete, pričom sa počíta s investíciami EFRR a Kohézneho fondu,</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realistickú a kvalitnú realizáciu projektov, pri ktorých sa počíta s podporou zo strany EFRR a Kohézneho fondu,</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r>
              <w:rPr>
                <w:rFonts w:ascii="Arial Narrow" w:hAnsi="Arial Narrow" w:cs="Arial"/>
                <w:i/>
                <w:sz w:val="16"/>
                <w:szCs w:val="16"/>
              </w:rPr>
              <w:t>Strategický plán rozvoja dopravnej infraštruktúry SR do roku 2020 (fáza 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Pr>
                  <w:rFonts w:ascii="Arial Narrow" w:hAnsi="Arial Narrow" w:cs="Arial"/>
                  <w:color w:val="0000FF"/>
                  <w:sz w:val="16"/>
                  <w:szCs w:val="16"/>
                  <w:u w:val="single"/>
                </w:rPr>
                <w:t>http://www.telecom.gov.sk/index/index.php?ids=147132</w:t>
              </w:r>
            </w:hyperlink>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Pr>
                  <w:rFonts w:ascii="Arial Narrow" w:hAnsi="Arial Narrow" w:cs="Arial"/>
                  <w:color w:val="0000FF"/>
                  <w:sz w:val="16"/>
                  <w:szCs w:val="16"/>
                  <w:u w:val="single"/>
                </w:rPr>
                <w:t>http://www.telecom.gov.sk/index/index.php?ids=147132</w:t>
              </w:r>
            </w:hyperlink>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21" w:history="1">
              <w:r>
                <w:rPr>
                  <w:rFonts w:ascii="Arial Narrow" w:hAnsi="Arial Narrow" w:cs="Arial"/>
                  <w:color w:val="0000FF"/>
                  <w:sz w:val="16"/>
                  <w:szCs w:val="16"/>
                  <w:u w:val="single"/>
                </w:rPr>
                <w:t>www.telecom.gov.sk</w:t>
              </w:r>
            </w:hyperlink>
            <w:r>
              <w:rPr>
                <w:rFonts w:ascii="Arial Narrow" w:hAnsi="Arial Narrow" w:cs="Arial"/>
                <w:sz w:val="16"/>
                <w:szCs w:val="16"/>
              </w:rPr>
              <w:t>. Zoznam projektov je súčasťou strategických dokumentov.</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Finálne verzie oboch strategických dokumentov budú vypracované po ukončení SEA procesu a konzultáciách s EK a JASPERS. Úplné splnenie ex </w:t>
            </w:r>
            <w:proofErr w:type="spellStart"/>
            <w:r>
              <w:rPr>
                <w:rFonts w:ascii="Arial Narrow" w:hAnsi="Arial Narrow" w:cs="Arial"/>
                <w:sz w:val="16"/>
                <w:szCs w:val="16"/>
              </w:rPr>
              <w:t>ante</w:t>
            </w:r>
            <w:proofErr w:type="spellEnd"/>
            <w:r>
              <w:rPr>
                <w:rFonts w:ascii="Arial Narrow" w:hAnsi="Arial Narrow" w:cs="Arial"/>
                <w:sz w:val="16"/>
                <w:szCs w:val="16"/>
              </w:rPr>
              <w:t xml:space="preserve"> </w:t>
            </w:r>
            <w:proofErr w:type="spellStart"/>
            <w:r>
              <w:rPr>
                <w:rFonts w:ascii="Arial Narrow" w:hAnsi="Arial Narrow" w:cs="Arial"/>
                <w:sz w:val="16"/>
                <w:szCs w:val="16"/>
              </w:rPr>
              <w:t>kondicionalít</w:t>
            </w:r>
            <w:proofErr w:type="spellEnd"/>
            <w:r>
              <w:rPr>
                <w:rFonts w:ascii="Arial Narrow" w:hAnsi="Arial Narrow" w:cs="Arial"/>
                <w:sz w:val="16"/>
                <w:szCs w:val="16"/>
              </w:rPr>
              <w:t xml:space="preserve"> v sektore dopravy bude zabezpečené vypracovaním Strategického plánu rozvoja dopravnej infraštruktúry SR do roku 2030 (fáza II).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Pripravuje sa aktualizácia analýzy.</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 xml:space="preserve">9.1. Existencia a vykonávanie národného strategického politického rámca pre znižovanie </w:t>
            </w:r>
            <w:r>
              <w:rPr>
                <w:rFonts w:ascii="Arial Narrow" w:hAnsi="Arial Narrow" w:cs="Arial"/>
                <w:sz w:val="16"/>
                <w:szCs w:val="16"/>
              </w:rPr>
              <w:lastRenderedPageBreak/>
              <w:t>chudoby, ktorý je zameraný na aktívne začlenenie osôb vyčlenených z trhu práce so zreteľom na usmernenia politiky zamestnanosti.</w:t>
            </w:r>
          </w:p>
        </w:tc>
        <w:tc>
          <w:tcPr>
            <w:tcW w:w="771" w:type="dxa"/>
            <w:vMerge w:val="restart"/>
            <w:vAlign w:val="center"/>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lastRenderedPageBreak/>
              <w:t>2</w:t>
            </w:r>
          </w:p>
        </w:tc>
        <w:tc>
          <w:tcPr>
            <w:tcW w:w="1406" w:type="dxa"/>
            <w:vMerge w:val="restart"/>
            <w:vAlign w:val="center"/>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tcPr>
          <w:p>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1.Zavedený je národný strategický politický rámec pre znižovanie chudoby, zameraný na aktívne začleňovanie, ktorý poskytuje dostatok dôkazov, na základe ktorých sa dajú stanoviť politiky v oblasti znižovania </w:t>
            </w:r>
            <w:r>
              <w:rPr>
                <w:rFonts w:ascii="Arial Narrow" w:hAnsi="Arial Narrow" w:cs="Arial"/>
                <w:color w:val="000000"/>
                <w:sz w:val="16"/>
                <w:szCs w:val="16"/>
              </w:rPr>
              <w:lastRenderedPageBreak/>
              <w:t xml:space="preserve">chudoby a sledovať vývoj, </w:t>
            </w:r>
          </w:p>
          <w:p>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V rámci NP Národná rámcová stratégia sociálneho začlenenia a boja proti chudobe boli v mesiaci 4/2014 zrealizované tieto aktivity:</w:t>
            </w:r>
            <w:r>
              <w:rPr>
                <w:rFonts w:ascii="Arial Narrow" w:hAnsi="Arial Narrow" w:cs="Arial"/>
                <w:color w:val="000000" w:themeColor="text1"/>
                <w:sz w:val="16"/>
                <w:szCs w:val="16"/>
              </w:rPr>
              <w:br/>
              <w:t>-predĺženie projektu do 31.6. opäť v súvislosti s nadväznosťou externých aktivít</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w:t>
            </w:r>
            <w:r>
              <w:rPr>
                <w:rFonts w:ascii="Arial Narrow" w:hAnsi="Arial Narrow" w:cs="Arial"/>
                <w:i/>
                <w:iCs/>
                <w:color w:val="000000" w:themeColor="text1"/>
                <w:sz w:val="16"/>
                <w:szCs w:val="16"/>
              </w:rPr>
              <w:t>Empirický výskum spoločenskej  klímy</w:t>
            </w:r>
            <w:r>
              <w:rPr>
                <w:rFonts w:ascii="Arial Narrow" w:hAnsi="Arial Narrow" w:cs="Arial"/>
                <w:color w:val="000000" w:themeColor="text1"/>
                <w:sz w:val="16"/>
                <w:szCs w:val="16"/>
              </w:rPr>
              <w:t xml:space="preserve"> a zapracovaním, zohľadnením ich výsledkov v texte  Stratégie</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lastRenderedPageBreak/>
              <w:t>-expertné konzultácie, dolaďovanie zadaní pre vyššie uvádzané externé aktivity</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-konzultovanie textu Stratégie ako odborné „</w:t>
            </w:r>
            <w:proofErr w:type="spellStart"/>
            <w:r>
              <w:rPr>
                <w:rFonts w:ascii="Arial Narrow" w:hAnsi="Arial Narrow" w:cs="Arial"/>
                <w:color w:val="000000" w:themeColor="text1"/>
                <w:sz w:val="16"/>
                <w:szCs w:val="16"/>
              </w:rPr>
              <w:t>predpripomienkovanie</w:t>
            </w:r>
            <w:proofErr w:type="spellEnd"/>
            <w:r>
              <w:rPr>
                <w:rFonts w:ascii="Arial Narrow" w:hAnsi="Arial Narrow" w:cs="Arial"/>
                <w:color w:val="000000" w:themeColor="text1"/>
                <w:sz w:val="16"/>
                <w:szCs w:val="16"/>
              </w:rPr>
              <w:t>“ za účelom komplexného a konzistentného finálneho textu Stratégie</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-osobné informovanie  zástupcov EK o postupe prác na Stratégii  na  odbornom podujatí </w:t>
            </w:r>
            <w:r>
              <w:rPr>
                <w:rFonts w:ascii="Arial Narrow" w:hAnsi="Arial Narrow" w:cs="Arial"/>
                <w:i/>
                <w:iCs/>
                <w:color w:val="000000" w:themeColor="text1"/>
                <w:sz w:val="16"/>
                <w:szCs w:val="16"/>
              </w:rPr>
              <w:t xml:space="preserve">Neformálny dialóg o OP Ľudské zdroje 2014-2020, </w:t>
            </w:r>
            <w:r>
              <w:rPr>
                <w:rFonts w:ascii="Arial Narrow" w:hAnsi="Arial Narrow" w:cs="Arial"/>
                <w:color w:val="000000" w:themeColor="text1"/>
                <w:sz w:val="16"/>
                <w:szCs w:val="16"/>
              </w:rPr>
              <w:t>dňa 28.3. v Bratislave .</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-tvorba synergického textu záverečnej Stratégie</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-finálne odborné editovanie kompletného textu Stratégie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color w:val="000000" w:themeColor="text1"/>
                <w:sz w:val="16"/>
                <w:szCs w:val="16"/>
              </w:rPr>
              <w:t>Národná rámcová stratégia sociálneho začlenenia a boja proti chudobe vytvorená v rámci NP bude v analytickej časti vychádzať zo zdrojov EÚ SILC, vybraných štatistických  zisťovaní  a iných administratívnych a  ad hoc zdrojov</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vMerge/>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w:t>
            </w:r>
            <w:proofErr w:type="spellStart"/>
            <w:r>
              <w:rPr>
                <w:rFonts w:ascii="Arial Narrow" w:hAnsi="Arial Narrow" w:cs="Arial"/>
                <w:color w:val="000000"/>
                <w:sz w:val="16"/>
                <w:szCs w:val="16"/>
              </w:rPr>
              <w:t>marginalizovaných</w:t>
            </w:r>
            <w:proofErr w:type="spellEnd"/>
            <w:r>
              <w:rPr>
                <w:rFonts w:ascii="Arial Narrow" w:hAnsi="Arial Narrow" w:cs="Arial"/>
                <w:color w:val="000000"/>
                <w:sz w:val="16"/>
                <w:szCs w:val="16"/>
              </w:rPr>
              <w:t xml:space="preserve"> komunít, </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Pr>
                  <w:rStyle w:val="Hypertextovprepojenie"/>
                  <w:rFonts w:ascii="Arial Narrow" w:hAnsi="Arial Narrow"/>
                  <w:sz w:val="16"/>
                  <w:szCs w:val="16"/>
                </w:rPr>
                <w:t>http://www.employment.gov.sk/sk/rodina-socialna-pomoc/socialne-sluzby/</w:t>
              </w:r>
            </w:hyperlink>
          </w:p>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w:t>
            </w:r>
            <w:proofErr w:type="spellStart"/>
            <w:r>
              <w:rPr>
                <w:rFonts w:ascii="Arial Narrow" w:hAnsi="Arial Narrow" w:cs="Arial"/>
                <w:color w:val="000000"/>
                <w:sz w:val="16"/>
                <w:szCs w:val="16"/>
              </w:rPr>
              <w:t>medzitrhu</w:t>
            </w:r>
            <w:proofErr w:type="spellEnd"/>
            <w:r>
              <w:rPr>
                <w:rFonts w:ascii="Arial Narrow" w:hAnsi="Arial Narrow" w:cs="Arial"/>
                <w:color w:val="000000"/>
                <w:sz w:val="16"/>
                <w:szCs w:val="16"/>
              </w:rPr>
              <w:t xml:space="preserve"> práce pre sociálne začlenenie /východiská, zdroje sociálnej ekonomiky  a jej súčasné hlavné oblasti vývoja,  analýza štyroch hlavných modelov </w:t>
            </w:r>
            <w:proofErr w:type="spellStart"/>
            <w:r>
              <w:rPr>
                <w:rFonts w:ascii="Arial Narrow" w:hAnsi="Arial Narrow" w:cs="Arial"/>
                <w:color w:val="000000"/>
                <w:sz w:val="16"/>
                <w:szCs w:val="16"/>
              </w:rPr>
              <w:t>WISE-e</w:t>
            </w:r>
            <w:proofErr w:type="spellEnd"/>
            <w:r>
              <w:rPr>
                <w:rFonts w:ascii="Arial Narrow" w:hAnsi="Arial Narrow" w:cs="Arial"/>
                <w:color w:val="000000"/>
                <w:sz w:val="16"/>
                <w:szCs w:val="16"/>
              </w:rPr>
              <w:t xml:space="preserve"> v európskom priestore, financovanie, predpoklady etablovania, rozvoj iniciatív, predpoklady a limity sociálnej ekonomiky v SR/  budú obsahovou, vecnou súčasťou Stratégie i jej príloh.</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3. Zavedený je národný strategický politický rámec pre znižovanie chudoby, zameraný na aktívne začleňovanie, ktorý: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obsahuje opatrenia pre prechod od inštitucionálnej starostlivosti k starostlivosti na úrovni komunít v závislosti od zistených potrieb.</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4" w:history="1">
              <w:r>
                <w:rPr>
                  <w:rStyle w:val="Hypertextovprepojenie"/>
                  <w:rFonts w:ascii="Arial Narrow" w:hAnsi="Arial Narrow"/>
                  <w:sz w:val="16"/>
                  <w:szCs w:val="16"/>
                </w:rPr>
                <w:t>http://www.employment.gov.sk/files/legislativa/dokumenty-zoznamy-pod/strategia-deinstitucionalizacie-systemu-socialnych-sluzieb-nahradnej-starostlivosti-1.pdf</w:t>
              </w:r>
            </w:hyperlink>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5" w:history="1">
              <w:r>
                <w:rPr>
                  <w:rStyle w:val="Hypertextovprepojenie"/>
                  <w:rFonts w:ascii="Arial Narrow" w:hAnsi="Arial Narrow"/>
                  <w:sz w:val="16"/>
                  <w:szCs w:val="16"/>
                </w:rPr>
                <w:t>http://archive-sk.com/page/53579/2012-06-15/http://www.upsvar.sk/detske-domovy-a-ine-zariadenia/detske-domovy/dokumenty/koncepcia-zabezpecovania-vykonu-sudnych-rozhodnuti-v-detskych-domovoch-na-roky-2012-2015-s-vyhladom-do-roku-2020plan-transformacie-a-deinstitucionalizacie-nahradnej-starostlivosti.html?page_id=143966</w:t>
              </w:r>
            </w:hyperlink>
          </w:p>
        </w:tc>
        <w:tc>
          <w:tcPr>
            <w:tcW w:w="4678"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pripravovanej Národnej rámcovej stratégii budú navrhnuté aj tieto ukazovatele: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prijímateľov sociálnych služieb, ktorým sú poskytované sociálne služby v komunite a v prirodzenom domácom prostredí</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sociálnych služieb poskytovaných ambulantnou a terénnou formou na úrovni komunity</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-Znížiť percentuálny podiel sociálnych služieb poskytovaných pobytovou formou v zariadeniach sociálnych služieb s kapacitou vyššou ako 18 pobytových miest</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-Zvýšiť percentuálny podiel detí mimo vlastnej rodiny umiestnených v náhradnom prostredí na </w:t>
            </w:r>
            <w:proofErr w:type="spellStart"/>
            <w:r>
              <w:rPr>
                <w:rFonts w:ascii="Arial Narrow" w:hAnsi="Arial Narrow" w:cs="Arial"/>
                <w:color w:val="000000"/>
                <w:sz w:val="16"/>
                <w:szCs w:val="16"/>
              </w:rPr>
              <w:t>komunitnej</w:t>
            </w:r>
            <w:proofErr w:type="spellEnd"/>
            <w:r>
              <w:rPr>
                <w:rFonts w:ascii="Arial Narrow" w:hAnsi="Arial Narrow" w:cs="Arial"/>
                <w:color w:val="000000"/>
                <w:sz w:val="16"/>
                <w:szCs w:val="16"/>
              </w:rPr>
              <w:t xml:space="preserve"> úrovni k deťom umiestnených v skupinách zariadení</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detských domovov zriadených ako domovy detí k detským domovom zriadených ako centrá detí</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-Znížiť počet prípadov/klientov na jedného pracovníka oddelenia sociálnoprávnej ochrany detí a sociálnej kurately</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vMerge/>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4. Zavedený je národný strategický politický rámec pre znižovanie chudoby, zameraný na aktívne </w:t>
            </w:r>
            <w:r>
              <w:rPr>
                <w:rFonts w:ascii="Arial Narrow" w:hAnsi="Arial Narrow" w:cs="Arial"/>
                <w:color w:val="000000"/>
                <w:sz w:val="16"/>
                <w:szCs w:val="16"/>
              </w:rPr>
              <w:lastRenderedPageBreak/>
              <w:t xml:space="preserve">začleňovanie, ktorý: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zahŕňa príslušné strany zainteresované v oblasti boja proti chudobe.</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V zmysle uznesenia vlády SR č. 305/2012 z 27. júna 2012 k materiálu „Spôsob uplatnenia ex </w:t>
            </w:r>
            <w:proofErr w:type="spellStart"/>
            <w:r>
              <w:rPr>
                <w:rFonts w:ascii="Arial Narrow" w:hAnsi="Arial Narrow" w:cs="Arial"/>
                <w:color w:val="000000"/>
                <w:sz w:val="16"/>
                <w:szCs w:val="16"/>
              </w:rPr>
              <w:t>ante</w:t>
            </w:r>
            <w:proofErr w:type="spellEnd"/>
            <w:r>
              <w:rPr>
                <w:rFonts w:ascii="Arial Narrow" w:hAnsi="Arial Narrow" w:cs="Arial"/>
                <w:color w:val="000000"/>
                <w:sz w:val="16"/>
                <w:szCs w:val="16"/>
              </w:rPr>
              <w:t xml:space="preserve"> </w:t>
            </w:r>
            <w:proofErr w:type="spellStart"/>
            <w:r>
              <w:rPr>
                <w:rFonts w:ascii="Arial Narrow" w:hAnsi="Arial Narrow" w:cs="Arial"/>
                <w:color w:val="000000"/>
                <w:sz w:val="16"/>
                <w:szCs w:val="16"/>
              </w:rPr>
              <w:t>kondicionalít</w:t>
            </w:r>
            <w:proofErr w:type="spellEnd"/>
            <w:r>
              <w:rPr>
                <w:rFonts w:ascii="Arial Narrow" w:hAnsi="Arial Narrow" w:cs="Arial"/>
                <w:color w:val="000000"/>
                <w:sz w:val="16"/>
                <w:szCs w:val="16"/>
              </w:rPr>
              <w:t xml:space="preserve"> pri príprave implementačného mechanizmu politiky súdržnosti EÚ po roku 2013 v podmienkach Slovenskej </w:t>
            </w:r>
            <w:r>
              <w:rPr>
                <w:rFonts w:ascii="Arial Narrow" w:hAnsi="Arial Narrow" w:cs="Arial"/>
                <w:color w:val="000000"/>
                <w:sz w:val="16"/>
                <w:szCs w:val="16"/>
              </w:rPr>
              <w:lastRenderedPageBreak/>
              <w:t xml:space="preserve">republiky“ bola na Ministerstve práce, sociálnych vecí a rodiny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t>
            </w:r>
            <w:proofErr w:type="spellStart"/>
            <w:r>
              <w:rPr>
                <w:rFonts w:ascii="Arial Narrow" w:hAnsi="Arial Narrow" w:cs="Arial"/>
                <w:color w:val="000000"/>
                <w:sz w:val="16"/>
                <w:szCs w:val="16"/>
              </w:rPr>
              <w:t>workshopu</w:t>
            </w:r>
            <w:proofErr w:type="spellEnd"/>
            <w:r>
              <w:rPr>
                <w:rFonts w:ascii="Arial Narrow" w:hAnsi="Arial Narrow" w:cs="Arial"/>
                <w:color w:val="000000"/>
                <w:sz w:val="16"/>
                <w:szCs w:val="16"/>
              </w:rPr>
              <w:t xml:space="preserve"> a celoslovenskej konferencie</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V programovom období 2014 - 2020 sa vytvára priestor pre nové možnosti pomoci a podpory príslušným zainteresovaným stranám pri príprave, vykonávaní a riadení projektov.</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pre zdravie, ktorý zahŕňa:</w:t>
            </w: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koordinované opatrenia na zlepšenie prístupu k zdravotným službám,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p>
            <w:pPr>
              <w:pStyle w:val="Odsekzoznamu"/>
              <w:numPr>
                <w:ilvl w:val="0"/>
                <w:numId w:val="59"/>
              </w:numPr>
              <w:spacing w:after="0" w:line="240" w:lineRule="auto"/>
              <w:ind w:left="459"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cnfStyle w:val="000000100000" w:firstRow="0" w:lastRow="0" w:firstColumn="0" w:lastColumn="0" w:oddVBand="0" w:evenVBand="0" w:oddHBand="1" w:evenHBand="0" w:firstRowFirstColumn="0" w:firstRowLastColumn="0" w:lastRowFirstColumn="0" w:lastRowLastColumn="0"/>
            </w:pPr>
            <w:r>
              <w:rPr>
                <w:rFonts w:ascii="Arial Narrow" w:hAnsi="Arial Narrow"/>
                <w:i/>
                <w:iCs/>
                <w:sz w:val="16"/>
                <w:szCs w:val="16"/>
              </w:rPr>
              <w:t>Strategický rámec starostlivosti o zdravie pre roky 2013 – 2030</w:t>
            </w:r>
          </w:p>
          <w:p>
            <w:pPr>
              <w:cnfStyle w:val="000000100000" w:firstRow="0" w:lastRow="0" w:firstColumn="0" w:lastColumn="0" w:oddVBand="0" w:evenVBand="0" w:oddHBand="1" w:evenHBand="0" w:firstRowFirstColumn="0" w:firstRowLastColumn="0" w:lastRowFirstColumn="0" w:lastRowLastColumn="0"/>
            </w:pPr>
            <w:hyperlink r:id="rId26" w:history="1">
              <w:r>
                <w:rPr>
                  <w:rStyle w:val="Hypertextovprepojenie"/>
                  <w:rFonts w:ascii="Arial Narrow" w:hAnsi="Arial Narrow"/>
                  <w:sz w:val="16"/>
                  <w:szCs w:val="16"/>
                </w:rPr>
                <w:t>http://www.health.gov.sk/?strategia-v-zdravotnictve</w:t>
              </w:r>
            </w:hyperlink>
          </w:p>
          <w:p>
            <w:pPr>
              <w:cnfStyle w:val="000000100000" w:firstRow="0" w:lastRow="0" w:firstColumn="0" w:lastColumn="0" w:oddVBand="0" w:evenVBand="0" w:oddHBand="1" w:evenHBand="0" w:firstRowFirstColumn="0" w:firstRowLastColumn="0" w:lastRowFirstColumn="0" w:lastRowLastColumn="0"/>
            </w:pPr>
            <w:r>
              <w:rPr>
                <w:rFonts w:ascii="Arial Narrow" w:hAnsi="Arial Narrow"/>
                <w:sz w:val="16"/>
                <w:szCs w:val="16"/>
              </w:rPr>
              <w:t>Dokument uvádza základné priority a opatrenia SR pre zlepšenie prístupu ku kvalitným zdravotným službám  a zvýšenie efektivity zdravotníctva</w:t>
            </w:r>
          </w:p>
          <w:p>
            <w:pPr>
              <w:cnfStyle w:val="000000100000" w:firstRow="0" w:lastRow="0" w:firstColumn="0" w:lastColumn="0" w:oddVBand="0" w:evenVBand="0" w:oddHBand="1" w:evenHBand="0" w:firstRowFirstColumn="0" w:firstRowLastColumn="0" w:lastRowFirstColumn="0" w:lastRowLastColumn="0"/>
            </w:pPr>
            <w:r>
              <w:rPr>
                <w:rFonts w:ascii="Arial Narrow" w:hAnsi="Arial Narrow"/>
                <w:sz w:val="16"/>
                <w:szCs w:val="16"/>
              </w:rPr>
              <w:t>Naplnenie kľúčových oblastí bude dosiahnuté prostredníctvom čiastkových stratégií.</w:t>
            </w:r>
          </w:p>
          <w:p>
            <w:pPr>
              <w:cnfStyle w:val="000000100000" w:firstRow="0" w:lastRow="0" w:firstColumn="0" w:lastColumn="0" w:oddVBand="0" w:evenVBand="0" w:oddHBand="1" w:evenHBand="0" w:firstRowFirstColumn="0" w:firstRowLastColumn="0" w:lastRowFirstColumn="0" w:lastRowLastColumn="0"/>
            </w:pPr>
            <w:r>
              <w:rPr>
                <w:rFonts w:ascii="Arial Narrow" w:hAnsi="Arial Narrow"/>
                <w:sz w:val="16"/>
                <w:szCs w:val="16"/>
              </w:rPr>
              <w:t>Opatrenia najmä: nová infraštruktúra centier integrovanej ZS a nemocníc, platobný mechanizmus poisťovne DRG.</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Detailný rozpočet bude súčasťou čiastkových stratégií.</w:t>
            </w: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Dokument bol schválený vládou SR dňa 18.12.2013 a následne 20.12.2013 predložený na posúdenie EK. Identifikuje hlavné oblasti zdravotníctva, ktoré budú prioritami slovenského zdravotníctva do roku 2030.</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MZ SR vyhodnotilo kritériá ako splnené. Vzhľadom na to, že EK považuje jednotlivé kritériá za „čiastočne splnené“, ďalšie špecifické informácie v zmysle požiadaviek EK budú poskytnuté v pripravovaných čiastkových stratégiách. </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nadväznosti na stanovisko EK pripravilo MZ SR Akčný plán pre naplnenie EAK. </w:t>
            </w:r>
          </w:p>
          <w:p>
            <w:pPr>
              <w:pStyle w:val="Style30"/>
              <w:widowControl/>
              <w:tabs>
                <w:tab w:val="left" w:pos="1035"/>
              </w:tabs>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b/>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Odborné útvary MZ SR intenzívne pripravujú čiastkové stratégie, ktoré sú predmetom Akčného plánu pre naplnenie EAK.</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MZ SR sa obrátilo na relevantné útvary Komisie so žiadosťou o stanovisko k pripravovaným krokom na splnenie EAK.</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 xml:space="preserve">10.1 Predčasné ukončovanie školskej dochádzky: existencia </w:t>
            </w:r>
            <w:r>
              <w:rPr>
                <w:rFonts w:ascii="Arial Narrow" w:hAnsi="Arial Narrow" w:cs="Arial"/>
                <w:sz w:val="16"/>
                <w:szCs w:val="16"/>
              </w:rPr>
              <w:lastRenderedPageBreak/>
              <w:t>strategického politického rámca na zníženie miery predčasného ukončenia školskej dochádzky v medziach článku 165 ZFEÚ.</w:t>
            </w: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2</w:t>
            </w:r>
          </w:p>
        </w:tc>
        <w:tc>
          <w:tcPr>
            <w:tcW w:w="1406"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1.Zavedený je systém na zhromažďovanie a analýzu údajov a informácií o predčasnom ukončovaní školskej dochádzky na príslušných úrovniach, ktorý poskytuje dostatok </w:t>
            </w:r>
            <w:r>
              <w:rPr>
                <w:rFonts w:ascii="Arial Narrow" w:hAnsi="Arial Narrow" w:cs="Arial"/>
                <w:color w:val="000000"/>
                <w:sz w:val="16"/>
                <w:szCs w:val="16"/>
              </w:rPr>
              <w:lastRenderedPageBreak/>
              <w:t>dôkazov, na základe ktorých sa dajú stanoviť cielené politiky, a sleduje vývoj.</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 xml:space="preserve">Čiastočne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cs="Arial"/>
                <w:color w:val="000000"/>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druhého  kvartálu roku 2014.</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2. Zavedený je strategický politický rámec týkajúci sa predčasného ukončovania školskej dochádzky, ktorý</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je založený na dôkazoch.</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7" w:history="1">
              <w:r>
                <w:rPr>
                  <w:rStyle w:val="Hypertextovprepojenie"/>
                  <w:rFonts w:ascii="Arial Narrow" w:hAnsi="Arial Narrow"/>
                  <w:sz w:val="16"/>
                  <w:szCs w:val="16"/>
                </w:rPr>
                <w:t>http://www.minedu.sk/zakon-o-odbornom-vzdelavani-a-priprave/</w:t>
              </w:r>
            </w:hyperlink>
          </w:p>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Pr>
                  <w:rStyle w:val="Hypertextovprepojenie"/>
                  <w:rFonts w:ascii="Arial Narrow" w:hAnsi="Arial Narrow"/>
                  <w:sz w:val="16"/>
                  <w:szCs w:val="16"/>
                </w:rPr>
                <w:t>http://www.ksuza.sk/doc/metodika/bozp/20012012.pdf</w:t>
              </w:r>
            </w:hyperlink>
          </w:p>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Pr>
                  <w:rStyle w:val="Hypertextovprepojenie"/>
                  <w:rFonts w:ascii="Arial Narrow" w:hAnsi="Arial Narrow"/>
                  <w:sz w:val="16"/>
                  <w:szCs w:val="16"/>
                </w:rPr>
                <w:t>http://www.rokovania.sk/Rokovanie.aspx/BodRokovaniaDetail?idMaterial=19992</w:t>
              </w:r>
            </w:hyperlink>
          </w:p>
          <w:p>
            <w:pPr>
              <w:pStyle w:val="Style25"/>
              <w:widowControl/>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Pr>
                  <w:rStyle w:val="Hypertextovprepojenie"/>
                  <w:rFonts w:ascii="Arial Narrow" w:hAnsi="Arial Narrow"/>
                  <w:sz w:val="16"/>
                  <w:szCs w:val="16"/>
                </w:rPr>
                <w:t>http://www.npmrk2.sk/</w:t>
              </w:r>
            </w:hyperlink>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(stránka NP)</w:t>
            </w:r>
          </w:p>
        </w:tc>
        <w:tc>
          <w:tcPr>
            <w:tcW w:w="4678"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Revidovaný národný akčný plán Dekády začleňovania rómskej populácie 2005 - 2015 na roky 2011 – 2015</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Stratégia SR pre integráciu Rómov do roku 2020</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zákon č. 324/2012, ktorým sa mení a dopĺňa zákon č. 184/2009 Z. z. o odbornom vzdelávaní a príprave</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národný projekt MPC „</w:t>
            </w:r>
            <w:proofErr w:type="spellStart"/>
            <w:r>
              <w:rPr>
                <w:rFonts w:ascii="Arial Narrow" w:hAnsi="Arial Narrow"/>
                <w:sz w:val="16"/>
                <w:szCs w:val="16"/>
              </w:rPr>
              <w:t>Inkluzívny</w:t>
            </w:r>
            <w:proofErr w:type="spellEnd"/>
            <w:r>
              <w:rPr>
                <w:rFonts w:ascii="Arial Narrow" w:hAnsi="Arial Narrow"/>
                <w:sz w:val="16"/>
                <w:szCs w:val="16"/>
              </w:rPr>
              <w:t xml:space="preserve"> model vzdelávania na </w:t>
            </w:r>
            <w:proofErr w:type="spellStart"/>
            <w:r>
              <w:rPr>
                <w:rFonts w:ascii="Arial Narrow" w:hAnsi="Arial Narrow"/>
                <w:sz w:val="16"/>
                <w:szCs w:val="16"/>
              </w:rPr>
              <w:t>predprimárnom</w:t>
            </w:r>
            <w:proofErr w:type="spellEnd"/>
            <w:r>
              <w:rPr>
                <w:rFonts w:ascii="Arial Narrow" w:hAnsi="Arial Narrow"/>
                <w:sz w:val="16"/>
                <w:szCs w:val="16"/>
              </w:rPr>
              <w:t xml:space="preserve"> stupni školskej sústavy“</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3. 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w:t>
            </w:r>
            <w:proofErr w:type="spellStart"/>
            <w:r>
              <w:rPr>
                <w:rFonts w:ascii="Arial Narrow" w:hAnsi="Arial Narrow" w:cs="Arial"/>
                <w:sz w:val="16"/>
                <w:szCs w:val="16"/>
              </w:rPr>
              <w:t>marginalizovaných</w:t>
            </w:r>
            <w:proofErr w:type="spellEnd"/>
            <w:r>
              <w:rPr>
                <w:rFonts w:ascii="Arial Narrow" w:hAnsi="Arial Narrow" w:cs="Arial"/>
                <w:sz w:val="16"/>
                <w:szCs w:val="16"/>
              </w:rPr>
              <w:t xml:space="preserve"> komunít a zaoberá sa preventívnymi, intervenčnými a kompenzačnými opatreniami.</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 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31" w:history="1">
              <w:r>
                <w:rPr>
                  <w:rStyle w:val="Hypertextovprepojenie"/>
                  <w:rFonts w:ascii="Arial Narrow" w:hAnsi="Arial Narrow"/>
                  <w:sz w:val="16"/>
                  <w:szCs w:val="16"/>
                </w:rPr>
                <w:t>http://www.rokovania.sk/Rokovanie.aspx/BodRokovaniaDetail?idMaterial=11421</w:t>
              </w:r>
            </w:hyperlink>
          </w:p>
          <w:p>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32" w:history="1">
              <w:r>
                <w:rPr>
                  <w:rStyle w:val="Hypertextovprepojenie"/>
                  <w:rFonts w:ascii="Arial Narrow" w:hAnsi="Arial Narrow"/>
                  <w:sz w:val="16"/>
                  <w:szCs w:val="16"/>
                </w:rPr>
                <w:t>http://www.minedu.sk/9772-sk/dokumenty-a-predpisy/</w:t>
              </w:r>
            </w:hyperlink>
          </w:p>
          <w:p>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33" w:history="1">
              <w:r>
                <w:rPr>
                  <w:rStyle w:val="Hypertextovprepojenie"/>
                  <w:rFonts w:ascii="Arial Narrow" w:hAnsi="Arial Narrow"/>
                  <w:sz w:val="16"/>
                  <w:szCs w:val="16"/>
                </w:rPr>
                <w:t>http://old.minedu.sk/data/USERDATA/DalsieVzdel/VDOC/Akcny%20plan%20Strategie%20CZV%202011_final.pdf</w:t>
              </w:r>
            </w:hyperlink>
          </w:p>
        </w:tc>
        <w:tc>
          <w:tcPr>
            <w:tcW w:w="4678" w:type="dxa"/>
            <w:shd w:val="clear" w:color="auto" w:fill="auto"/>
          </w:tcPr>
          <w:p>
            <w:pPr>
              <w:pStyle w:val="Style30"/>
              <w:widowControl/>
              <w:numPr>
                <w:ilvl w:val="0"/>
                <w:numId w:val="83"/>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Stratégia celoživotného vzdelávania a celoživotného poradenstva </w:t>
            </w:r>
          </w:p>
          <w:p>
            <w:pPr>
              <w:pStyle w:val="Style30"/>
              <w:widowControl/>
              <w:numPr>
                <w:ilvl w:val="0"/>
                <w:numId w:val="83"/>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Stratégia celoživotného vzdelávania 2011</w:t>
            </w:r>
          </w:p>
          <w:p>
            <w:pPr>
              <w:pStyle w:val="Style30"/>
              <w:widowControl/>
              <w:numPr>
                <w:ilvl w:val="0"/>
                <w:numId w:val="83"/>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Akčný plán plnenia Stratégie celoživotného vzdelávania 2012</w:t>
            </w:r>
          </w:p>
          <w:p>
            <w:pPr>
              <w:pStyle w:val="Odsekzoznamu"/>
              <w:numPr>
                <w:ilvl w:val="0"/>
                <w:numId w:val="8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sz w:val="16"/>
                <w:szCs w:val="16"/>
              </w:rPr>
              <w:t>Celoživotné vzdelávanie zdravotníckych pracovníkov (ďalšie vzdelávanie zdravotníckych pracovníkov) je riadené a regulované zákonom č. 578/2004 Z. z. o poskytovateľoch zdravotnej starostlivosti, zdravotníckych pracovníkoch, stavovských organizáciách v zdravotníctve a o zmene a doplnení niektorých zákonov. Kritériá EAK sú v podmienkach ďalšieho vzdelávania zdravotníckych pracovníkov splnené.</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2. Je zavedený národný alebo regionálny strategický politický rámec pre celoživotné vzdelávanie, ktorý zahŕňa opatrenia:</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 - na zabezpečovanie rozvoja zručností rôznych cieľových skupín, keď sú tieto </w:t>
            </w:r>
            <w:r>
              <w:rPr>
                <w:rFonts w:ascii="Arial Narrow" w:hAnsi="Arial Narrow"/>
                <w:sz w:val="16"/>
                <w:szCs w:val="16"/>
              </w:rPr>
              <w:lastRenderedPageBreak/>
              <w:t xml:space="preserve">skupiny určené ako priority v národnom alebo regionálnom strategickom politickom rámci (napríklad mladí ľudia zapojení do odbornej prípravy, dospelí, rodičia vracajúci sa na trh práce, </w:t>
            </w:r>
            <w:proofErr w:type="spellStart"/>
            <w:r>
              <w:rPr>
                <w:rFonts w:ascii="Arial Narrow" w:hAnsi="Arial Narrow"/>
                <w:sz w:val="16"/>
                <w:szCs w:val="16"/>
              </w:rPr>
              <w:t>nízkokvalifikovaní</w:t>
            </w:r>
            <w:proofErr w:type="spellEnd"/>
            <w:r>
              <w:rPr>
                <w:rFonts w:ascii="Arial Narrow" w:hAnsi="Arial Narrow"/>
                <w:sz w:val="16"/>
                <w:szCs w:val="16"/>
              </w:rPr>
              <w:t xml:space="preserve"> a starší pracovníci, migranti a ostatné znevýhodnené skupiny, najmä ľudia so zdravotným postihnutím).</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Čiastočne</w:t>
            </w:r>
          </w:p>
        </w:tc>
        <w:tc>
          <w:tcPr>
            <w:tcW w:w="2150"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plánované prijatie zákona o uznávaní výsledkov neformálneho vzdelávania a </w:t>
            </w:r>
            <w:proofErr w:type="spellStart"/>
            <w:r>
              <w:rPr>
                <w:rFonts w:ascii="Arial Narrow" w:hAnsi="Arial Narrow"/>
                <w:sz w:val="16"/>
                <w:szCs w:val="16"/>
              </w:rPr>
              <w:t>informálneho</w:t>
            </w:r>
            <w:proofErr w:type="spellEnd"/>
            <w:r>
              <w:rPr>
                <w:rFonts w:ascii="Arial Narrow" w:hAnsi="Arial Narrow"/>
                <w:sz w:val="16"/>
                <w:szCs w:val="16"/>
              </w:rPr>
              <w:t xml:space="preserve"> učenia sa (do parlamentu by mal byť predložený v druhom polroku 2015). Prostredníctvom tohto zákona by mali absolventi zo školského systému vzdelávania, ako aj neformálneho systému vzdelávania získať rovnakú pozíciu na trhu práce.</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 Je zavedený národný alebo regionálny strategický politický rámec pre celoživotné vzdelávanie, ktorý zahŕňa opatrenia:</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 -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150" w:type="dxa"/>
            <w:shd w:val="clear" w:color="auto" w:fill="auto"/>
          </w:tcPr>
          <w:p>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 roku 2013 do 2015 prebieha implementácia 2 kľúčových národných projektov venovaných oblasti rozvoja vzdelávania dospelých v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4. Je zavedený národný alebo regionálny strategický politický rámec pre celoživotné vzdelávanie, ktorý zahŕňa opatrenia:</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 na zlepšenie relevantnosti vzdelania a odbornej prípravy z hľadiska pracovného trhu a ich prispôsobenie potrebám identifikovaných cieľových skupín (napríklad mladí ľudia zapojení do odborného vzdelávania, dospelí, rodičia vracajúci sa na trh práce, </w:t>
            </w:r>
            <w:proofErr w:type="spellStart"/>
            <w:r>
              <w:rPr>
                <w:rFonts w:ascii="Arial Narrow" w:hAnsi="Arial Narrow"/>
                <w:sz w:val="16"/>
                <w:szCs w:val="16"/>
              </w:rPr>
              <w:t>nízkokvalifikovaní</w:t>
            </w:r>
            <w:proofErr w:type="spellEnd"/>
            <w:r>
              <w:rPr>
                <w:rFonts w:ascii="Arial Narrow" w:hAnsi="Arial Narrow"/>
                <w:sz w:val="16"/>
                <w:szCs w:val="16"/>
              </w:rPr>
              <w:t xml:space="preserve"> a starší pracovníci, migranti a ostatné znevýhodnené skupiny, najmä ľudia so zdravotným postihnutím).</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34" w:history="1">
              <w:r>
                <w:rPr>
                  <w:rStyle w:val="Hypertextovprepojenie"/>
                  <w:rFonts w:ascii="Arial Narrow" w:hAnsi="Arial Narrow"/>
                  <w:sz w:val="16"/>
                  <w:szCs w:val="16"/>
                </w:rPr>
                <w:t>http://www.minedu.sk/9772-sk/dokumenty-a-predpisy/</w:t>
              </w:r>
            </w:hyperlink>
          </w:p>
        </w:tc>
        <w:tc>
          <w:tcPr>
            <w:tcW w:w="4678"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Stratégia celoživotného vzdelávania 2011</w:t>
            </w:r>
          </w:p>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Akčný plán plnenia Stratégie celoživotného vzdelávania 2011</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pPr>
              <w:spacing w:after="0" w:line="240" w:lineRule="auto"/>
              <w:jc w:val="both"/>
              <w:rPr>
                <w:rFonts w:ascii="Arial Narrow" w:eastAsia="Trebuchet MS" w:hAnsi="Arial Narrow" w:cs="Arial"/>
                <w:b w:val="0"/>
                <w:bCs w:val="0"/>
                <w:sz w:val="16"/>
                <w:szCs w:val="16"/>
              </w:rPr>
            </w:pPr>
            <w:r>
              <w:rPr>
                <w:rFonts w:ascii="Arial Narrow" w:hAnsi="Arial Narrow" w:cs="Arial"/>
                <w:color w:val="000000"/>
                <w:sz w:val="16"/>
                <w:szCs w:val="16"/>
              </w:rPr>
              <w:t xml:space="preserve">10.4. Existencia národného alebo regionálneho strategického politického rámca na zvýšenie kvality a účinnosti odborného </w:t>
            </w:r>
            <w:r>
              <w:rPr>
                <w:rFonts w:ascii="Arial Narrow" w:hAnsi="Arial Narrow" w:cs="Arial"/>
                <w:color w:val="000000"/>
                <w:sz w:val="16"/>
                <w:szCs w:val="16"/>
              </w:rPr>
              <w:lastRenderedPageBreak/>
              <w:t>vzdelávania a prípravy v medziach článku 165 ZFEÚ.</w:t>
            </w:r>
          </w:p>
        </w:tc>
        <w:tc>
          <w:tcPr>
            <w:tcW w:w="77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2</w:t>
            </w:r>
          </w:p>
        </w:tc>
        <w:tc>
          <w:tcPr>
            <w:tcW w:w="1406"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w:t>
            </w:r>
            <w:r>
              <w:rPr>
                <w:rFonts w:ascii="Arial Narrow" w:hAnsi="Arial Narrow" w:cs="Arial"/>
                <w:color w:val="000000"/>
                <w:sz w:val="16"/>
                <w:szCs w:val="16"/>
              </w:rPr>
              <w:lastRenderedPageBreak/>
              <w:t xml:space="preserve">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5" w:history="1">
              <w:r>
                <w:rPr>
                  <w:rStyle w:val="Hypertextovprepojenie"/>
                  <w:rFonts w:ascii="Arial Narrow" w:hAnsi="Arial Narrow"/>
                  <w:sz w:val="16"/>
                  <w:szCs w:val="16"/>
                </w:rPr>
                <w:t>http://www.minedu.sk/zakon-o-odbornom-vzdelavani-a-priprave/</w:t>
              </w:r>
            </w:hyperlink>
          </w:p>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6" w:history="1">
              <w:r>
                <w:rPr>
                  <w:rStyle w:val="Hypertextovprepojenie"/>
                  <w:rFonts w:ascii="Arial Narrow" w:hAnsi="Arial Narrow"/>
                  <w:sz w:val="16"/>
                  <w:szCs w:val="16"/>
                </w:rPr>
                <w:t>http://www.radavladyovp.sk/</w:t>
              </w:r>
            </w:hyperlink>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 xml:space="preserve">Zákon č. 184/2009 Z. z. o odbornom vzdelávaní a príprave rieši postavenie a úlohy subjektov štvorstrannej spolupráce v oblasti odborného vzdelávania a prípravy,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SOŠ, podporiť štúdium v odboroch vzdelávania, ktoré sú požadované </w:t>
            </w:r>
            <w:r>
              <w:rPr>
                <w:rFonts w:ascii="Arial Narrow" w:eastAsia="Trebuchet MS" w:hAnsi="Arial Narrow" w:cs="Arial"/>
                <w:color w:val="000000"/>
                <w:sz w:val="16"/>
                <w:szCs w:val="16"/>
              </w:rPr>
              <w:lastRenderedPageBreak/>
              <w:t>zamestnávateľmi a vytvoriť mechanizmus na zníženie počtu absolventov odborov vzdelávania o ktorých zamestnávatelia nemajú záujem.</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Rada vlády SR, krajské a sektorové rady pre odborné vzdelávanie a prípravu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cs="Arial"/>
                <w:b w:val="0"/>
                <w:bCs w:val="0"/>
                <w:color w:val="00000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2. Zavedený je národný alebo regionálny strategický politický rámec na zvýšenie kvality a účinnosti odborného vzdelávania a prípravy v medziach článku 165 ZFEÚ, ktorý obsahuje opatrenia:</w:t>
            </w:r>
          </w:p>
          <w:p>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150"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Zvyšovanie atraktívnosti a kvality odborného vzdelávania a prípravy bude zabezpečené novým zákonom o odbornom vzdelávaní a príprave kde budú predstavené prvky duálneho vzdelávania (plánovaná účinnosť zákona od 01.09.2015).</w:t>
            </w:r>
          </w:p>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 xml:space="preserve">Od roku 2013 do 2015 prebieha implementácia 3 národných projektov: </w:t>
            </w:r>
          </w:p>
          <w:p>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cs="Arial"/>
                <w:color w:val="000000"/>
                <w:sz w:val="16"/>
                <w:szCs w:val="16"/>
              </w:rPr>
            </w:pPr>
            <w:r>
              <w:rPr>
                <w:rFonts w:ascii="Arial Narrow" w:eastAsia="Trebuchet MS" w:hAnsi="Arial Narrow" w:cs="Arial"/>
                <w:color w:val="000000"/>
                <w:sz w:val="16"/>
                <w:szCs w:val="16"/>
              </w:rPr>
              <w:t xml:space="preserve">V rámci týchto projektov budú realizované opatrenia - identifikácia vzdelávacích výstupov, popis v rámci kvalifikačných štandardov, vytvorenie mechanizmov uznávania kvalifikácií nadobudnutých mimo formálneho vzdelávania, vytvorenie legislatívnych a inštitucionálnych podmienok, systému zabezpečenia kvality hodnotenia, validácie a uznania všetkých typov kvalifikácií, začlenenie sociálnych partnerov a </w:t>
            </w:r>
            <w:proofErr w:type="spellStart"/>
            <w:r>
              <w:rPr>
                <w:rFonts w:ascii="Arial Narrow" w:eastAsia="Trebuchet MS" w:hAnsi="Arial Narrow" w:cs="Arial"/>
                <w:color w:val="000000"/>
                <w:sz w:val="16"/>
                <w:szCs w:val="16"/>
              </w:rPr>
              <w:t>stakeholderov</w:t>
            </w:r>
            <w:proofErr w:type="spellEnd"/>
            <w:r>
              <w:rPr>
                <w:rFonts w:ascii="Arial Narrow" w:eastAsia="Trebuchet MS" w:hAnsi="Arial Narrow" w:cs="Arial"/>
                <w:color w:val="000000"/>
                <w:sz w:val="16"/>
                <w:szCs w:val="16"/>
              </w:rPr>
              <w:t xml:space="preserve"> do procesov vytvárania hodnotiacich štandardov, uznávania a prideľovania kvalifikácií; monitorovania potrieb trhu práce pri identifikácií štandardov povolaní, vytvorenia mechanizmov a metodológií identifikácie </w:t>
            </w:r>
            <w:proofErr w:type="spellStart"/>
            <w:r>
              <w:rPr>
                <w:rFonts w:ascii="Arial Narrow" w:eastAsia="Trebuchet MS" w:hAnsi="Arial Narrow" w:cs="Arial"/>
                <w:color w:val="000000"/>
                <w:sz w:val="16"/>
                <w:szCs w:val="16"/>
              </w:rPr>
              <w:t>zamestnateľnosti</w:t>
            </w:r>
            <w:proofErr w:type="spellEnd"/>
            <w:r>
              <w:rPr>
                <w:rFonts w:ascii="Arial Narrow" w:eastAsia="Trebuchet MS" w:hAnsi="Arial Narrow" w:cs="Arial"/>
                <w:color w:val="000000"/>
                <w:sz w:val="16"/>
                <w:szCs w:val="16"/>
              </w:rPr>
              <w:t xml:space="preserve"> absolventov.</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w:t>
            </w:r>
            <w:proofErr w:type="spellStart"/>
            <w:r>
              <w:rPr>
                <w:rFonts w:ascii="Arial Narrow" w:hAnsi="Arial Narrow"/>
                <w:sz w:val="16"/>
                <w:szCs w:val="16"/>
              </w:rPr>
              <w:t>administratívnej</w:t>
            </w:r>
            <w:proofErr w:type="spellEnd"/>
            <w:r>
              <w:rPr>
                <w:rFonts w:ascii="Arial Narrow" w:hAnsi="Arial Narrow"/>
                <w:sz w:val="16"/>
                <w:szCs w:val="16"/>
              </w:rPr>
              <w:t xml:space="preserve"> kapacity na </w:t>
            </w:r>
            <w:proofErr w:type="spellStart"/>
            <w:r>
              <w:rPr>
                <w:rFonts w:ascii="Arial Narrow" w:hAnsi="Arial Narrow"/>
                <w:sz w:val="16"/>
                <w:szCs w:val="16"/>
              </w:rPr>
              <w:t>vykonávanie</w:t>
            </w:r>
            <w:proofErr w:type="spellEnd"/>
            <w:r>
              <w:rPr>
                <w:rFonts w:ascii="Arial Narrow" w:hAnsi="Arial Narrow"/>
                <w:sz w:val="16"/>
                <w:szCs w:val="16"/>
              </w:rPr>
              <w:t xml:space="preserve"> a </w:t>
            </w:r>
            <w:proofErr w:type="spellStart"/>
            <w:r>
              <w:rPr>
                <w:rFonts w:ascii="Arial Narrow" w:hAnsi="Arial Narrow"/>
                <w:sz w:val="16"/>
                <w:szCs w:val="16"/>
              </w:rPr>
              <w:t>uplatn</w:t>
            </w:r>
            <w:r>
              <w:rPr>
                <w:rFonts w:ascii="Cambria Math" w:hAnsi="Cambria Math" w:cs="Cambria Math"/>
                <w:sz w:val="16"/>
                <w:szCs w:val="16"/>
              </w:rPr>
              <w:t>̌</w:t>
            </w:r>
            <w:r>
              <w:rPr>
                <w:rFonts w:ascii="Arial Narrow" w:hAnsi="Arial Narrow"/>
                <w:sz w:val="16"/>
                <w:szCs w:val="16"/>
              </w:rPr>
              <w:t>ovanie</w:t>
            </w:r>
            <w:proofErr w:type="spellEnd"/>
            <w:r>
              <w:rPr>
                <w:rFonts w:ascii="Arial Narrow" w:hAnsi="Arial Narrow"/>
                <w:sz w:val="16"/>
                <w:szCs w:val="16"/>
              </w:rPr>
              <w:t xml:space="preserve"> </w:t>
            </w:r>
            <w:proofErr w:type="spellStart"/>
            <w:r>
              <w:rPr>
                <w:rFonts w:ascii="Arial Narrow" w:hAnsi="Arial Narrow"/>
                <w:sz w:val="16"/>
                <w:szCs w:val="16"/>
              </w:rPr>
              <w:t>práva</w:t>
            </w:r>
            <w:proofErr w:type="spellEnd"/>
            <w:r>
              <w:rPr>
                <w:rFonts w:ascii="Arial Narrow" w:hAnsi="Arial Narrow"/>
                <w:sz w:val="16"/>
                <w:szCs w:val="16"/>
              </w:rPr>
              <w:t xml:space="preserve"> </w:t>
            </w:r>
            <w:proofErr w:type="spellStart"/>
            <w:r>
              <w:rPr>
                <w:rFonts w:ascii="Arial Narrow" w:hAnsi="Arial Narrow"/>
                <w:sz w:val="16"/>
                <w:szCs w:val="16"/>
              </w:rPr>
              <w:t>Únie</w:t>
            </w:r>
            <w:proofErr w:type="spellEnd"/>
            <w:r>
              <w:rPr>
                <w:rFonts w:ascii="Arial Narrow" w:hAnsi="Arial Narrow"/>
                <w:sz w:val="16"/>
                <w:szCs w:val="16"/>
              </w:rPr>
              <w:t xml:space="preserve"> v oblasti </w:t>
            </w:r>
            <w:proofErr w:type="spellStart"/>
            <w:r>
              <w:rPr>
                <w:rFonts w:ascii="Arial Narrow" w:hAnsi="Arial Narrow"/>
                <w:sz w:val="16"/>
                <w:szCs w:val="16"/>
              </w:rPr>
              <w:t>nediskriminácie</w:t>
            </w:r>
            <w:proofErr w:type="spellEnd"/>
            <w:r>
              <w:rPr>
                <w:rFonts w:ascii="Arial Narrow" w:hAnsi="Arial Narrow"/>
                <w:sz w:val="16"/>
                <w:szCs w:val="16"/>
              </w:rPr>
              <w:t xml:space="preserv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37" w:history="1">
              <w:r>
                <w:rPr>
                  <w:rStyle w:val="Hypertextovprepojenie"/>
                  <w:rFonts w:ascii="Arial Narrow" w:hAnsi="Arial Narrow"/>
                  <w:spacing w:val="-3"/>
                  <w:sz w:val="16"/>
                  <w:szCs w:val="16"/>
                </w:rPr>
                <w:t>Zákon, ktorým sa mení a dopĺňa zákon č. 575/2001 Z. z. o organizácii činnosti vlády a organizácii ústrednej štátnej správy v znení neskorších predpisov</w:t>
              </w:r>
            </w:hyperlink>
            <w:r>
              <w:rPr>
                <w:rFonts w:ascii="Arial Narrow" w:hAnsi="Arial Narrow"/>
                <w:sz w:val="16"/>
                <w:szCs w:val="16"/>
              </w:rPr>
              <w:t xml:space="preserve"> </w:t>
            </w:r>
          </w:p>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pacing w:val="-3"/>
                <w:sz w:val="16"/>
                <w:szCs w:val="16"/>
              </w:rPr>
            </w:pPr>
            <w:hyperlink r:id="rId38" w:history="1">
              <w:r>
                <w:rPr>
                  <w:rStyle w:val="Hypertextovprepojenie"/>
                  <w:rFonts w:ascii="Arial Narrow" w:hAnsi="Arial Narrow"/>
                  <w:spacing w:val="-3"/>
                  <w:sz w:val="16"/>
                  <w:szCs w:val="16"/>
                </w:rPr>
                <w:t xml:space="preserve">Antidiskriminačný zákon </w:t>
              </w:r>
            </w:hyperlink>
            <w:r>
              <w:rPr>
                <w:rStyle w:val="Hypertextovprepojenie"/>
                <w:rFonts w:ascii="Arial Narrow" w:hAnsi="Arial Narrow"/>
                <w:spacing w:val="-3"/>
                <w:sz w:val="16"/>
                <w:szCs w:val="16"/>
              </w:rPr>
              <w:t xml:space="preserve"> </w:t>
            </w:r>
          </w:p>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úplne znenie na: </w:t>
            </w:r>
            <w:hyperlink r:id="rId39" w:history="1">
              <w:r>
                <w:rPr>
                  <w:rStyle w:val="Hypertextovprepojenie"/>
                  <w:rFonts w:ascii="Arial Narrow" w:hAnsi="Arial Narrow"/>
                  <w:spacing w:val="-3"/>
                  <w:sz w:val="16"/>
                  <w:szCs w:val="16"/>
                </w:rPr>
                <w:t>http://www.gender.gov.sk/?page_id=72</w:t>
              </w:r>
            </w:hyperlink>
          </w:p>
        </w:tc>
        <w:tc>
          <w:tcPr>
            <w:tcW w:w="4678"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bCs/>
                <w:color w:val="000000" w:themeColor="text1"/>
                <w:spacing w:val="-3"/>
                <w:sz w:val="16"/>
                <w:szCs w:val="16"/>
                <w:lang w:eastAsia="fr-FR"/>
              </w:rPr>
              <w:t xml:space="preserve">MPSVR SR, Odbor rodovej rovnosti a rovnosti príležitostí je výkonným orgán pre implementáciu programov, poskytovanie poradenstva zabezpečuje Národné stredisko pre ľudské práva, ktoré komplexne pôsobí v oblasti ľudských práv a základných slobôd.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Pr>
                <w:rFonts w:ascii="Arial Narrow" w:hAnsi="Arial Narrow"/>
                <w:bCs/>
                <w:color w:val="000000" w:themeColor="text1"/>
                <w:spacing w:val="-3"/>
                <w:sz w:val="16"/>
                <w:szCs w:val="16"/>
                <w:lang w:eastAsia="fr-FR"/>
              </w:rPr>
              <w:t xml:space="preserve">Usmernenie CKO na prípravu operačných programov/programov SR, v časti 2.1 </w:t>
            </w:r>
            <w:r>
              <w:rPr>
                <w:rFonts w:ascii="Arial Narrow" w:hAnsi="Arial Narrow"/>
                <w:bCs/>
                <w:i/>
                <w:color w:val="000000" w:themeColor="text1"/>
                <w:spacing w:val="-3"/>
                <w:sz w:val="16"/>
                <w:szCs w:val="16"/>
                <w:lang w:eastAsia="fr-FR"/>
              </w:rPr>
              <w:t xml:space="preserve">Zriadenie pracovnej skupiny na prípravu OP a princíp partnerstva </w:t>
            </w:r>
            <w:r>
              <w:rPr>
                <w:rFonts w:ascii="Arial Narrow" w:hAnsi="Arial Narrow"/>
                <w:bCs/>
                <w:color w:val="000000" w:themeColor="text1"/>
                <w:spacing w:val="-3"/>
                <w:sz w:val="16"/>
                <w:szCs w:val="16"/>
                <w:lang w:eastAsia="fr-FR"/>
              </w:rPr>
              <w:t>hovorí o povinnej účasti zástupcov MPSVR SR ako koordinátorov horizontálnych princípov rovnosť príležitostí a rodová rovnosť v pracovnej skupine každého operačného programu.</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b/>
                <w:color w:val="000000" w:themeColor="text1"/>
                <w:sz w:val="16"/>
                <w:szCs w:val="16"/>
              </w:rPr>
              <w:t>Výbor pre rodovú rovnosť</w:t>
            </w:r>
            <w:r>
              <w:rPr>
                <w:rFonts w:ascii="Arial Narrow" w:hAnsi="Arial Narrow"/>
                <w:color w:val="000000" w:themeColor="text1"/>
                <w:sz w:val="16"/>
                <w:szCs w:val="16"/>
              </w:rPr>
              <w:t xml:space="preserve">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Európskej únie v tejto oblasti. </w:t>
            </w:r>
          </w:p>
        </w:tc>
      </w:tr>
      <w:tr>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r>
              <w:rPr>
                <w:rFonts w:ascii="Arial Narrow" w:hAnsi="Arial Narrow"/>
                <w:bCs/>
                <w:color w:val="000000" w:themeColor="text1"/>
                <w:spacing w:val="-3"/>
                <w:sz w:val="16"/>
                <w:szCs w:val="16"/>
                <w:lang w:val="sk-SK" w:eastAsia="fr-FR"/>
              </w:rPr>
              <w:t xml:space="preserve">Vypracovanie stratégie školenia a informovania zamestnancov zapojených do využívania fondov a následné podanie projektu z OPTP na finančné zabezpečenie školení; V súčasnosti Koordinátor disponuje s minimálnymi finančnými prostriedkami na štartovacie aktivity pre začiatočné obdobie PO 2014-2020. Školiace a vzdelávacie aktivity, konferencie, publikácie a propagačné tlačoviny/, zverejňovanie správ v národných a   masmédiách a iné bude vykonávať garant za HP pre nasledovné cieľové skupiny: Osoby na RO zodpovedné za prípravu nového PO, kontaktné osoby pre HP RP zodpovedné </w:t>
            </w:r>
            <w:r>
              <w:rPr>
                <w:rFonts w:ascii="Arial Narrow" w:hAnsi="Arial Narrow"/>
                <w:bCs/>
                <w:color w:val="000000" w:themeColor="text1"/>
                <w:spacing w:val="-3"/>
                <w:sz w:val="16"/>
                <w:szCs w:val="16"/>
                <w:lang w:val="sk-SK" w:eastAsia="fr-FR"/>
              </w:rPr>
              <w:lastRenderedPageBreak/>
              <w:t>za koordináciu HP RP na úrovni jednotlivých OP, členovia pracovnej skupiny HP RP, manažéri monitorovania a hodnotenia, vyšší riadiaci pracovníci, hodnotitelia projektov a taktiež personál orgánov zahrnutých v manažmente a kontrole EŠI fondov v oblastiach zákonov a politiky EÚ o nediskriminácii, o rodovej rovnosti rovnako ako aj o </w:t>
            </w:r>
            <w:proofErr w:type="spellStart"/>
            <w:r>
              <w:rPr>
                <w:rFonts w:ascii="Arial Narrow" w:hAnsi="Arial Narrow"/>
                <w:bCs/>
                <w:color w:val="000000" w:themeColor="text1"/>
                <w:spacing w:val="-3"/>
                <w:sz w:val="16"/>
                <w:szCs w:val="16"/>
                <w:lang w:val="sk-SK" w:eastAsia="fr-FR"/>
              </w:rPr>
              <w:t>gender</w:t>
            </w:r>
            <w:proofErr w:type="spellEnd"/>
            <w:r>
              <w:rPr>
                <w:rFonts w:ascii="Arial Narrow" w:hAnsi="Arial Narrow"/>
                <w:bCs/>
                <w:color w:val="000000" w:themeColor="text1"/>
                <w:spacing w:val="-3"/>
                <w:sz w:val="16"/>
                <w:szCs w:val="16"/>
                <w:lang w:val="sk-SK" w:eastAsia="fr-FR"/>
              </w:rPr>
              <w:t xml:space="preserve"> </w:t>
            </w:r>
            <w:proofErr w:type="spellStart"/>
            <w:r>
              <w:rPr>
                <w:rFonts w:ascii="Arial Narrow" w:hAnsi="Arial Narrow"/>
                <w:bCs/>
                <w:color w:val="000000" w:themeColor="text1"/>
                <w:spacing w:val="-3"/>
                <w:sz w:val="16"/>
                <w:szCs w:val="16"/>
                <w:lang w:val="sk-SK" w:eastAsia="fr-FR"/>
              </w:rPr>
              <w:t>mainstreaming</w:t>
            </w:r>
            <w:proofErr w:type="spellEnd"/>
            <w:r>
              <w:rPr>
                <w:rFonts w:ascii="Arial Narrow" w:hAnsi="Arial Narrow"/>
                <w:bCs/>
                <w:color w:val="000000" w:themeColor="text1"/>
                <w:spacing w:val="-3"/>
                <w:sz w:val="16"/>
                <w:szCs w:val="16"/>
                <w:lang w:val="sk-SK" w:eastAsia="fr-FR"/>
              </w:rPr>
              <w:t xml:space="preserve"> a o zdravotnom postihnutí.</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2. Rodová rovnosť</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40" w:history="1">
              <w:r>
                <w:rPr>
                  <w:rStyle w:val="Hypertextovprepojenie"/>
                  <w:rFonts w:ascii="Arial Narrow" w:hAnsi="Arial Narrow"/>
                  <w:spacing w:val="-3"/>
                  <w:sz w:val="16"/>
                  <w:szCs w:val="16"/>
                </w:rPr>
                <w:t>Zákon, ktorým sa mení a dopĺňa zákon č. 575/2001 Z. z. o organizácii činnosti vlády a organizácii ústrednej štátnej správy v znení neskorších predpisov</w:t>
              </w:r>
            </w:hyperlink>
          </w:p>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pacing w:val="-3"/>
                <w:sz w:val="16"/>
                <w:szCs w:val="16"/>
              </w:rPr>
            </w:pPr>
            <w:hyperlink r:id="rId41" w:history="1">
              <w:r>
                <w:rPr>
                  <w:rStyle w:val="Hypertextovprepojenie"/>
                  <w:rFonts w:ascii="Arial Narrow" w:hAnsi="Arial Narrow"/>
                  <w:spacing w:val="-3"/>
                  <w:sz w:val="16"/>
                  <w:szCs w:val="16"/>
                </w:rPr>
                <w:t xml:space="preserve">Antidiskriminačný zákon </w:t>
              </w:r>
            </w:hyperlink>
            <w:r>
              <w:rPr>
                <w:rStyle w:val="Hypertextovprepojenie"/>
                <w:rFonts w:ascii="Arial Narrow" w:hAnsi="Arial Narrow"/>
                <w:spacing w:val="-3"/>
                <w:sz w:val="16"/>
                <w:szCs w:val="16"/>
              </w:rPr>
              <w:t xml:space="preserve"> </w:t>
            </w:r>
          </w:p>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Style w:val="Siln"/>
                <w:rFonts w:ascii="Arial Narrow" w:hAnsi="Arial Narrow"/>
                <w:sz w:val="16"/>
                <w:szCs w:val="16"/>
              </w:rPr>
            </w:pPr>
            <w:r>
              <w:rPr>
                <w:rFonts w:ascii="Arial Narrow" w:hAnsi="Arial Narrow"/>
                <w:bCs/>
                <w:spacing w:val="-3"/>
                <w:sz w:val="16"/>
                <w:szCs w:val="16"/>
                <w:lang w:eastAsia="fr-FR"/>
              </w:rPr>
              <w:t>Zákona 365/2004 Z. z. Zákon o rovnakom zaobchádzaní v niektorých oblastiach a o ochrane pred diskrimináciou a o zmene a doplnení niektorých zákonov)</w:t>
            </w:r>
          </w:p>
          <w:p>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Style w:val="FontStyle94"/>
                <w:rFonts w:ascii="Arial Narrow" w:hAnsi="Arial Narrow"/>
                <w:sz w:val="16"/>
                <w:szCs w:val="16"/>
                <w:lang w:eastAsia="en-US"/>
              </w:rPr>
              <w:t xml:space="preserve">Národná stratégia rodovej rovnosti na roky 2009 – 2013: </w:t>
            </w:r>
            <w:hyperlink r:id="rId42" w:history="1">
              <w:r>
                <w:rPr>
                  <w:rStyle w:val="Hypertextovprepojenie"/>
                  <w:rFonts w:ascii="Arial Narrow" w:hAnsi="Arial Narrow"/>
                  <w:sz w:val="16"/>
                  <w:szCs w:val="16"/>
                  <w:lang w:eastAsia="en-US"/>
                </w:rPr>
                <w:t>http://www.gender.gov.sk/?page_id=294</w:t>
              </w:r>
            </w:hyperlink>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bCs/>
                <w:color w:val="000000" w:themeColor="text1"/>
                <w:spacing w:val="-3"/>
                <w:sz w:val="16"/>
                <w:szCs w:val="16"/>
                <w:lang w:eastAsia="fr-FR"/>
              </w:rPr>
              <w:t xml:space="preserve">MPSVR SR, Odbor rodovej rovnosti a rovnosti príležitostí je výkonným orgán pre implementáciu programov, poskytovanie poradenstva zabezpečuje Národné stredisko pre ľudské práva, ktoré komplexne pôsobí v oblasti ľudských práv a základných slobôd.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Pr>
                <w:rFonts w:ascii="Arial Narrow" w:hAnsi="Arial Narrow"/>
                <w:bCs/>
                <w:color w:val="000000" w:themeColor="text1"/>
                <w:spacing w:val="-3"/>
                <w:sz w:val="16"/>
                <w:szCs w:val="16"/>
                <w:lang w:eastAsia="fr-FR"/>
              </w:rPr>
              <w:t xml:space="preserve">Usmernenie CKO na prípravu operačných programov/programov SR, v časti 2.1 </w:t>
            </w:r>
            <w:r>
              <w:rPr>
                <w:rFonts w:ascii="Arial Narrow" w:hAnsi="Arial Narrow"/>
                <w:bCs/>
                <w:i/>
                <w:color w:val="000000" w:themeColor="text1"/>
                <w:spacing w:val="-3"/>
                <w:sz w:val="16"/>
                <w:szCs w:val="16"/>
                <w:lang w:eastAsia="fr-FR"/>
              </w:rPr>
              <w:t xml:space="preserve">Zriadenie pracovnej skupiny na prípravu OP a princíp partnerstva </w:t>
            </w:r>
            <w:r>
              <w:rPr>
                <w:rFonts w:ascii="Arial Narrow" w:hAnsi="Arial Narrow"/>
                <w:bCs/>
                <w:color w:val="000000" w:themeColor="text1"/>
                <w:spacing w:val="-3"/>
                <w:sz w:val="16"/>
                <w:szCs w:val="16"/>
                <w:lang w:eastAsia="fr-FR"/>
              </w:rPr>
              <w:t>hovorí o povinnej účasti zástupcov MPSVR SR ako koordinátorov horizontálnych princípov rovnosť príležitostí a rodová rovnosť v pracovnej skupine každého operačného programu.</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b/>
                <w:color w:val="000000" w:themeColor="text1"/>
                <w:sz w:val="16"/>
                <w:szCs w:val="16"/>
              </w:rPr>
              <w:t>Výbor pre rodovú rovnosť</w:t>
            </w:r>
            <w:r>
              <w:rPr>
                <w:rFonts w:ascii="Arial Narrow" w:hAnsi="Arial Narrow"/>
                <w:color w:val="000000" w:themeColor="text1"/>
                <w:sz w:val="16"/>
                <w:szCs w:val="16"/>
              </w:rPr>
              <w:t xml:space="preserve">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Európskej únie v tejto oblasti.</w:t>
            </w:r>
          </w:p>
        </w:tc>
      </w:tr>
      <w:tr>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bCs/>
                <w:color w:val="000000" w:themeColor="text1"/>
                <w:spacing w:val="-3"/>
                <w:sz w:val="16"/>
                <w:szCs w:val="16"/>
                <w:lang w:val="sk-SK" w:eastAsia="fr-FR"/>
              </w:rPr>
              <w:t xml:space="preserve">Vypracovanie stratégie školenia a informovania zamestnancov zapojených do využívania fondov a následné podanie projektu z OPTP na finančné zabezpečenie školení; V súčasnosti Koordinátor disponuje s minimálnymi finančnými prostriedkami na štartovacie aktivity pre začiatočné obdobie PO 2014-2020. Školiace a vzdelávacie aktivity, konferencie, publikácie a propagačné tlačoviny/, zverejňovanie správ v národných a   masmédiách a iné bude vykonávať garant za HP pre nasledovné cieľové skupiny. </w:t>
            </w:r>
            <w:proofErr w:type="spellStart"/>
            <w:r>
              <w:rPr>
                <w:rFonts w:ascii="Arial Narrow" w:hAnsi="Arial Narrow"/>
                <w:bCs/>
                <w:color w:val="000000" w:themeColor="text1"/>
                <w:spacing w:val="-3"/>
                <w:sz w:val="16"/>
                <w:szCs w:val="16"/>
                <w:lang w:eastAsia="fr-FR"/>
              </w:rPr>
              <w:t>Osoby</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na</w:t>
            </w:r>
            <w:proofErr w:type="spellEnd"/>
            <w:r>
              <w:rPr>
                <w:rFonts w:ascii="Arial Narrow" w:hAnsi="Arial Narrow"/>
                <w:bCs/>
                <w:color w:val="000000" w:themeColor="text1"/>
                <w:spacing w:val="-3"/>
                <w:sz w:val="16"/>
                <w:szCs w:val="16"/>
                <w:lang w:eastAsia="fr-FR"/>
              </w:rPr>
              <w:t xml:space="preserve"> RO </w:t>
            </w:r>
            <w:proofErr w:type="spellStart"/>
            <w:r>
              <w:rPr>
                <w:rFonts w:ascii="Arial Narrow" w:hAnsi="Arial Narrow"/>
                <w:bCs/>
                <w:color w:val="000000" w:themeColor="text1"/>
                <w:spacing w:val="-3"/>
                <w:sz w:val="16"/>
                <w:szCs w:val="16"/>
                <w:lang w:eastAsia="fr-FR"/>
              </w:rPr>
              <w:t>zodpovedné</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za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prípravu</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nového</w:t>
            </w:r>
            <w:proofErr w:type="spellEnd"/>
            <w:r>
              <w:rPr>
                <w:rFonts w:ascii="Arial Narrow" w:hAnsi="Arial Narrow"/>
                <w:bCs/>
                <w:color w:val="000000" w:themeColor="text1"/>
                <w:spacing w:val="-3"/>
                <w:sz w:val="16"/>
                <w:szCs w:val="16"/>
                <w:lang w:eastAsia="fr-FR"/>
              </w:rPr>
              <w:t xml:space="preserve"> PO, </w:t>
            </w:r>
            <w:proofErr w:type="spellStart"/>
            <w:r>
              <w:rPr>
                <w:rFonts w:ascii="Arial Narrow" w:hAnsi="Arial Narrow"/>
                <w:bCs/>
                <w:color w:val="000000" w:themeColor="text1"/>
                <w:spacing w:val="-3"/>
                <w:sz w:val="16"/>
                <w:szCs w:val="16"/>
                <w:lang w:eastAsia="fr-FR"/>
              </w:rPr>
              <w:t>kontaktné</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osoby</w:t>
            </w:r>
            <w:proofErr w:type="spellEnd"/>
            <w:r>
              <w:rPr>
                <w:rFonts w:ascii="Arial Narrow" w:hAnsi="Arial Narrow"/>
                <w:bCs/>
                <w:color w:val="000000" w:themeColor="text1"/>
                <w:spacing w:val="-3"/>
                <w:sz w:val="16"/>
                <w:szCs w:val="16"/>
                <w:lang w:eastAsia="fr-FR"/>
              </w:rPr>
              <w:t xml:space="preserve"> pre HP RP </w:t>
            </w:r>
            <w:proofErr w:type="spellStart"/>
            <w:r>
              <w:rPr>
                <w:rFonts w:ascii="Arial Narrow" w:hAnsi="Arial Narrow"/>
                <w:bCs/>
                <w:color w:val="000000" w:themeColor="text1"/>
                <w:spacing w:val="-3"/>
                <w:sz w:val="16"/>
                <w:szCs w:val="16"/>
                <w:lang w:eastAsia="fr-FR"/>
              </w:rPr>
              <w:t>zodpovedné</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za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koordináciu</w:t>
            </w:r>
            <w:proofErr w:type="spellEnd"/>
            <w:r>
              <w:rPr>
                <w:rFonts w:ascii="Arial Narrow" w:hAnsi="Arial Narrow"/>
                <w:bCs/>
                <w:color w:val="000000" w:themeColor="text1"/>
                <w:spacing w:val="-3"/>
                <w:sz w:val="16"/>
                <w:szCs w:val="16"/>
                <w:lang w:eastAsia="fr-FR"/>
              </w:rPr>
              <w:t xml:space="preserve"> HP RP </w:t>
            </w:r>
            <w:proofErr w:type="spellStart"/>
            <w:r>
              <w:rPr>
                <w:rFonts w:ascii="Arial Narrow" w:hAnsi="Arial Narrow"/>
                <w:bCs/>
                <w:color w:val="000000" w:themeColor="text1"/>
                <w:spacing w:val="-3"/>
                <w:sz w:val="16"/>
                <w:szCs w:val="16"/>
                <w:lang w:eastAsia="fr-FR"/>
              </w:rPr>
              <w:t>na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úrovni</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jednotlivých</w:t>
            </w:r>
            <w:proofErr w:type="spellEnd"/>
            <w:r>
              <w:rPr>
                <w:rFonts w:ascii="Arial Narrow" w:hAnsi="Arial Narrow"/>
                <w:bCs/>
                <w:color w:val="000000" w:themeColor="text1"/>
                <w:spacing w:val="-3"/>
                <w:sz w:val="16"/>
                <w:szCs w:val="16"/>
                <w:lang w:eastAsia="fr-FR"/>
              </w:rPr>
              <w:t xml:space="preserve"> OP, </w:t>
            </w:r>
            <w:proofErr w:type="spellStart"/>
            <w:r>
              <w:rPr>
                <w:rFonts w:ascii="Arial Narrow" w:hAnsi="Arial Narrow"/>
                <w:bCs/>
                <w:color w:val="000000" w:themeColor="text1"/>
                <w:spacing w:val="-3"/>
                <w:sz w:val="16"/>
                <w:szCs w:val="16"/>
                <w:lang w:eastAsia="fr-FR"/>
              </w:rPr>
              <w:t>členovia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pracovnej</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skupiny</w:t>
            </w:r>
            <w:proofErr w:type="spellEnd"/>
            <w:r>
              <w:rPr>
                <w:rFonts w:ascii="Arial Narrow" w:hAnsi="Arial Narrow"/>
                <w:bCs/>
                <w:color w:val="000000" w:themeColor="text1"/>
                <w:spacing w:val="-3"/>
                <w:sz w:val="16"/>
                <w:szCs w:val="16"/>
                <w:lang w:eastAsia="fr-FR"/>
              </w:rPr>
              <w:t xml:space="preserve"> HP RP, </w:t>
            </w:r>
            <w:proofErr w:type="spellStart"/>
            <w:r>
              <w:rPr>
                <w:rFonts w:ascii="Arial Narrow" w:hAnsi="Arial Narrow"/>
                <w:bCs/>
                <w:color w:val="000000" w:themeColor="text1"/>
                <w:spacing w:val="-3"/>
                <w:sz w:val="16"/>
                <w:szCs w:val="16"/>
                <w:lang w:eastAsia="fr-FR"/>
              </w:rPr>
              <w:t>manažéri</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monitorovania</w:t>
            </w:r>
            <w:proofErr w:type="spellEnd"/>
            <w:r>
              <w:rPr>
                <w:rFonts w:ascii="Arial Narrow" w:hAnsi="Arial Narrow"/>
                <w:bCs/>
                <w:color w:val="000000" w:themeColor="text1"/>
                <w:spacing w:val="-3"/>
                <w:sz w:val="16"/>
                <w:szCs w:val="16"/>
                <w:lang w:eastAsia="fr-FR"/>
              </w:rPr>
              <w:t xml:space="preserve"> a </w:t>
            </w:r>
            <w:proofErr w:type="spellStart"/>
            <w:r>
              <w:rPr>
                <w:rFonts w:ascii="Arial Narrow" w:hAnsi="Arial Narrow"/>
                <w:bCs/>
                <w:color w:val="000000" w:themeColor="text1"/>
                <w:spacing w:val="-3"/>
                <w:sz w:val="16"/>
                <w:szCs w:val="16"/>
                <w:lang w:eastAsia="fr-FR"/>
              </w:rPr>
              <w:t>hodnotenia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vyšší</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riadiaci</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pracovníci</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hodnotitelia</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projektov</w:t>
            </w:r>
            <w:proofErr w:type="spellEnd"/>
            <w:r>
              <w:rPr>
                <w:rFonts w:ascii="Arial Narrow" w:hAnsi="Arial Narrow"/>
                <w:bCs/>
                <w:color w:val="000000" w:themeColor="text1"/>
                <w:spacing w:val="-3"/>
                <w:sz w:val="16"/>
                <w:szCs w:val="16"/>
                <w:lang w:eastAsia="fr-FR"/>
              </w:rPr>
              <w:t xml:space="preserve"> a </w:t>
            </w:r>
            <w:proofErr w:type="spellStart"/>
            <w:r>
              <w:rPr>
                <w:rFonts w:ascii="Arial Narrow" w:hAnsi="Arial Narrow"/>
                <w:bCs/>
                <w:color w:val="000000" w:themeColor="text1"/>
                <w:spacing w:val="-3"/>
                <w:sz w:val="16"/>
                <w:szCs w:val="16"/>
                <w:lang w:eastAsia="fr-FR"/>
              </w:rPr>
              <w:t>taktiež</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personál</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orgánov</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zahrnutých</w:t>
            </w:r>
            <w:proofErr w:type="spellEnd"/>
            <w:r>
              <w:rPr>
                <w:rFonts w:ascii="Arial Narrow" w:hAnsi="Arial Narrow"/>
                <w:bCs/>
                <w:color w:val="000000" w:themeColor="text1"/>
                <w:spacing w:val="-3"/>
                <w:sz w:val="16"/>
                <w:szCs w:val="16"/>
                <w:lang w:eastAsia="fr-FR"/>
              </w:rPr>
              <w:t xml:space="preserve"> v </w:t>
            </w:r>
            <w:proofErr w:type="spellStart"/>
            <w:r>
              <w:rPr>
                <w:rFonts w:ascii="Arial Narrow" w:hAnsi="Arial Narrow"/>
                <w:bCs/>
                <w:color w:val="000000" w:themeColor="text1"/>
                <w:spacing w:val="-3"/>
                <w:sz w:val="16"/>
                <w:szCs w:val="16"/>
                <w:lang w:eastAsia="fr-FR"/>
              </w:rPr>
              <w:t>manažmente</w:t>
            </w:r>
            <w:proofErr w:type="spellEnd"/>
            <w:r>
              <w:rPr>
                <w:rFonts w:ascii="Arial Narrow" w:hAnsi="Arial Narrow"/>
                <w:bCs/>
                <w:color w:val="000000" w:themeColor="text1"/>
                <w:spacing w:val="-3"/>
                <w:sz w:val="16"/>
                <w:szCs w:val="16"/>
                <w:lang w:eastAsia="fr-FR"/>
              </w:rPr>
              <w:t xml:space="preserve"> a </w:t>
            </w:r>
            <w:proofErr w:type="spellStart"/>
            <w:r>
              <w:rPr>
                <w:rFonts w:ascii="Arial Narrow" w:hAnsi="Arial Narrow"/>
                <w:bCs/>
                <w:color w:val="000000" w:themeColor="text1"/>
                <w:spacing w:val="-3"/>
                <w:sz w:val="16"/>
                <w:szCs w:val="16"/>
                <w:lang w:eastAsia="fr-FR"/>
              </w:rPr>
              <w:t>kontrole</w:t>
            </w:r>
            <w:proofErr w:type="spellEnd"/>
            <w:r>
              <w:rPr>
                <w:rFonts w:ascii="Arial Narrow" w:hAnsi="Arial Narrow"/>
                <w:bCs/>
                <w:color w:val="000000" w:themeColor="text1"/>
                <w:spacing w:val="-3"/>
                <w:sz w:val="16"/>
                <w:szCs w:val="16"/>
                <w:lang w:eastAsia="fr-FR"/>
              </w:rPr>
              <w:t xml:space="preserve"> EŠI </w:t>
            </w:r>
            <w:proofErr w:type="spellStart"/>
            <w:r>
              <w:rPr>
                <w:rFonts w:ascii="Arial Narrow" w:hAnsi="Arial Narrow"/>
                <w:bCs/>
                <w:color w:val="000000" w:themeColor="text1"/>
                <w:spacing w:val="-3"/>
                <w:sz w:val="16"/>
                <w:szCs w:val="16"/>
                <w:lang w:eastAsia="fr-FR"/>
              </w:rPr>
              <w:t>fondov</w:t>
            </w:r>
            <w:proofErr w:type="spellEnd"/>
            <w:r>
              <w:rPr>
                <w:rFonts w:ascii="Arial Narrow" w:hAnsi="Arial Narrow"/>
                <w:bCs/>
                <w:color w:val="000000" w:themeColor="text1"/>
                <w:spacing w:val="-3"/>
                <w:sz w:val="16"/>
                <w:szCs w:val="16"/>
                <w:lang w:eastAsia="fr-FR"/>
              </w:rPr>
              <w:t xml:space="preserve"> v </w:t>
            </w:r>
            <w:proofErr w:type="spellStart"/>
            <w:r>
              <w:rPr>
                <w:rFonts w:ascii="Arial Narrow" w:hAnsi="Arial Narrow"/>
                <w:bCs/>
                <w:color w:val="000000" w:themeColor="text1"/>
                <w:spacing w:val="-3"/>
                <w:sz w:val="16"/>
                <w:szCs w:val="16"/>
                <w:lang w:eastAsia="fr-FR"/>
              </w:rPr>
              <w:t>oblastiach</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zákonov</w:t>
            </w:r>
            <w:proofErr w:type="spellEnd"/>
            <w:r>
              <w:rPr>
                <w:rFonts w:ascii="Arial Narrow" w:hAnsi="Arial Narrow"/>
                <w:bCs/>
                <w:color w:val="000000" w:themeColor="text1"/>
                <w:spacing w:val="-3"/>
                <w:sz w:val="16"/>
                <w:szCs w:val="16"/>
                <w:lang w:eastAsia="fr-FR"/>
              </w:rPr>
              <w:t xml:space="preserve"> a </w:t>
            </w:r>
            <w:proofErr w:type="spellStart"/>
            <w:r>
              <w:rPr>
                <w:rFonts w:ascii="Arial Narrow" w:hAnsi="Arial Narrow"/>
                <w:bCs/>
                <w:color w:val="000000" w:themeColor="text1"/>
                <w:spacing w:val="-3"/>
                <w:sz w:val="16"/>
                <w:szCs w:val="16"/>
                <w:lang w:eastAsia="fr-FR"/>
              </w:rPr>
              <w:t>politiky</w:t>
            </w:r>
            <w:proofErr w:type="spellEnd"/>
            <w:r>
              <w:rPr>
                <w:rFonts w:ascii="Arial Narrow" w:hAnsi="Arial Narrow"/>
                <w:bCs/>
                <w:color w:val="000000" w:themeColor="text1"/>
                <w:spacing w:val="-3"/>
                <w:sz w:val="16"/>
                <w:szCs w:val="16"/>
                <w:lang w:eastAsia="fr-FR"/>
              </w:rPr>
              <w:t xml:space="preserve"> EÚ o </w:t>
            </w:r>
            <w:proofErr w:type="spellStart"/>
            <w:r>
              <w:rPr>
                <w:rFonts w:ascii="Arial Narrow" w:hAnsi="Arial Narrow"/>
                <w:bCs/>
                <w:color w:val="000000" w:themeColor="text1"/>
                <w:spacing w:val="-3"/>
                <w:sz w:val="16"/>
                <w:szCs w:val="16"/>
                <w:lang w:eastAsia="fr-FR"/>
              </w:rPr>
              <w:t>nediskriminácii</w:t>
            </w:r>
            <w:proofErr w:type="spellEnd"/>
            <w:r>
              <w:rPr>
                <w:rFonts w:ascii="Arial Narrow" w:hAnsi="Arial Narrow"/>
                <w:bCs/>
                <w:color w:val="000000" w:themeColor="text1"/>
                <w:spacing w:val="-3"/>
                <w:sz w:val="16"/>
                <w:szCs w:val="16"/>
                <w:lang w:eastAsia="fr-FR"/>
              </w:rPr>
              <w:t>, o </w:t>
            </w:r>
            <w:proofErr w:type="spellStart"/>
            <w:r>
              <w:rPr>
                <w:rFonts w:ascii="Arial Narrow" w:hAnsi="Arial Narrow"/>
                <w:bCs/>
                <w:color w:val="000000" w:themeColor="text1"/>
                <w:spacing w:val="-3"/>
                <w:sz w:val="16"/>
                <w:szCs w:val="16"/>
                <w:lang w:eastAsia="fr-FR"/>
              </w:rPr>
              <w:t>rodovej</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rovnosti</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rovnako</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ako</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aj</w:t>
            </w:r>
            <w:proofErr w:type="spellEnd"/>
            <w:r>
              <w:rPr>
                <w:rFonts w:ascii="Arial Narrow" w:hAnsi="Arial Narrow"/>
                <w:bCs/>
                <w:color w:val="000000" w:themeColor="text1"/>
                <w:spacing w:val="-3"/>
                <w:sz w:val="16"/>
                <w:szCs w:val="16"/>
                <w:lang w:eastAsia="fr-FR"/>
              </w:rPr>
              <w:t xml:space="preserve"> o gender mainstreaming a o </w:t>
            </w:r>
            <w:proofErr w:type="spellStart"/>
            <w:r>
              <w:rPr>
                <w:rFonts w:ascii="Arial Narrow" w:hAnsi="Arial Narrow"/>
                <w:bCs/>
                <w:color w:val="000000" w:themeColor="text1"/>
                <w:spacing w:val="-3"/>
                <w:sz w:val="16"/>
                <w:szCs w:val="16"/>
                <w:lang w:eastAsia="fr-FR"/>
              </w:rPr>
              <w:t>zdravotnom</w:t>
            </w:r>
            <w:proofErr w:type="spellEnd"/>
            <w:r>
              <w:rPr>
                <w:rFonts w:ascii="Arial Narrow" w:hAnsi="Arial Narrow"/>
                <w:bCs/>
                <w:color w:val="000000" w:themeColor="text1"/>
                <w:spacing w:val="-3"/>
                <w:sz w:val="16"/>
                <w:szCs w:val="16"/>
                <w:lang w:eastAsia="fr-FR"/>
              </w:rPr>
              <w:t xml:space="preserve"> </w:t>
            </w:r>
            <w:proofErr w:type="spellStart"/>
            <w:r>
              <w:rPr>
                <w:rFonts w:ascii="Arial Narrow" w:hAnsi="Arial Narrow"/>
                <w:bCs/>
                <w:color w:val="000000" w:themeColor="text1"/>
                <w:spacing w:val="-3"/>
                <w:sz w:val="16"/>
                <w:szCs w:val="16"/>
                <w:lang w:eastAsia="fr-FR"/>
              </w:rPr>
              <w:t>postihnutí</w:t>
            </w:r>
            <w:proofErr w:type="spellEnd"/>
            <w:r>
              <w:rPr>
                <w:rFonts w:ascii="Arial Narrow" w:hAnsi="Arial Narrow"/>
                <w:bCs/>
                <w:color w:val="000000" w:themeColor="text1"/>
                <w:spacing w:val="-3"/>
                <w:sz w:val="16"/>
                <w:szCs w:val="16"/>
                <w:lang w:eastAsia="fr-FR"/>
              </w:rPr>
              <w:t>.</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administratívnej kapacity na vykonávanie a uplatňovanie Dohovoru OSN o právach osôb so zdravotným postihnutím v oblasti EŠIF v súlade s rozhodnutím Rady </w:t>
            </w:r>
            <w:r>
              <w:rPr>
                <w:rFonts w:ascii="Arial Narrow" w:hAnsi="Arial Narrow"/>
                <w:sz w:val="16"/>
                <w:szCs w:val="16"/>
              </w:rPr>
              <w:lastRenderedPageBreak/>
              <w:t>2010/48/ES.</w:t>
            </w: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Dohovor OSN o právach osôb so zdravotným postihnutím a Opčný protokol k Dohovoru OSN o právach osôb so zdravotným postihnutím</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u w:val="single"/>
              </w:rPr>
            </w:pPr>
            <w:r>
              <w:rPr>
                <w:rFonts w:ascii="Arial Narrow" w:eastAsia="Trebuchet MS" w:hAnsi="Arial Narrow"/>
                <w:sz w:val="16"/>
                <w:szCs w:val="16"/>
                <w:u w:val="single"/>
              </w:rPr>
              <w:t>http://www.employment.gov.sk/</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u w:val="single"/>
              </w:rPr>
              <w:t>http://www.employment.gov.sk/</w:t>
            </w:r>
          </w:p>
        </w:tc>
        <w:tc>
          <w:tcPr>
            <w:tcW w:w="4678"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je hlavným kontaktným miestom pre problematiku výkonu Dohovoru. Národný program rozvoja životných podmienok osôb so zdravotným postihnutím 2014-2020 je zameraný na dosiahnutie pokroku: v oblasti ochrany práv osôb so zdravotným postihnutím uznaných Dohovorom. Zameraný je na skupiny, ktoré sa podieľali na tvorbe v zmysle Dohovoru a jeho cieľom je definovať úlohy a opatrenia a zabezpečiť pokrok v oblasti ochrany práv osôb so zdravotným postihnutím uznaných Dohovorom. Uznesenie č.25/2014 je záväzné pre rezorty, aj pre nové OP.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SNS ľudských práv plní v zmysle zákon 365/2004 Z. z. o rovnakom zaobchádzaní v niektorých oblastiach a o ochrane pred diskrimináciou je výkonným orgánom pre implementáciu programov a poskytovaní poradenstva. </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 xml:space="preserve">Opatrenia na zabezpečenie odbornej prípravy pre zamestnancov orgánov </w:t>
            </w:r>
            <w:r>
              <w:rPr>
                <w:rFonts w:ascii="Arial Narrow" w:hAnsi="Arial Narrow"/>
                <w:color w:val="000000"/>
                <w:sz w:val="16"/>
                <w:szCs w:val="16"/>
              </w:rPr>
              <w:lastRenderedPageBreak/>
              <w:t>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Nie</w:t>
            </w:r>
          </w:p>
        </w:tc>
        <w:tc>
          <w:tcPr>
            <w:tcW w:w="2150" w:type="dxa"/>
            <w:shd w:val="clear" w:color="auto" w:fill="auto"/>
          </w:tcPr>
          <w:p>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Národný program rozvoja životných podmienok osôb so </w:t>
            </w:r>
            <w:r>
              <w:rPr>
                <w:rFonts w:ascii="Arial Narrow" w:hAnsi="Arial Narrow"/>
                <w:sz w:val="16"/>
                <w:szCs w:val="16"/>
              </w:rPr>
              <w:lastRenderedPageBreak/>
              <w:t>zdravotným postihnutím na roky 2014 – 2020.</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3" w:history="1">
              <w:r>
                <w:rPr>
                  <w:rStyle w:val="Hypertextovprepojenie"/>
                  <w:rFonts w:ascii="Arial Narrow" w:hAnsi="Arial Narrow"/>
                  <w:sz w:val="16"/>
                  <w:szCs w:val="16"/>
                </w:rPr>
                <w:t>http://www.employment.gov.sk/files/slovensky/rodina-socialna-pomoc/tazke-zdravotne-postihnutie/narodny-program-rozvoja-zivotnych-podmienok-osob-so-zdravotnym-postihnutim-roky-2014-2020.pdf</w:t>
              </w:r>
            </w:hyperlink>
          </w:p>
        </w:tc>
        <w:tc>
          <w:tcPr>
            <w:tcW w:w="4678" w:type="dxa"/>
            <w:shd w:val="clear" w:color="auto" w:fill="auto"/>
          </w:tcPr>
          <w:p>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Pr>
                <w:rFonts w:ascii="Arial Narrow" w:hAnsi="Arial Narrow"/>
                <w:bCs/>
                <w:color w:val="000000" w:themeColor="text1"/>
                <w:spacing w:val="-3"/>
                <w:sz w:val="16"/>
                <w:szCs w:val="16"/>
                <w:lang w:val="sk-SK" w:eastAsia="fr-FR"/>
              </w:rPr>
              <w:lastRenderedPageBreak/>
              <w:t xml:space="preserve">Vypracovanie stratégie školenia a informovania zamestnancov zapojených do využívania fondov a následné podanie projektu z OPTP na finančné </w:t>
            </w:r>
            <w:r>
              <w:rPr>
                <w:rFonts w:ascii="Arial Narrow" w:hAnsi="Arial Narrow"/>
                <w:bCs/>
                <w:color w:val="000000" w:themeColor="text1"/>
                <w:spacing w:val="-3"/>
                <w:sz w:val="16"/>
                <w:szCs w:val="16"/>
                <w:lang w:val="sk-SK" w:eastAsia="fr-FR"/>
              </w:rPr>
              <w:lastRenderedPageBreak/>
              <w:t>zabezpečenie školení; V súčasnosti Koordinátor disponuje s minimálnymi finančnými prostriedkami na štartovacie aktivity pre začiatočné obdobie PO 2014-2020. Školiace a vzdelávacie aktivity, konferencie, publikácie a propagačné tlačoviny/, zverejňovanie správ v národných a   masmédiách a iné bude vykonávať garant za HP pre nasledovné cieľové skupiny: Osoby na RO zodpovedné za prípravu nového PO, kontaktné osoby pre HP RP zodpovedné za koordináciu HP RP na úrovni jednotlivých OP, členovia pracovnej skupiny HP RP, manažéri monitorovania a hodnotenia, vyšší riadiaci pracovníci, hodnotitelia projektov a taktiež personál orgánov zahrnutých v manažmente a kontrole EŠI fondov v oblastiach zákonov a politiky EÚ o nediskriminácii, o rodovej rovnosti rovnako ako aj o </w:t>
            </w:r>
            <w:proofErr w:type="spellStart"/>
            <w:r>
              <w:rPr>
                <w:rFonts w:ascii="Arial Narrow" w:hAnsi="Arial Narrow"/>
                <w:bCs/>
                <w:color w:val="000000" w:themeColor="text1"/>
                <w:spacing w:val="-3"/>
                <w:sz w:val="16"/>
                <w:szCs w:val="16"/>
                <w:lang w:val="sk-SK" w:eastAsia="fr-FR"/>
              </w:rPr>
              <w:t>gender</w:t>
            </w:r>
            <w:proofErr w:type="spellEnd"/>
            <w:r>
              <w:rPr>
                <w:rFonts w:ascii="Arial Narrow" w:hAnsi="Arial Narrow"/>
                <w:bCs/>
                <w:color w:val="000000" w:themeColor="text1"/>
                <w:spacing w:val="-3"/>
                <w:sz w:val="16"/>
                <w:szCs w:val="16"/>
                <w:lang w:val="sk-SK" w:eastAsia="fr-FR"/>
              </w:rPr>
              <w:t xml:space="preserve"> </w:t>
            </w:r>
            <w:proofErr w:type="spellStart"/>
            <w:r>
              <w:rPr>
                <w:rFonts w:ascii="Arial Narrow" w:hAnsi="Arial Narrow"/>
                <w:bCs/>
                <w:color w:val="000000" w:themeColor="text1"/>
                <w:spacing w:val="-3"/>
                <w:sz w:val="16"/>
                <w:szCs w:val="16"/>
                <w:lang w:val="sk-SK" w:eastAsia="fr-FR"/>
              </w:rPr>
              <w:t>mainstreaming</w:t>
            </w:r>
            <w:proofErr w:type="spellEnd"/>
            <w:r>
              <w:rPr>
                <w:rFonts w:ascii="Arial Narrow" w:hAnsi="Arial Narrow"/>
                <w:bCs/>
                <w:color w:val="000000" w:themeColor="text1"/>
                <w:spacing w:val="-3"/>
                <w:sz w:val="16"/>
                <w:szCs w:val="16"/>
                <w:lang w:val="sk-SK" w:eastAsia="fr-FR"/>
              </w:rPr>
              <w:t xml:space="preserve"> a o zdravotnom postihnutí.</w:t>
            </w:r>
          </w:p>
        </w:tc>
      </w:tr>
      <w:tr>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4. Verejné obstarávanie</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lastRenderedPageBreak/>
              <w:t>Zákon č. 25/2006 Z. z. o verejnom obstarávaní a o zmene a doplnení niektorých zákonov v znení neskorších predpisov</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4" w:history="1">
              <w:r>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Pr>
                <w:rFonts w:ascii="Arial Narrow" w:hAnsi="Arial Narrow"/>
                <w:sz w:val="16"/>
                <w:szCs w:val="16"/>
              </w:rPr>
              <w:t xml:space="preserve">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5" w:history="1">
              <w:r>
                <w:rPr>
                  <w:rFonts w:ascii="Arial Narrow" w:hAnsi="Arial Narrow"/>
                  <w:color w:val="0000FF"/>
                  <w:sz w:val="16"/>
                  <w:szCs w:val="16"/>
                  <w:u w:val="single"/>
                </w:rPr>
                <w:t>http://www.upsvar.sk/buxus/docs//urady/VK/vo/13-z095.pdf</w:t>
              </w:r>
            </w:hyperlink>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6" w:history="1">
              <w:r>
                <w:rPr>
                  <w:rFonts w:ascii="Arial Narrow" w:hAnsi="Arial Narrow"/>
                  <w:color w:val="0000FF"/>
                  <w:sz w:val="16"/>
                  <w:szCs w:val="16"/>
                  <w:u w:val="single"/>
                </w:rPr>
                <w:t>http://www.rokovania.sk/Rokovanie.aspx/BodRokovaniaDetail?idMaterial=21941</w:t>
              </w:r>
            </w:hyperlink>
          </w:p>
          <w:p>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(napr. </w:t>
            </w:r>
            <w:hyperlink r:id="rId47" w:history="1">
              <w:r>
                <w:rPr>
                  <w:rFonts w:ascii="Arial Narrow" w:hAnsi="Arial Narrow"/>
                  <w:color w:val="0000FF"/>
                  <w:sz w:val="16"/>
                  <w:szCs w:val="16"/>
                  <w:u w:val="single"/>
                </w:rPr>
                <w:t>http://www.opzp.sk/dokumenty/projektove-dokumenty/rozhodnutia-uvo-sr-v-procesoch-vo-v-ramci-projketov-op-zp-v-programovom-obdobi-2007-2013/</w:t>
              </w:r>
            </w:hyperlink>
            <w:r>
              <w:rPr>
                <w:rFonts w:ascii="Arial Narrow" w:hAnsi="Arial Narrow"/>
                <w:sz w:val="16"/>
                <w:szCs w:val="16"/>
              </w:rPr>
              <w:t>) alebo (</w:t>
            </w:r>
            <w:hyperlink r:id="rId48" w:history="1">
              <w:r>
                <w:rPr>
                  <w:rFonts w:ascii="Arial Narrow" w:hAnsi="Arial Narrow"/>
                  <w:color w:val="0000FF"/>
                  <w:sz w:val="16"/>
                  <w:szCs w:val="16"/>
                  <w:u w:val="single"/>
                </w:rPr>
                <w:t>http://www.ropka.sk/sk/verejne-obstaravania/</w:t>
              </w:r>
            </w:hyperlink>
            <w:r>
              <w:rPr>
                <w:rFonts w:ascii="Arial Narrow" w:hAnsi="Arial Narrow"/>
                <w:sz w:val="16"/>
                <w:szCs w:val="16"/>
              </w:rPr>
              <w:t>)</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9" w:history="1">
              <w:r>
                <w:rPr>
                  <w:rFonts w:ascii="Arial Narrow" w:hAnsi="Arial Narrow"/>
                  <w:color w:val="0000FF"/>
                  <w:sz w:val="16"/>
                  <w:szCs w:val="16"/>
                  <w:u w:val="single"/>
                </w:rPr>
                <w:t>http://www.uvo.gov.sk/najcastejsie-nedostatky-stene-uvo</w:t>
              </w:r>
            </w:hyperlink>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Úrad pre verejné obstarávanie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0" w:history="1">
              <w:r>
                <w:rPr>
                  <w:rFonts w:ascii="Arial Narrow" w:hAnsi="Arial Narrow"/>
                  <w:color w:val="0000FF"/>
                  <w:sz w:val="16"/>
                  <w:szCs w:val="16"/>
                  <w:u w:val="single"/>
                </w:rPr>
                <w:t>http://www.uvo.gov.sk/domov</w:t>
              </w:r>
            </w:hyperlink>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Metodické usmernenia (ÚVO)</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hyperlink r:id="rId51" w:history="1">
              <w:r>
                <w:rPr>
                  <w:rFonts w:ascii="Arial Narrow" w:hAnsi="Arial Narrow"/>
                  <w:color w:val="0000FF"/>
                  <w:sz w:val="16"/>
                  <w:szCs w:val="16"/>
                  <w:u w:val="single"/>
                </w:rPr>
                <w:t>http://www.uvo.gov.sk/metodicke-usmernenia</w:t>
              </w:r>
            </w:hyperlink>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V nadväznosti na novelizácie zákona o VO v roku 2013 boli alebo budú zavedené viaceré postupy a inštitúty, ktoré slúžia k posilneniu súťažného princípu a transparentnosti procesov VO napr. - zavedenie centrálnej evidencie referencií jednotlivých uchádzačov využívaných na preukazovanie technickej spôsobilosti; obmedzenie pre uzatváranie dodatkov zvyšujúcich cenu plnenia zmluvy; možnosť zrušenia VO ak neboli predložené viac ako 2 ponuky; povinnosť verejného obstarávateľa zverejňovať príslušné informácie a dokumentáciu k VO na svojom profile; zavedenie elektronického trhoviska; vznik Rady ÚVO riešiacej odvolania uchádzačov voči rozhodnutiam o námietkach vydaných ÚVO; zavedenie povinnej certifikácie zariadení a systémov </w:t>
            </w:r>
            <w:proofErr w:type="spellStart"/>
            <w:r>
              <w:rPr>
                <w:rFonts w:ascii="Arial Narrow" w:hAnsi="Arial Narrow"/>
                <w:sz w:val="16"/>
                <w:szCs w:val="16"/>
              </w:rPr>
              <w:t>e-aukcie</w:t>
            </w:r>
            <w:proofErr w:type="spellEnd"/>
            <w:r>
              <w:rPr>
                <w:rFonts w:ascii="Arial Narrow" w:hAnsi="Arial Narrow"/>
                <w:sz w:val="16"/>
                <w:szCs w:val="16"/>
              </w:rPr>
              <w:t xml:space="preserve">; zavedenie možnosti </w:t>
            </w:r>
            <w:proofErr w:type="spellStart"/>
            <w:r>
              <w:rPr>
                <w:rFonts w:ascii="Arial Narrow" w:hAnsi="Arial Narrow"/>
                <w:sz w:val="16"/>
                <w:szCs w:val="16"/>
              </w:rPr>
              <w:t>ex-ante</w:t>
            </w:r>
            <w:proofErr w:type="spellEnd"/>
            <w:r>
              <w:rPr>
                <w:rFonts w:ascii="Arial Narrow" w:hAnsi="Arial Narrow"/>
                <w:sz w:val="16"/>
                <w:szCs w:val="16"/>
              </w:rPr>
              <w:t xml:space="preserve"> kontroly dokumentácie pred jej zverejnením verejným obstarávateľom; zavedenie registra osôb so zákazom účasti vo </w:t>
            </w:r>
            <w:proofErr w:type="spellStart"/>
            <w:r>
              <w:rPr>
                <w:rFonts w:ascii="Arial Narrow" w:hAnsi="Arial Narrow"/>
                <w:sz w:val="16"/>
                <w:szCs w:val="16"/>
              </w:rPr>
              <w:t>VO</w:t>
            </w:r>
            <w:proofErr w:type="spellEnd"/>
            <w:r>
              <w:rPr>
                <w:rFonts w:ascii="Arial Narrow" w:hAnsi="Arial Narrow"/>
                <w:sz w:val="16"/>
                <w:szCs w:val="16"/>
              </w:rPr>
              <w:t>.</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Nedostatky zistené zo strany EK budú riešené na úrovni legislatívnej novelou zákona a systémovej (v systéme riadenia a kontry na 2014-2020).</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CKO už v súčasnosti zabezpečuje školenia pre RO/SORO pre postupy administratívnej kontroly VO, prezentovanie najčastejších nedostatkov identifikovaných pri kontrolách VO, výklad k metodike CKO k VO. Za rok 2013 bolo vyškolených 179 zamestnancov. V roku 2014 CKO plánuje organizovať a zabezpečovať školenia tohto zamerania. </w:t>
            </w:r>
          </w:p>
          <w:p>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V novom Systéme riadenia a kontroly EŠIF, resp. v inom záväznom </w:t>
            </w:r>
            <w:r>
              <w:rPr>
                <w:rFonts w:ascii="Arial Narrow" w:hAnsi="Arial Narrow"/>
                <w:sz w:val="16"/>
                <w:szCs w:val="16"/>
              </w:rPr>
              <w:lastRenderedPageBreak/>
              <w:t>dokumente bude zadefinovaný všeobecný systém vzdelávania zamestnancov, pričom v rámci neho bude určená povinnosť RO zabezpečiť pre všetkých zamestnancov zúčastnených na implementácii fondov pravidelnú odbornú prípravu a školenia, pričom títo zamestnanci budú povinní sa tohto vzdelávania zúčastniť. RO bude zasielať CKO zoznam zamestnancov vykonávajúcich kontrolu VO, ktorí budú pravidelne školení. Uvedená odborná príprava sa týka školení CKO, školení ÚVO resp. iných subjektov realizujúcich školenia v oblasti zákona o VO a tiež školení organizovaných Protimonopolným úradom SR vo veci ochrany hospodárskej súťaže.</w:t>
            </w:r>
          </w:p>
          <w:p>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 zmysle uznesenia vlády SR č. 21/2013 ÚVO v spolupráci s každým riadiacim orgánom v periodicite pol roka vypracováva a zverejňuje správu o výsledkoch kontrol a auditov v oblasti VO.</w:t>
            </w:r>
          </w:p>
          <w:p>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Riadiace orgány zverejňujú na svojich stránkach najčastejšie porušenia pravidiel VO. ÚVO zverejňuje na svojej stránke najčastejšie pochybenia vo </w:t>
            </w:r>
            <w:proofErr w:type="spellStart"/>
            <w:r>
              <w:rPr>
                <w:rFonts w:ascii="Arial Narrow" w:hAnsi="Arial Narrow"/>
                <w:sz w:val="16"/>
                <w:szCs w:val="16"/>
              </w:rPr>
              <w:t>VO</w:t>
            </w:r>
            <w:proofErr w:type="spellEnd"/>
            <w:r>
              <w:rPr>
                <w:rFonts w:ascii="Arial Narrow" w:hAnsi="Arial Narrow"/>
                <w:sz w:val="16"/>
                <w:szCs w:val="16"/>
              </w:rPr>
              <w:t xml:space="preserve"> a zabezpečuje metodickú koordináciu vo </w:t>
            </w:r>
            <w:proofErr w:type="spellStart"/>
            <w:r>
              <w:rPr>
                <w:rFonts w:ascii="Arial Narrow" w:hAnsi="Arial Narrow"/>
                <w:sz w:val="16"/>
                <w:szCs w:val="16"/>
              </w:rPr>
              <w:t>VO</w:t>
            </w:r>
            <w:proofErr w:type="spellEnd"/>
            <w:r>
              <w:rPr>
                <w:rFonts w:ascii="Arial Narrow" w:hAnsi="Arial Narrow"/>
                <w:sz w:val="16"/>
                <w:szCs w:val="16"/>
              </w:rPr>
              <w:t>. Všetky tieto informácie budú využívané aj v programovom období 2014 - 2020. Zároveň CKO pravidelne organizuje a bude organizovať a zabezpečovať školenia zamerané na oboznámenie zástupcov RO, SORO, CO a OA s identifikovanými nedostatkami pri verejnom obstarávaní (viď predošlé kritérium).</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Navrhuje sa tiež v gescii CKO zriadenie Koordinačného výboru pre spoluprácu pri VO, ktorý bude pozostávať najmä z CKO, ÚVO, CO, OA, RO čím sa zabezpečí spoločný postup v rámci aplikácie pravidiel </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5. Štátna pomoc</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štátnej pomoci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pPr>
              <w:spacing w:after="0" w:line="28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RO identifikoval nasledovné investičné priority IROP s existenciou prvkov št. pomoci: </w:t>
            </w:r>
          </w:p>
          <w:p>
            <w:pPr>
              <w:spacing w:after="0" w:line="28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PO 1 ŠC 1.2.1 – služby vo verejnom záujme v zmysle </w:t>
            </w:r>
            <w:proofErr w:type="spellStart"/>
            <w:r>
              <w:rPr>
                <w:rFonts w:ascii="Arial Narrow" w:hAnsi="Arial Narrow"/>
                <w:sz w:val="16"/>
                <w:szCs w:val="16"/>
                <w:lang w:eastAsia="sk-SK"/>
              </w:rPr>
              <w:t>nar</w:t>
            </w:r>
            <w:proofErr w:type="spellEnd"/>
            <w:r>
              <w:rPr>
                <w:rFonts w:ascii="Arial Narrow" w:hAnsi="Arial Narrow"/>
                <w:sz w:val="16"/>
                <w:szCs w:val="16"/>
                <w:lang w:eastAsia="sk-SK"/>
              </w:rPr>
              <w:t>. EP a Rady (ES) č. 1370/2007</w:t>
            </w:r>
          </w:p>
          <w:p>
            <w:pPr>
              <w:spacing w:after="0" w:line="28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 1 ŠC 1.2.2, PO 2 ŠC 2.1.– náhrada za služby vo všeobecnom hosp. záujme</w:t>
            </w:r>
          </w:p>
          <w:p>
            <w:pPr>
              <w:spacing w:after="0" w:line="28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PO 2 ŠC 2.2.3, PO 3 ŠC 3.1, PO 4 ŠC 4.1,  4.3.1,  4.3.2, PO 5 - schéma št. pomoci / schéma pomoci </w:t>
            </w:r>
            <w:proofErr w:type="spellStart"/>
            <w:r>
              <w:rPr>
                <w:rFonts w:ascii="Arial Narrow" w:hAnsi="Arial Narrow"/>
                <w:sz w:val="16"/>
                <w:szCs w:val="16"/>
                <w:lang w:eastAsia="sk-SK"/>
              </w:rPr>
              <w:t>de</w:t>
            </w:r>
            <w:proofErr w:type="spellEnd"/>
            <w:r>
              <w:rPr>
                <w:rFonts w:ascii="Arial Narrow" w:hAnsi="Arial Narrow"/>
                <w:sz w:val="16"/>
                <w:szCs w:val="16"/>
                <w:lang w:eastAsia="sk-SK"/>
              </w:rPr>
              <w:t xml:space="preserve"> </w:t>
            </w:r>
            <w:proofErr w:type="spellStart"/>
            <w:r>
              <w:rPr>
                <w:rFonts w:ascii="Arial Narrow" w:hAnsi="Arial Narrow"/>
                <w:sz w:val="16"/>
                <w:szCs w:val="16"/>
                <w:lang w:eastAsia="sk-SK"/>
              </w:rPr>
              <w:t>minimis</w:t>
            </w:r>
            <w:proofErr w:type="spellEnd"/>
            <w:r>
              <w:rPr>
                <w:rFonts w:ascii="Arial Narrow" w:hAnsi="Arial Narrow"/>
                <w:sz w:val="16"/>
                <w:szCs w:val="16"/>
                <w:lang w:eastAsia="sk-SK"/>
              </w:rPr>
              <w:t>.</w:t>
            </w:r>
          </w:p>
          <w:p>
            <w:pPr>
              <w:spacing w:after="0" w:line="28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Vypracované návrhy schém sa predložia na posúdenie MF SR a ak to bude relevantné, budú následne v zmysle príslušných ustanovení, notifikované EK.</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Kontrolu zavedenia opatrení na dodržiavanie pravidiel kumulácie a povinnosti „</w:t>
            </w:r>
            <w:proofErr w:type="spellStart"/>
            <w:r>
              <w:rPr>
                <w:rFonts w:ascii="Arial Narrow" w:hAnsi="Arial Narrow"/>
                <w:sz w:val="16"/>
                <w:szCs w:val="16"/>
                <w:lang w:eastAsia="sk-SK"/>
              </w:rPr>
              <w:t>Deggendorf</w:t>
            </w:r>
            <w:proofErr w:type="spellEnd"/>
            <w:r>
              <w:rPr>
                <w:rFonts w:ascii="Arial Narrow" w:hAnsi="Arial Narrow"/>
                <w:sz w:val="16"/>
                <w:szCs w:val="16"/>
                <w:lang w:eastAsia="sk-SK"/>
              </w:rPr>
              <w:t>“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Priebežné vzdelávanie sa uskutočňuje aj formou </w:t>
            </w:r>
            <w:proofErr w:type="spellStart"/>
            <w:r>
              <w:rPr>
                <w:rFonts w:ascii="Arial Narrow" w:hAnsi="Arial Narrow"/>
                <w:sz w:val="16"/>
                <w:szCs w:val="16"/>
                <w:lang w:eastAsia="sk-SK"/>
              </w:rPr>
              <w:t>samoštúdia</w:t>
            </w:r>
            <w:proofErr w:type="spellEnd"/>
            <w:r>
              <w:rPr>
                <w:rFonts w:ascii="Arial Narrow" w:hAnsi="Arial Narrow"/>
                <w:sz w:val="16"/>
                <w:szCs w:val="16"/>
                <w:lang w:eastAsia="sk-SK"/>
              </w:rPr>
              <w:t xml:space="preserve"> legislatívy v oblasti št. pomoci.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 xml:space="preserve">6. Právne predpisy v oblasti životného prostredia týkajúce sa </w:t>
            </w:r>
            <w:r>
              <w:rPr>
                <w:rFonts w:ascii="Arial Narrow" w:hAnsi="Arial Narrow"/>
                <w:sz w:val="16"/>
                <w:szCs w:val="16"/>
              </w:rPr>
              <w:lastRenderedPageBreak/>
              <w:t>posudzovania vplyvov na životné prostredie (EIA) a strategického environmentálneho posudzovania (SEA)</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Zákon 24/2006 Z. z. o posudzovaní vplyvov na životné prostredie a o zmene a doplnení niektorých zákonov v znení neskorších predpisov</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Zákon je uverejnený na stránke </w:t>
            </w:r>
            <w:hyperlink r:id="rId52" w:history="1">
              <w:r>
                <w:rPr>
                  <w:rFonts w:ascii="Arial Narrow" w:hAnsi="Arial Narrow"/>
                  <w:sz w:val="16"/>
                  <w:szCs w:val="16"/>
                </w:rPr>
                <w:t>www.jaspi.justice.gov.sk</w:t>
              </w:r>
            </w:hyperlink>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Je zabezpečená koordinácia s ostatnými rezortmi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pPr>
              <w:tabs>
                <w:tab w:val="left" w:pos="459"/>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Dňa 5.12.2013 prebehli technické konzultácie k prvému návrhu paragrafového znenia so zástupcami DG </w:t>
            </w:r>
            <w:proofErr w:type="spellStart"/>
            <w:r>
              <w:rPr>
                <w:rFonts w:ascii="Arial Narrow" w:hAnsi="Arial Narrow"/>
                <w:sz w:val="16"/>
                <w:szCs w:val="16"/>
              </w:rPr>
              <w:t>Environment</w:t>
            </w:r>
            <w:proofErr w:type="spellEnd"/>
            <w:r>
              <w:rPr>
                <w:rFonts w:ascii="Arial Narrow" w:hAnsi="Arial Narrow"/>
                <w:sz w:val="16"/>
                <w:szCs w:val="16"/>
              </w:rPr>
              <w:t>,</w:t>
            </w:r>
          </w:p>
          <w:p>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 dňoch 3.-10.12.2013 prebehlo interné pripomienkové konanie,</w:t>
            </w:r>
          </w:p>
          <w:p>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-Dňa 19.12.2013 bol návrh zákona (paragrafové znenie) predložený na porade vedenia.</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-Dňa 17.1.2014 začalo medzirezortné pripomienkové konanie návrhu zákona, ktorým sa mení zákon č. 24/2006 Z. z. o posudzovaní vplyvov na životné prostredie a o zmene a doplnení niektorých zákonov v znení neskorších predpisov a o zmene a doplnení niektorých zákonov (ďalej len „ zákon o posudzovaní“).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-Dňa 6.2.2014 bolo ukončené MPK.</w:t>
            </w:r>
          </w:p>
          <w:p>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-Dňa 31.03.2014 začína druhé kolo </w:t>
            </w:r>
            <w:proofErr w:type="spellStart"/>
            <w:r>
              <w:rPr>
                <w:rFonts w:ascii="Arial Narrow" w:hAnsi="Arial Narrow"/>
                <w:sz w:val="16"/>
                <w:szCs w:val="16"/>
              </w:rPr>
              <w:t>rozporových</w:t>
            </w:r>
            <w:proofErr w:type="spellEnd"/>
            <w:r>
              <w:rPr>
                <w:rFonts w:ascii="Arial Narrow" w:hAnsi="Arial Narrow"/>
                <w:sz w:val="16"/>
                <w:szCs w:val="16"/>
              </w:rPr>
              <w:t xml:space="preserve"> konaní k novele zákona o posudzovaní</w:t>
            </w:r>
          </w:p>
        </w:tc>
      </w:tr>
      <w:tr>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w:t>
            </w:r>
          </w:p>
        </w:tc>
        <w:tc>
          <w:tcPr>
            <w:tcW w:w="2150"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t>
            </w:r>
            <w:proofErr w:type="spellStart"/>
            <w:r>
              <w:rPr>
                <w:rFonts w:ascii="Arial Narrow" w:hAnsi="Arial Narrow"/>
                <w:sz w:val="16"/>
                <w:szCs w:val="16"/>
              </w:rPr>
              <w:t>workshopov</w:t>
            </w:r>
            <w:proofErr w:type="spellEnd"/>
            <w:r>
              <w:rPr>
                <w:rFonts w:ascii="Arial Narrow" w:hAnsi="Arial Narrow"/>
                <w:sz w:val="16"/>
                <w:szCs w:val="16"/>
              </w:rPr>
              <w:t xml:space="preserve">, seminárov a konferencií.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nadväznosti na procedúru </w:t>
            </w:r>
            <w:proofErr w:type="spellStart"/>
            <w:r>
              <w:rPr>
                <w:rFonts w:ascii="Arial Narrow" w:hAnsi="Arial Narrow"/>
                <w:sz w:val="16"/>
                <w:szCs w:val="16"/>
              </w:rPr>
              <w:t>infringementu</w:t>
            </w:r>
            <w:proofErr w:type="spellEnd"/>
            <w:r>
              <w:rPr>
                <w:rFonts w:ascii="Arial Narrow" w:hAnsi="Arial Narrow"/>
                <w:sz w:val="16"/>
                <w:szCs w:val="16"/>
              </w:rPr>
              <w:t xml:space="preserve"> vo veci transpozičného deficitu bude potrebné vykonať aktualizáciu Stratégie školení.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Z plánovaných aktivít sa zrealizovali: </w:t>
            </w:r>
            <w:proofErr w:type="spellStart"/>
            <w:r>
              <w:rPr>
                <w:rFonts w:ascii="Arial Narrow" w:hAnsi="Arial Narrow"/>
                <w:sz w:val="16"/>
                <w:szCs w:val="16"/>
              </w:rPr>
              <w:t>workshop</w:t>
            </w:r>
            <w:proofErr w:type="spellEnd"/>
            <w:r>
              <w:rPr>
                <w:rFonts w:ascii="Arial Narrow" w:hAnsi="Arial Narrow"/>
                <w:sz w:val="16"/>
                <w:szCs w:val="16"/>
              </w:rPr>
              <w:t xml:space="preserve"> v spolupráci s MDVRR SR zameraný na zmeny v projektoch, školenie zamestnancov okresných úradov všetkých krajov, záverečná konferencia projektu </w:t>
            </w:r>
            <w:proofErr w:type="spellStart"/>
            <w:r>
              <w:rPr>
                <w:rFonts w:ascii="Arial Narrow" w:hAnsi="Arial Narrow"/>
                <w:sz w:val="16"/>
                <w:szCs w:val="16"/>
              </w:rPr>
              <w:t>e-MAT</w:t>
            </w:r>
            <w:proofErr w:type="spellEnd"/>
            <w:r>
              <w:rPr>
                <w:rFonts w:ascii="Arial Narrow" w:hAnsi="Arial Narrow"/>
                <w:sz w:val="16"/>
                <w:szCs w:val="16"/>
              </w:rPr>
              <w:t>, školenie fyzických a právnických osôb pre získanie a preverenie znalostí za účelom získania odbornej spôsobilosti v oblasti posudzovania vplyvov na životné prostredie.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Odbor environmentálneho posudzovania zabezpečuje metodické usmernenie. </w:t>
            </w:r>
          </w:p>
        </w:tc>
      </w:tr>
      <w:tr>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pPr>
              <w:spacing w:after="0" w:line="240" w:lineRule="auto"/>
              <w:jc w:val="both"/>
              <w:rPr>
                <w:rFonts w:ascii="Arial Narrow" w:eastAsia="Trebuchet MS" w:hAnsi="Arial Narrow"/>
                <w:b w:val="0"/>
                <w:bCs w:val="0"/>
                <w:sz w:val="16"/>
                <w:szCs w:val="16"/>
              </w:rPr>
            </w:pPr>
          </w:p>
        </w:tc>
        <w:tc>
          <w:tcPr>
            <w:tcW w:w="771" w:type="dxa"/>
            <w:vAlign w:val="center"/>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Záver Analýzy poukazuje na skutočnosť, že súčasný stav administratívnych kapacít v oblasti posudzovania vplyvov na životné prostredie je dostatočný.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Gestor zváži potrebu </w:t>
            </w:r>
            <w:proofErr w:type="spellStart"/>
            <w:r>
              <w:rPr>
                <w:rFonts w:ascii="Arial Narrow" w:hAnsi="Arial Narrow"/>
                <w:sz w:val="16"/>
                <w:szCs w:val="16"/>
              </w:rPr>
              <w:t>reambulácie</w:t>
            </w:r>
            <w:proofErr w:type="spellEnd"/>
            <w:r>
              <w:rPr>
                <w:rFonts w:ascii="Arial Narrow" w:hAnsi="Arial Narrow"/>
                <w:sz w:val="16"/>
                <w:szCs w:val="16"/>
              </w:rPr>
              <w:t xml:space="preserve"> na základe pripomienok vznesených k návrhu legislatívnych úprav</w:t>
            </w: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t>7. Štatistické systémy a ukazovatele výsledkov</w:t>
            </w:r>
          </w:p>
          <w:p>
            <w:pPr>
              <w:spacing w:after="0" w:line="240" w:lineRule="auto"/>
              <w:jc w:val="both"/>
              <w:rPr>
                <w:rFonts w:ascii="Arial Narrow" w:eastAsia="Trebuchet MS" w:hAnsi="Arial Narrow"/>
                <w:b w:val="0"/>
                <w:bCs w:val="0"/>
                <w:sz w:val="16"/>
                <w:szCs w:val="16"/>
              </w:rPr>
            </w:pPr>
            <w:r>
              <w:rPr>
                <w:rFonts w:ascii="Arial Narrow" w:hAnsi="Arial Narrow"/>
                <w:sz w:val="16"/>
                <w:szCs w:val="16"/>
              </w:rPr>
              <w:t xml:space="preserve">Existencia štatistického základu potrebného na </w:t>
            </w:r>
            <w:r>
              <w:rPr>
                <w:rFonts w:ascii="Arial Narrow" w:hAnsi="Arial Narrow"/>
                <w:sz w:val="16"/>
                <w:szCs w:val="16"/>
              </w:rPr>
              <w:lastRenderedPageBreak/>
              <w:t>uskutočnenie hodnotení pre posúdenie účinnosti a vplyvu programov.</w:t>
            </w:r>
          </w:p>
          <w:p>
            <w:pPr>
              <w:spacing w:after="0" w:line="240" w:lineRule="auto"/>
              <w:jc w:val="both"/>
              <w:rPr>
                <w:rFonts w:ascii="Arial Narrow" w:eastAsia="Trebuchet MS" w:hAnsi="Arial Narrow"/>
                <w:b w:val="0"/>
                <w:bCs w:val="0"/>
                <w:sz w:val="16"/>
                <w:szCs w:val="16"/>
              </w:rPr>
            </w:pP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Zavedené sú opatrenia na zabezpečenie včasného zhromaždenia a konsolidácie štatistických údajov s týmito prvkami: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identifikácia zdrojov a mechanizmov na zaručenie validácie štatistických údajov,</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opatrenia na uverejnenie </w:t>
            </w:r>
            <w:r>
              <w:rPr>
                <w:rFonts w:ascii="Arial Narrow" w:hAnsi="Arial Narrow"/>
                <w:sz w:val="16"/>
                <w:szCs w:val="16"/>
              </w:rPr>
              <w:lastRenderedPageBreak/>
              <w:t>konsolidovaných údajov a ich sprístupnenie verejnosti.</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p>
        </w:tc>
        <w:tc>
          <w:tcPr>
            <w:tcW w:w="2150"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Opis systémov monitorovania a hodnotenia obsahuje:</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Účinný systém ukazovateľov výsledkov vrátane:</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výberu ukazovateľov výsledkov pre každý program poskytujúcich informácie o tom, čo motivuje výber politických opatrení financovaných programom,</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stanovenia cieľov týchto ukazovateľov,</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noProof/>
                <w:sz w:val="16"/>
                <w:szCs w:val="16"/>
              </w:rPr>
            </w:pPr>
            <w:r>
              <w:rPr>
                <w:rFonts w:ascii="Arial Narrow" w:hAnsi="Arial Narrow"/>
                <w:sz w:val="16"/>
                <w:szCs w:val="16"/>
              </w:rPr>
              <w:t>Áno (čiastočne)</w:t>
            </w:r>
          </w:p>
        </w:tc>
        <w:tc>
          <w:tcPr>
            <w:tcW w:w="2150"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noProof/>
                <w:sz w:val="16"/>
                <w:szCs w:val="16"/>
                <w:u w:val="single"/>
              </w:rPr>
            </w:pPr>
            <w:r>
              <w:rPr>
                <w:rFonts w:ascii="Arial Narrow" w:hAnsi="Arial Narrow"/>
                <w:sz w:val="16"/>
                <w:szCs w:val="16"/>
              </w:rPr>
              <w:t xml:space="preserve">Súčasťou opisu systémov monitorovania a hodnotenia pre IROP, ktoré MPRV SR (RO pre IROP) vypracovalo v  zmysle  </w:t>
            </w:r>
            <w:r>
              <w:rPr>
                <w:rFonts w:ascii="Arial Narrow" w:hAnsi="Arial Narrow"/>
                <w:iCs/>
                <w:sz w:val="16"/>
                <w:szCs w:val="16"/>
              </w:rPr>
              <w:t>návrhu Usmernenia CKO k tvorbe merateľných ukazovateľov na programovej a projektovej úrovni</w:t>
            </w:r>
            <w:r>
              <w:rPr>
                <w:rFonts w:ascii="Arial Narrow" w:hAnsi="Arial Narrow"/>
                <w:sz w:val="16"/>
                <w:szCs w:val="16"/>
              </w:rPr>
              <w:t xml:space="preserve"> sú ukazovatele výsledku.</w:t>
            </w:r>
          </w:p>
        </w:tc>
        <w:tc>
          <w:tcPr>
            <w:tcW w:w="4678"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MPRV SR (RO pre IROP) definovalo v rámci návrhu IROP merateľné ukazovatele výsledku.     </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pPr>
              <w:spacing w:after="0" w:line="240" w:lineRule="auto"/>
              <w:jc w:val="both"/>
              <w:rPr>
                <w:rFonts w:ascii="Arial Narrow" w:eastAsia="Trebuchet MS" w:hAnsi="Arial Narrow"/>
                <w:b w:val="0"/>
                <w:bCs w:val="0"/>
                <w:sz w:val="16"/>
                <w:szCs w:val="16"/>
              </w:rPr>
            </w:pPr>
          </w:p>
        </w:tc>
        <w:tc>
          <w:tcPr>
            <w:tcW w:w="77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 schválení ukazovateľov v IROP sa RO pre IROP sústrední na tvorbu číselníka merateľných ukazovateľov na projektovej úrovni zohľadňujúc potreby definované v RIUS.</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w:t>
            </w:r>
            <w:proofErr w:type="spellStart"/>
            <w:r>
              <w:rPr>
                <w:rFonts w:ascii="Arial Narrow" w:hAnsi="Arial Narrow"/>
                <w:sz w:val="16"/>
                <w:szCs w:val="16"/>
              </w:rPr>
              <w:t>agregácie</w:t>
            </w:r>
            <w:proofErr w:type="spellEnd"/>
            <w:r>
              <w:rPr>
                <w:rFonts w:ascii="Arial Narrow" w:hAnsi="Arial Narrow"/>
                <w:sz w:val="16"/>
                <w:szCs w:val="16"/>
              </w:rPr>
              <w:t xml:space="preserve"> na programovú úroveň, ich previazanosti s aktivitami operačného programu, RIUS, zabezpečenia </w:t>
            </w:r>
            <w:proofErr w:type="spellStart"/>
            <w:r>
              <w:rPr>
                <w:rFonts w:ascii="Arial Narrow" w:hAnsi="Arial Narrow"/>
                <w:sz w:val="16"/>
                <w:szCs w:val="16"/>
              </w:rPr>
              <w:t>validity</w:t>
            </w:r>
            <w:proofErr w:type="spellEnd"/>
            <w:r>
              <w:rPr>
                <w:rFonts w:ascii="Arial Narrow" w:hAnsi="Arial Narrow"/>
                <w:sz w:val="16"/>
                <w:szCs w:val="16"/>
              </w:rPr>
              <w:t xml:space="preserve"> ich overovania, </w:t>
            </w:r>
            <w:proofErr w:type="spellStart"/>
            <w:r>
              <w:rPr>
                <w:rFonts w:ascii="Arial Narrow" w:hAnsi="Arial Narrow"/>
                <w:sz w:val="16"/>
                <w:szCs w:val="16"/>
              </w:rPr>
              <w:t>agregovateľnosti</w:t>
            </w:r>
            <w:proofErr w:type="spellEnd"/>
            <w:r>
              <w:rPr>
                <w:rFonts w:ascii="Arial Narrow" w:hAnsi="Arial Narrow"/>
                <w:sz w:val="16"/>
                <w:szCs w:val="16"/>
              </w:rPr>
              <w:t xml:space="preserve"> na úroveň programu.   </w:t>
            </w:r>
          </w:p>
        </w:tc>
      </w:tr>
    </w:tbl>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p>
      <w:pPr>
        <w:pStyle w:val="Nadpis2"/>
        <w:spacing w:after="240"/>
        <w:rPr>
          <w:rFonts w:ascii="Arial" w:hAnsi="Arial" w:cs="Arial"/>
        </w:rPr>
      </w:pPr>
      <w:bookmarkStart w:id="165" w:name="_Toc387651897"/>
      <w:r>
        <w:rPr>
          <w:rFonts w:ascii="Arial" w:hAnsi="Arial" w:cs="Arial"/>
        </w:rPr>
        <w:lastRenderedPageBreak/>
        <w:t xml:space="preserve">9.2 Opis opatrení na splnenie ex </w:t>
      </w:r>
      <w:proofErr w:type="spellStart"/>
      <w:r>
        <w:rPr>
          <w:rFonts w:ascii="Arial" w:hAnsi="Arial" w:cs="Arial"/>
        </w:rPr>
        <w:t>ante</w:t>
      </w:r>
      <w:proofErr w:type="spellEnd"/>
      <w:r>
        <w:rPr>
          <w:rFonts w:ascii="Arial" w:hAnsi="Arial" w:cs="Arial"/>
        </w:rPr>
        <w:t xml:space="preserve"> </w:t>
      </w:r>
      <w:proofErr w:type="spellStart"/>
      <w:r>
        <w:rPr>
          <w:rFonts w:ascii="Arial" w:hAnsi="Arial" w:cs="Arial"/>
        </w:rPr>
        <w:t>kondicionalít</w:t>
      </w:r>
      <w:proofErr w:type="spellEnd"/>
      <w:r>
        <w:rPr>
          <w:rFonts w:ascii="Arial" w:hAnsi="Arial" w:cs="Arial"/>
        </w:rPr>
        <w:t>, zodpovedné orgány a časový plán týchto opatrení</w:t>
      </w:r>
      <w:bookmarkEnd w:id="165"/>
    </w:p>
    <w:p>
      <w:pPr>
        <w:rPr>
          <w:rStyle w:val="Zvraznenie"/>
          <w:rFonts w:ascii="Arial" w:hAnsi="Arial" w:cs="Arial"/>
        </w:rPr>
      </w:pPr>
      <w:r>
        <w:rPr>
          <w:rStyle w:val="Siln"/>
          <w:rFonts w:ascii="Arial" w:hAnsi="Arial" w:cs="Arial"/>
        </w:rPr>
        <w:t xml:space="preserve">Tabuľka č. 52 </w:t>
      </w:r>
      <w:r>
        <w:rPr>
          <w:rStyle w:val="Zvraznenie"/>
          <w:rFonts w:ascii="Arial" w:hAnsi="Arial" w:cs="Arial"/>
        </w:rPr>
        <w:t xml:space="preserve">Opatrenia na splnenie aplikovateľných všeobecných ex </w:t>
      </w:r>
      <w:proofErr w:type="spellStart"/>
      <w:r>
        <w:rPr>
          <w:rStyle w:val="Zvraznenie"/>
          <w:rFonts w:ascii="Arial" w:hAnsi="Arial" w:cs="Arial"/>
        </w:rPr>
        <w:t>ante</w:t>
      </w:r>
      <w:proofErr w:type="spellEnd"/>
      <w:r>
        <w:rPr>
          <w:rStyle w:val="Zvraznenie"/>
          <w:rFonts w:ascii="Arial" w:hAnsi="Arial" w:cs="Arial"/>
        </w:rPr>
        <w:t xml:space="preserve"> </w:t>
      </w:r>
      <w:proofErr w:type="spellStart"/>
      <w:r>
        <w:rPr>
          <w:rStyle w:val="Zvraznenie"/>
          <w:rFonts w:ascii="Arial" w:hAnsi="Arial" w:cs="Arial"/>
        </w:rPr>
        <w:t>kondicionalít</w:t>
      </w:r>
      <w:proofErr w:type="spellEnd"/>
    </w:p>
    <w:tbl>
      <w:tblPr>
        <w:tblStyle w:val="Svetlmriekazvraznenie111"/>
        <w:tblW w:w="0" w:type="auto"/>
        <w:tblLook w:val="04A0" w:firstRow="1" w:lastRow="0" w:firstColumn="1" w:lastColumn="0" w:noHBand="0" w:noVBand="1"/>
      </w:tblPr>
      <w:tblGrid>
        <w:gridCol w:w="3510"/>
        <w:gridCol w:w="3119"/>
        <w:gridCol w:w="4252"/>
        <w:gridCol w:w="1382"/>
        <w:gridCol w:w="160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 xml:space="preserve">Aplikovateľné tematické </w:t>
            </w:r>
            <w:proofErr w:type="spellStart"/>
            <w:r>
              <w:rPr>
                <w:rFonts w:ascii="Arial Narrow" w:hAnsi="Arial Narrow" w:cs="Arial"/>
                <w:sz w:val="16"/>
                <w:szCs w:val="16"/>
              </w:rPr>
              <w:t>ex-ante</w:t>
            </w:r>
            <w:proofErr w:type="spellEnd"/>
            <w:r>
              <w:rPr>
                <w:rFonts w:ascii="Arial Narrow" w:hAnsi="Arial Narrow" w:cs="Arial"/>
                <w:sz w:val="16"/>
                <w:szCs w:val="16"/>
              </w:rPr>
              <w:t xml:space="preserve"> </w:t>
            </w:r>
            <w:proofErr w:type="spellStart"/>
            <w:r>
              <w:rPr>
                <w:rFonts w:ascii="Arial Narrow" w:hAnsi="Arial Narrow" w:cs="Arial"/>
                <w:sz w:val="16"/>
                <w:szCs w:val="16"/>
              </w:rPr>
              <w:t>kondicionality</w:t>
            </w:r>
            <w:proofErr w:type="spellEnd"/>
            <w:r>
              <w:rPr>
                <w:rFonts w:ascii="Arial Narrow" w:hAnsi="Arial Narrow" w:cs="Arial"/>
                <w:sz w:val="16"/>
                <w:szCs w:val="16"/>
              </w:rPr>
              <w:t>, ktoré sú nesplnené alebo čiastočne splnené</w:t>
            </w:r>
          </w:p>
        </w:tc>
        <w:tc>
          <w:tcPr>
            <w:tcW w:w="3119"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4252"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1382"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 xml:space="preserve">vanie  práva </w:t>
            </w:r>
            <w:proofErr w:type="spellStart"/>
            <w:r>
              <w:rPr>
                <w:rFonts w:ascii="Arial Narrow" w:hAnsi="Arial Narrow"/>
                <w:sz w:val="16"/>
                <w:szCs w:val="16"/>
                <w:lang w:eastAsia="cs-CZ"/>
              </w:rPr>
              <w:t>Únie</w:t>
            </w:r>
            <w:proofErr w:type="spellEnd"/>
            <w:r>
              <w:rPr>
                <w:rFonts w:ascii="Arial Narrow" w:hAnsi="Arial Narrow"/>
                <w:sz w:val="16"/>
                <w:szCs w:val="16"/>
                <w:lang w:eastAsia="cs-CZ"/>
              </w:rPr>
              <w:t xml:space="preserv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pStyle w:val="Style31"/>
              <w:widowControl/>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Navýšenie administratívnych kapacít u koordinátora oboch </w:t>
            </w:r>
            <w:r>
              <w:rPr>
                <w:rFonts w:ascii="Arial Narrow" w:hAnsi="Arial Narrow"/>
                <w:sz w:val="16"/>
                <w:szCs w:val="16"/>
                <w:lang w:eastAsia="cs-CZ"/>
              </w:rPr>
              <w:t>horizontálnych princípov, odboru rodovej rovnosti a rovnosti príležitostí MPSVR SR. Bude vytvorený samostatný subjekt koordinácie horizontálnych princípov, v ktorom predpokladáme 7 pracovných miest plus 1 asistenta/ku. Všetky miesta v rámci subjektu budú refundované v rámci OP Technická pomoc. Novo vytvorené miesta budú zamerané na metodické vedenie, analytickú, strategickú, legislatívnu a vzdelávaciu činnosť súvisiacu s implementáciou, monitorovaním a kontrolou oboch horizontálnych princípov vychádzajúc z nového Návrhu Systému riadenia a kontroly pre PO 2014 – 2020.</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1. polrok 2014</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601" w:type="dxa"/>
            <w:shd w:val="clear" w:color="auto" w:fill="auto"/>
          </w:tcPr>
          <w:p>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 CKO</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jc w:val="both"/>
              <w:rPr>
                <w:rFonts w:ascii="Arial Narrow" w:eastAsia="Trebuchet MS"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25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Vypracovanie stratégie školenia a informovania zamestnancov/</w:t>
            </w:r>
            <w:proofErr w:type="spellStart"/>
            <w:r>
              <w:rPr>
                <w:rFonts w:ascii="Arial Narrow" w:hAnsi="Arial Narrow"/>
                <w:sz w:val="16"/>
                <w:szCs w:val="16"/>
                <w:lang w:eastAsia="cs-CZ"/>
              </w:rPr>
              <w:t>kýň</w:t>
            </w:r>
            <w:proofErr w:type="spellEnd"/>
            <w:r>
              <w:rPr>
                <w:rFonts w:ascii="Arial Narrow" w:hAnsi="Arial Narrow"/>
                <w:sz w:val="16"/>
                <w:szCs w:val="16"/>
                <w:lang w:eastAsia="cs-CZ"/>
              </w:rPr>
              <w:t xml:space="preserve"> zapojených do využívania fondov a následné podanie projektu z OPTP na finančné zabezpečenie školení. </w:t>
            </w:r>
          </w:p>
        </w:tc>
        <w:tc>
          <w:tcPr>
            <w:tcW w:w="1382"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máj 2014</w:t>
            </w:r>
          </w:p>
        </w:tc>
        <w:tc>
          <w:tcPr>
            <w:tcW w:w="16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 CKO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Navýšenie administratívnych kapacít u koordinátora oboch horizontálnych princípov, odboru rodovej rovnosti a rovnosti príležitostí MPSVR SR. Bude vytvorený samostatný subjekt koordinácie horizontálnych princípov, v ktorom predpokladáme 7 pracovných miest plus 1 asistenta/ku. Všetky miesta budú refundované v rámci OP Technická pomoc a budú zamerané na metodické vedenie, analytickú, strategickú, legislatívnu a vzdelávaciu činnosť súvisiacu s implementáciou, ale aj na monitorovanie a kontrolu oboch horizontálnych princípov vychádzajúc z nového Návrhu Systému riadenia a kontroly pre PO 2014 – 2020.Nová Stratégia rodovej rovnosti na roky 2014 - 2020 (aktuálna v októbri 2014) sa pripravuje na základe vyhodnotenia súčasnej Národnej stratégia rodovej rovnosti na roky 2009 – 2013.</w:t>
            </w:r>
          </w:p>
        </w:tc>
        <w:tc>
          <w:tcPr>
            <w:tcW w:w="1382" w:type="dxa"/>
            <w:shd w:val="clear" w:color="auto" w:fill="auto"/>
          </w:tcPr>
          <w:p>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rPr>
              <w:t>1. polrok 2014</w:t>
            </w:r>
            <w:r>
              <w:rPr>
                <w:rFonts w:ascii="Arial Narrow" w:hAnsi="Arial Narrow"/>
                <w:sz w:val="16"/>
                <w:szCs w:val="16"/>
                <w:lang w:eastAsia="cs-CZ"/>
              </w:rPr>
              <w:t xml:space="preserve">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 CKO</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jc w:val="both"/>
              <w:rPr>
                <w:rFonts w:ascii="Arial Narrow" w:eastAsia="Trebuchet MS"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25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Vypracovanie stratégie školenia a informovania zamestnancov/</w:t>
            </w:r>
            <w:proofErr w:type="spellStart"/>
            <w:r>
              <w:rPr>
                <w:rFonts w:ascii="Arial Narrow" w:hAnsi="Arial Narrow"/>
                <w:sz w:val="16"/>
                <w:szCs w:val="16"/>
                <w:lang w:eastAsia="cs-CZ"/>
              </w:rPr>
              <w:t>kýň</w:t>
            </w:r>
            <w:proofErr w:type="spellEnd"/>
            <w:r>
              <w:rPr>
                <w:rFonts w:ascii="Arial Narrow" w:hAnsi="Arial Narrow"/>
                <w:sz w:val="16"/>
                <w:szCs w:val="16"/>
                <w:lang w:eastAsia="cs-CZ"/>
              </w:rPr>
              <w:t xml:space="preserve"> zapojených do využívania fondov a následné podanie projektu z OPTP na finančné zabezpečenie školení; predpokladaný termín do 15.02.2014</w:t>
            </w:r>
          </w:p>
        </w:tc>
        <w:tc>
          <w:tcPr>
            <w:tcW w:w="1382"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 xml:space="preserve">máj 2014 </w:t>
            </w:r>
          </w:p>
        </w:tc>
        <w:tc>
          <w:tcPr>
            <w:tcW w:w="16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 CKO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vAlign w:val="center"/>
          </w:tcPr>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252" w:type="dxa"/>
            <w:shd w:val="clear" w:color="auto" w:fill="auto"/>
          </w:tcPr>
          <w:p>
            <w:pPr>
              <w:tabs>
                <w:tab w:val="left" w:pos="2302"/>
              </w:tabs>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Navýšenie administratívnych kapacít odboru rodovej rovnosti a rovnosti príležitostí MPSVR SR o 4 pracovníkov ako aj odboru integrácie osôb so zdravotným postihnutím o 4 pracovníkov, ktoré plní úlohy Hlavného kontaktného miesta pre vykonávanie dohovoru OSN o právach osôb so zdravotným postihnutím. Novo vytvorené miesta budú zamerané na metodické vedenie, analytickú, strategickú, legislatívnu a vzdelávaciu činnosť súvisiacu s implementáciou horizontálnych princípov v EŠIF. Ich náplň práce </w:t>
            </w:r>
            <w:r>
              <w:rPr>
                <w:rFonts w:ascii="Arial Narrow" w:hAnsi="Arial Narrow"/>
                <w:sz w:val="16"/>
                <w:szCs w:val="16"/>
                <w:lang w:eastAsia="cs-CZ"/>
              </w:rPr>
              <w:lastRenderedPageBreak/>
              <w:t xml:space="preserve">bude zameraná na aktivity súvisiace s povinnosťami každého subjektu fondov so zameraním na tematickú </w:t>
            </w:r>
            <w:proofErr w:type="spellStart"/>
            <w:r>
              <w:rPr>
                <w:rFonts w:ascii="Arial Narrow" w:hAnsi="Arial Narrow"/>
                <w:sz w:val="16"/>
                <w:szCs w:val="16"/>
                <w:lang w:eastAsia="cs-CZ"/>
              </w:rPr>
              <w:t>prierezovosť</w:t>
            </w:r>
            <w:proofErr w:type="spellEnd"/>
            <w:r>
              <w:rPr>
                <w:rFonts w:ascii="Arial Narrow" w:hAnsi="Arial Narrow"/>
                <w:sz w:val="16"/>
                <w:szCs w:val="16"/>
                <w:lang w:eastAsia="cs-CZ"/>
              </w:rPr>
              <w:t xml:space="preserve"> horizontálnych princípov. </w:t>
            </w:r>
            <w:proofErr w:type="spellStart"/>
            <w:r>
              <w:rPr>
                <w:rFonts w:ascii="Arial Narrow" w:hAnsi="Arial Narrow"/>
                <w:sz w:val="16"/>
                <w:szCs w:val="16"/>
                <w:lang w:eastAsia="cs-CZ"/>
              </w:rPr>
              <w:t>Prierezovosť</w:t>
            </w:r>
            <w:proofErr w:type="spellEnd"/>
            <w:r>
              <w:rPr>
                <w:rFonts w:ascii="Arial Narrow" w:hAnsi="Arial Narrow"/>
                <w:sz w:val="16"/>
                <w:szCs w:val="16"/>
                <w:lang w:eastAsia="cs-CZ"/>
              </w:rPr>
              <w:t xml:space="preserve">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1. polrok 2014</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jc w:val="both"/>
              <w:rPr>
                <w:rFonts w:ascii="Arial Narrow" w:eastAsia="Trebuchet MS" w:hAnsi="Arial Narrow" w:cs="Arial"/>
                <w:b w:val="0"/>
                <w:bCs w:val="0"/>
                <w:sz w:val="16"/>
                <w:szCs w:val="16"/>
              </w:rPr>
            </w:pP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25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Vypracovanie stratégie a systému zvyšovania povedomia pre zamestnancov/</w:t>
            </w:r>
            <w:proofErr w:type="spellStart"/>
            <w:r>
              <w:rPr>
                <w:rFonts w:ascii="Arial Narrow" w:hAnsi="Arial Narrow"/>
                <w:bCs/>
                <w:spacing w:val="-3"/>
                <w:sz w:val="16"/>
                <w:szCs w:val="16"/>
                <w:lang w:eastAsia="fr-FR"/>
              </w:rPr>
              <w:t>kýne</w:t>
            </w:r>
            <w:proofErr w:type="spellEnd"/>
            <w:r>
              <w:rPr>
                <w:rFonts w:ascii="Arial Narrow" w:hAnsi="Arial Narrow"/>
                <w:bCs/>
                <w:spacing w:val="-3"/>
                <w:sz w:val="16"/>
                <w:szCs w:val="16"/>
                <w:lang w:eastAsia="fr-FR"/>
              </w:rPr>
              <w:t xml:space="preserve"> zapojených do využívania fondov </w:t>
            </w:r>
          </w:p>
        </w:tc>
        <w:tc>
          <w:tcPr>
            <w:tcW w:w="1382"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 polrok 2014</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pPr>
              <w:spacing w:after="0" w:line="240" w:lineRule="auto"/>
              <w:jc w:val="both"/>
              <w:rPr>
                <w:rFonts w:ascii="Arial Narrow" w:eastAsia="Trebuchet MS" w:hAnsi="Arial Narrow" w:cs="Arial"/>
                <w:b w:val="0"/>
                <w:bCs w:val="0"/>
                <w:sz w:val="16"/>
                <w:szCs w:val="16"/>
              </w:rPr>
            </w:pPr>
          </w:p>
        </w:tc>
        <w:tc>
          <w:tcPr>
            <w:tcW w:w="3119"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Vypracovanie stratégie školenia a informovania zamestnancov zapojených do využívania fondov a následné podanie projektu z OP Technická pomoci  na finančné zabezpečenie školení. Školenia sa budú týkať spôsobu hodnotenia, procesu implementácie, monitorovania, kontroly.</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Indikátory v oblasti osôb so zdravotným postihnutím (</w:t>
            </w:r>
            <w:proofErr w:type="spellStart"/>
            <w:r>
              <w:rPr>
                <w:rFonts w:ascii="Arial Narrow" w:hAnsi="Arial Narrow"/>
                <w:bCs/>
                <w:spacing w:val="-3"/>
                <w:sz w:val="16"/>
                <w:szCs w:val="16"/>
                <w:lang w:eastAsia="fr-FR"/>
              </w:rPr>
              <w:t>assessment</w:t>
            </w:r>
            <w:proofErr w:type="spellEnd"/>
            <w:r>
              <w:rPr>
                <w:rFonts w:ascii="Arial Narrow" w:hAnsi="Arial Narrow"/>
                <w:bCs/>
                <w:spacing w:val="-3"/>
                <w:sz w:val="16"/>
                <w:szCs w:val="16"/>
                <w:lang w:eastAsia="fr-FR"/>
              </w:rPr>
              <w:t xml:space="preserve"> </w:t>
            </w:r>
            <w:proofErr w:type="spellStart"/>
            <w:r>
              <w:rPr>
                <w:rFonts w:ascii="Arial Narrow" w:hAnsi="Arial Narrow"/>
                <w:bCs/>
                <w:spacing w:val="-3"/>
                <w:sz w:val="16"/>
                <w:szCs w:val="16"/>
                <w:lang w:eastAsia="fr-FR"/>
              </w:rPr>
              <w:t>grid</w:t>
            </w:r>
            <w:proofErr w:type="spellEnd"/>
            <w:r>
              <w:rPr>
                <w:rFonts w:ascii="Arial Narrow" w:hAnsi="Arial Narrow"/>
                <w:bCs/>
                <w:spacing w:val="-3"/>
                <w:sz w:val="16"/>
                <w:szCs w:val="16"/>
                <w:lang w:eastAsia="fr-FR"/>
              </w:rPr>
              <w:t>) bude súčasťou monitorovacej správy.</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15.03.2014</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2. polrok 2014</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3119"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4252" w:type="dxa"/>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lang w:eastAsia="sk-SK"/>
              </w:rPr>
              <w:t>Aktualizácia dokumentu „</w:t>
            </w:r>
            <w:r>
              <w:rPr>
                <w:rFonts w:ascii="Arial Narrow" w:hAnsi="Arial Narrow"/>
                <w:sz w:val="16"/>
                <w:szCs w:val="16"/>
                <w:lang w:eastAsia="sk-SK"/>
              </w:rPr>
              <w:t>Analýza zhodnotenia dostatočnosti administratívnych kapacít  pre oblasť štátnej pomoci pre programové obdobie 2014-2020“ a z nej vyplývajúce o</w:t>
            </w:r>
            <w:r>
              <w:rPr>
                <w:rFonts w:ascii="Arial Narrow" w:hAnsi="Arial Narrow" w:cs="Arial"/>
                <w:bCs/>
                <w:sz w:val="16"/>
                <w:szCs w:val="16"/>
                <w:lang w:eastAsia="sk-SK"/>
              </w:rPr>
              <w:t>bsadenie voľných pracovných miest, resp. zabezpečenie ďalších potrebných administratívnych kapacít pre oblasť št. pomoci.</w:t>
            </w:r>
          </w:p>
        </w:tc>
        <w:tc>
          <w:tcPr>
            <w:tcW w:w="1382"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30.9.2014</w:t>
            </w:r>
          </w:p>
        </w:tc>
        <w:tc>
          <w:tcPr>
            <w:tcW w:w="160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shd w:val="clear" w:color="auto" w:fill="auto"/>
          </w:tcPr>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 xml:space="preserve">Existencia pravidiel na efektívne uplatňovanie </w:t>
            </w:r>
            <w:r>
              <w:rPr>
                <w:rFonts w:ascii="Arial Narrow" w:hAnsi="Arial Narrow"/>
                <w:sz w:val="16"/>
                <w:szCs w:val="16"/>
                <w:lang w:eastAsia="cs-CZ"/>
              </w:rPr>
              <w:lastRenderedPageBreak/>
              <w:t>právnych predpisov Únie v oblasti životného prostredia týkajúcich sa EIA a SEA.</w:t>
            </w:r>
          </w:p>
        </w:tc>
        <w:tc>
          <w:tcPr>
            <w:tcW w:w="3119" w:type="dxa"/>
            <w:vMerge w:val="restart"/>
            <w:shd w:val="clear" w:color="auto" w:fill="auto"/>
            <w:vAlign w:val="cente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lastRenderedPageBreak/>
              <w:t>Opatrenia na zabezpečenie účinného uplatňovania smernice Európskeho parlamentu a Rady 2011/92/EÚ (EIA) a smernice Európskeho parlamentu a Rady 2001/42/ES (SEA).</w:t>
            </w: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pPr>
              <w:numPr>
                <w:ilvl w:val="0"/>
                <w:numId w:val="6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 xml:space="preserve">písomná forma pre príslušné orgány štátnej správy v oblasti posudzovania vplyvov na životné prostredie </w:t>
            </w:r>
            <w:r>
              <w:rPr>
                <w:rFonts w:ascii="Arial Narrow" w:hAnsi="Arial Narrow"/>
                <w:sz w:val="16"/>
                <w:szCs w:val="16"/>
              </w:rPr>
              <w:lastRenderedPageBreak/>
              <w:t>obsahujúca správne a dôsledné využívanie výberových kritérií pre zisťovacie konanie (príloha III. smernice EIA, ktorá je premietnutá v prílohe č. 10 zákona EIA),</w:t>
            </w:r>
          </w:p>
          <w:p>
            <w:pPr>
              <w:numPr>
                <w:ilvl w:val="0"/>
                <w:numId w:val="6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w:t>
            </w:r>
            <w:proofErr w:type="spellStart"/>
            <w:r>
              <w:rPr>
                <w:rFonts w:ascii="Arial Narrow" w:hAnsi="Arial Narrow"/>
                <w:sz w:val="16"/>
                <w:szCs w:val="16"/>
              </w:rPr>
              <w:t>vysporiadania</w:t>
            </w:r>
            <w:proofErr w:type="spellEnd"/>
            <w:r>
              <w:rPr>
                <w:rFonts w:ascii="Arial Narrow" w:hAnsi="Arial Narrow"/>
                <w:sz w:val="16"/>
                <w:szCs w:val="16"/>
              </w:rPr>
              <w:t xml:space="preserve"> sa so stanoviskami dotknutých orgánov a dotknutých obcí a tiež náležitým odôvodnením zo strany príslušného orgánu,</w:t>
            </w:r>
          </w:p>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písomná forma pre povoľujúce orgány ako sa zverejní upovedomenie o začatí povoľovacieho konania, z ktorého bude jednoznačne vyplývať právo k prístupu k úplnej žiadosti o povolenie.</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apríl 2014 (v nadväznosti na postup prípravy legislatívnych úprav, môže dôjsť </w:t>
            </w:r>
            <w:r>
              <w:rPr>
                <w:rFonts w:ascii="Arial Narrow" w:hAnsi="Arial Narrow"/>
                <w:sz w:val="16"/>
                <w:szCs w:val="16"/>
              </w:rPr>
              <w:lastRenderedPageBreak/>
              <w:t>k posunu termínu na máj 2014)</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Pr>
                <w:rFonts w:ascii="Arial Narrow" w:hAnsi="Arial Narrow"/>
                <w:i/>
                <w:sz w:val="14"/>
                <w:szCs w:val="14"/>
              </w:rPr>
              <w:t>Poznámka: Odbor environmentálneho posudzovania zabezpečuje metodické usmernenie aj v súčasnosti, t.j. priebežne pre prebiehajúce procesy posudzovania, tak na svojej úrovni ako aj na úrovni ostaných príslušných orgánov</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MŽP SR (odbor environmentálneho posudzovania) v spolupráci s CKO a dotknutými orgánmi </w:t>
            </w:r>
            <w:r>
              <w:rPr>
                <w:rFonts w:ascii="Arial Narrow" w:hAnsi="Arial Narrow"/>
                <w:sz w:val="16"/>
                <w:szCs w:val="16"/>
              </w:rPr>
              <w:lastRenderedPageBreak/>
              <w:t>(najmä MDV a RR SR, MV SR, MS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Príprava príslušných legislatívnych úprav na medzirezortnej úrovni vrátane ukončenia </w:t>
            </w:r>
            <w:proofErr w:type="spellStart"/>
            <w:r>
              <w:rPr>
                <w:rFonts w:ascii="Arial Narrow" w:hAnsi="Arial Narrow"/>
                <w:sz w:val="16"/>
                <w:szCs w:val="16"/>
              </w:rPr>
              <w:t>rozporového</w:t>
            </w:r>
            <w:proofErr w:type="spellEnd"/>
            <w:r>
              <w:rPr>
                <w:rFonts w:ascii="Arial Narrow" w:hAnsi="Arial Narrow"/>
                <w:sz w:val="16"/>
                <w:szCs w:val="16"/>
              </w:rPr>
              <w:t xml:space="preserve"> konania</w:t>
            </w:r>
          </w:p>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382"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január - máj 2014</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 odbor legislatívy) v spolupráci s CKO a dotknutými orgánmi (najmä MDV a RR SR, MV SR, MS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 ukončení </w:t>
            </w:r>
            <w:proofErr w:type="spellStart"/>
            <w:r>
              <w:rPr>
                <w:rFonts w:ascii="Arial Narrow" w:hAnsi="Arial Narrow"/>
                <w:sz w:val="16"/>
                <w:szCs w:val="16"/>
              </w:rPr>
              <w:t>rozporových</w:t>
            </w:r>
            <w:proofErr w:type="spellEnd"/>
            <w:r>
              <w:rPr>
                <w:rFonts w:ascii="Arial Narrow" w:hAnsi="Arial Narrow"/>
                <w:sz w:val="16"/>
                <w:szCs w:val="16"/>
              </w:rPr>
              <w:t xml:space="preserve"> konaní budú legislatívne úpravy predložené EK a budú vykonané technické konzultácie</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apríl 2014</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 odbor legislatívy) v spolupráci s CKO a dotknutými orgánmi (najmä MDV a RR SR, MV SR, MS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Predloženie príslušných legislatívnych úprav na schválenie vládou SR</w:t>
            </w:r>
          </w:p>
        </w:tc>
        <w:tc>
          <w:tcPr>
            <w:tcW w:w="1382"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jún 2014</w:t>
            </w:r>
          </w:p>
        </w:tc>
        <w:tc>
          <w:tcPr>
            <w:tcW w:w="16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 odbor legislatívy)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Predloženie príslušných legislatívnych úprav na schválenie Národnou radou SR</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september 2014</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 odbor legislatívy)</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Plánovaná účinnosť novely zákona </w:t>
            </w:r>
          </w:p>
        </w:tc>
        <w:tc>
          <w:tcPr>
            <w:tcW w:w="1382"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1.december 2014</w:t>
            </w:r>
          </w:p>
        </w:tc>
        <w:tc>
          <w:tcPr>
            <w:tcW w:w="16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vMerge/>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III. ročníka konferencie s medzinárodnou účasťou SEA/EIA 2014 http://www.enviroportal.sk/kalendar-udalosti/den/27-05-2014</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27. - 28. máj 2014 </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shd w:val="clear" w:color="auto" w:fill="auto"/>
          </w:tcPr>
          <w:p>
            <w:pPr>
              <w:spacing w:after="0" w:line="240" w:lineRule="auto"/>
              <w:jc w:val="both"/>
              <w:rPr>
                <w:rFonts w:ascii="Arial Narrow" w:eastAsia="Trebuchet MS" w:hAnsi="Arial Narrow" w:cs="Arial"/>
                <w:b w:val="0"/>
                <w:bCs w:val="0"/>
                <w:sz w:val="16"/>
                <w:szCs w:val="16"/>
              </w:rPr>
            </w:pPr>
          </w:p>
        </w:tc>
        <w:tc>
          <w:tcPr>
            <w:tcW w:w="3119"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4252" w:type="dxa"/>
            <w:shd w:val="clear" w:color="auto" w:fill="auto"/>
          </w:tcPr>
          <w:p>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Vykonanie školení reflektujúcich na príslušné legislatívne úpravy.</w:t>
            </w:r>
          </w:p>
        </w:tc>
        <w:tc>
          <w:tcPr>
            <w:tcW w:w="1382"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druhá polovica roka 2014</w:t>
            </w:r>
          </w:p>
        </w:tc>
        <w:tc>
          <w:tcPr>
            <w:tcW w:w="1601" w:type="dxa"/>
            <w:shd w:val="clear" w:color="auto" w:fill="auto"/>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MŽP SR (odbor environmentálneho posudzovania)  v spolupráci s CKO a dotknutými orgánmi (najmä MDV a RR SR, MV SR, MS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 xml:space="preserve">Existencia štatistického základu potrebného na uskutočnenie hodnotení pre posúdenie účinnosti a vplyvu programov. </w:t>
            </w:r>
          </w:p>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119"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lastRenderedPageBreak/>
              <w:t xml:space="preserve">Postupy zavedené na zaručenie toho, aby všetky </w:t>
            </w:r>
            <w:r>
              <w:rPr>
                <w:rFonts w:ascii="Arial Narrow" w:hAnsi="Arial Narrow"/>
                <w:sz w:val="16"/>
                <w:szCs w:val="16"/>
                <w:lang w:eastAsia="cs-CZ"/>
              </w:rPr>
              <w:lastRenderedPageBreak/>
              <w:t>operácie financované z programu prijali účinný systém ukazovateľov.</w:t>
            </w:r>
          </w:p>
        </w:tc>
        <w:tc>
          <w:tcPr>
            <w:tcW w:w="4252" w:type="dxa"/>
            <w:shd w:val="clear" w:color="auto" w:fill="auto"/>
          </w:tcPr>
          <w:p>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 xml:space="preserve">Vypracovanie číselníka merateľných ukazovateľov projektov v </w:t>
            </w:r>
            <w:r>
              <w:rPr>
                <w:rFonts w:ascii="Arial Narrow" w:hAnsi="Arial Narrow"/>
                <w:sz w:val="16"/>
                <w:szCs w:val="16"/>
                <w:lang w:eastAsia="cs-CZ"/>
              </w:rPr>
              <w:lastRenderedPageBreak/>
              <w:t>zmysle zásad tvorby merateľných ukazovateľov na úrovni projektu, ktoré sú definované v Usmernení CKO k tvorbe merateľných ukazovateľov na programovej a projektovej úrovni.</w:t>
            </w:r>
          </w:p>
        </w:tc>
        <w:tc>
          <w:tcPr>
            <w:tcW w:w="1382"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 xml:space="preserve">do začiatku </w:t>
            </w:r>
            <w:r>
              <w:rPr>
                <w:rFonts w:ascii="Arial Narrow" w:hAnsi="Arial Narrow"/>
                <w:sz w:val="16"/>
                <w:szCs w:val="16"/>
                <w:lang w:eastAsia="cs-CZ"/>
              </w:rPr>
              <w:lastRenderedPageBreak/>
              <w:t>implementácie IROP, priebežne od 2 Q 2014</w:t>
            </w:r>
          </w:p>
        </w:tc>
        <w:tc>
          <w:tcPr>
            <w:tcW w:w="160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 xml:space="preserve">MPRV SR (RO pre </w:t>
            </w:r>
            <w:r>
              <w:rPr>
                <w:rFonts w:ascii="Arial Narrow" w:hAnsi="Arial Narrow"/>
                <w:sz w:val="16"/>
                <w:szCs w:val="16"/>
                <w:lang w:eastAsia="cs-CZ"/>
              </w:rPr>
              <w:lastRenderedPageBreak/>
              <w:t>IROP)</w:t>
            </w:r>
          </w:p>
        </w:tc>
      </w:tr>
    </w:tbl>
    <w:p>
      <w:pPr>
        <w:rPr>
          <w:rStyle w:val="Siln"/>
          <w:rFonts w:ascii="Arial" w:hAnsi="Arial" w:cs="Arial"/>
        </w:rPr>
      </w:pPr>
    </w:p>
    <w:p>
      <w:pPr>
        <w:rPr>
          <w:rStyle w:val="Zvraznenie"/>
          <w:rFonts w:ascii="Arial" w:hAnsi="Arial" w:cs="Arial"/>
        </w:rPr>
      </w:pPr>
      <w:r>
        <w:rPr>
          <w:rStyle w:val="Siln"/>
          <w:rFonts w:ascii="Arial" w:hAnsi="Arial" w:cs="Arial"/>
        </w:rPr>
        <w:t xml:space="preserve">Tabuľka č. 53 </w:t>
      </w:r>
      <w:r>
        <w:rPr>
          <w:rStyle w:val="Zvraznenie"/>
          <w:rFonts w:ascii="Arial" w:hAnsi="Arial" w:cs="Arial"/>
        </w:rPr>
        <w:t xml:space="preserve">Opatrenia na splnenie aplikovateľných tematických ex </w:t>
      </w:r>
      <w:proofErr w:type="spellStart"/>
      <w:r>
        <w:rPr>
          <w:rStyle w:val="Zvraznenie"/>
          <w:rFonts w:ascii="Arial" w:hAnsi="Arial" w:cs="Arial"/>
        </w:rPr>
        <w:t>ante</w:t>
      </w:r>
      <w:proofErr w:type="spellEnd"/>
      <w:r>
        <w:rPr>
          <w:rStyle w:val="Zvraznenie"/>
          <w:rFonts w:ascii="Arial" w:hAnsi="Arial" w:cs="Arial"/>
        </w:rPr>
        <w:t xml:space="preserve"> </w:t>
      </w:r>
      <w:proofErr w:type="spellStart"/>
      <w:r>
        <w:rPr>
          <w:rStyle w:val="Zvraznenie"/>
          <w:rFonts w:ascii="Arial" w:hAnsi="Arial" w:cs="Arial"/>
        </w:rPr>
        <w:t>kondicionalít</w:t>
      </w:r>
      <w:proofErr w:type="spellEnd"/>
    </w:p>
    <w:tbl>
      <w:tblPr>
        <w:tblStyle w:val="Svetlmriekazvraznenie111"/>
        <w:tblW w:w="13716" w:type="dxa"/>
        <w:tblLook w:val="04A0" w:firstRow="1" w:lastRow="0" w:firstColumn="1" w:lastColumn="0" w:noHBand="0" w:noVBand="1"/>
      </w:tblPr>
      <w:tblGrid>
        <w:gridCol w:w="2898"/>
        <w:gridCol w:w="3213"/>
        <w:gridCol w:w="4279"/>
        <w:gridCol w:w="1821"/>
        <w:gridCol w:w="150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 xml:space="preserve">Aplikovateľné všeobecné </w:t>
            </w:r>
            <w:proofErr w:type="spellStart"/>
            <w:r>
              <w:rPr>
                <w:rFonts w:ascii="Arial Narrow" w:hAnsi="Arial Narrow" w:cs="Arial"/>
                <w:bCs w:val="0"/>
                <w:sz w:val="16"/>
                <w:szCs w:val="16"/>
              </w:rPr>
              <w:t>ex-ante</w:t>
            </w:r>
            <w:proofErr w:type="spellEnd"/>
            <w:r>
              <w:rPr>
                <w:rFonts w:ascii="Arial Narrow" w:hAnsi="Arial Narrow" w:cs="Arial"/>
                <w:bCs w:val="0"/>
                <w:sz w:val="16"/>
                <w:szCs w:val="16"/>
              </w:rPr>
              <w:t xml:space="preserve"> </w:t>
            </w:r>
            <w:proofErr w:type="spellStart"/>
            <w:r>
              <w:rPr>
                <w:rFonts w:ascii="Arial Narrow" w:hAnsi="Arial Narrow" w:cs="Arial"/>
                <w:bCs w:val="0"/>
                <w:sz w:val="16"/>
                <w:szCs w:val="16"/>
              </w:rPr>
              <w:t>kondicionality</w:t>
            </w:r>
            <w:proofErr w:type="spellEnd"/>
            <w:r>
              <w:rPr>
                <w:rFonts w:ascii="Arial Narrow" w:hAnsi="Arial Narrow" w:cs="Arial"/>
                <w:bCs w:val="0"/>
                <w:sz w:val="16"/>
                <w:szCs w:val="16"/>
              </w:rPr>
              <w:t>, ktoré sú nesplnené alebo čiastočne splnené</w:t>
            </w:r>
          </w:p>
        </w:tc>
        <w:tc>
          <w:tcPr>
            <w:tcW w:w="3213"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279"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3213" w:type="dxa"/>
            <w:shd w:val="clear" w:color="auto" w:fill="auto"/>
            <w:vAlign w:val="cente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Bol prijatý rámec opisujúci dostupné rozpočtové zdroje na výskum a inovácie.</w:t>
            </w:r>
          </w:p>
        </w:tc>
        <w:tc>
          <w:tcPr>
            <w:tcW w:w="4279"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Vypracovanie Akčného plánu implementácie RIS3 pre roky 2014 – 2016. doplňujúceho RIS3. Jeho súčasťou budú aj rámec popisujúci dostupné rozpočtové zdroje na výskum a inovácie.</w:t>
            </w:r>
          </w:p>
        </w:tc>
        <w:tc>
          <w:tcPr>
            <w:tcW w:w="182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31. 3. 2014</w:t>
            </w:r>
          </w:p>
        </w:tc>
        <w:tc>
          <w:tcPr>
            <w:tcW w:w="1505"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MH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279"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82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apríl 2014</w:t>
            </w:r>
          </w:p>
        </w:tc>
        <w:tc>
          <w:tcPr>
            <w:tcW w:w="1505"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279"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Zabezpečenie dopravného modelu SR za účelom účinnejšieho posúdenia potrieb a efektívnejšieho plánovania ďalšieho rozvoja dopravnej infraštruktúry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Vykonanie strategického environmentálneho hodnotenia.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Predloženie EK za účelom posúdenia úplného splnenia ex </w:t>
            </w:r>
            <w:proofErr w:type="spellStart"/>
            <w:r>
              <w:rPr>
                <w:rFonts w:ascii="Arial Narrow" w:hAnsi="Arial Narrow"/>
                <w:sz w:val="16"/>
                <w:szCs w:val="16"/>
              </w:rPr>
              <w:t>ante</w:t>
            </w:r>
            <w:proofErr w:type="spellEnd"/>
            <w:r>
              <w:rPr>
                <w:rFonts w:ascii="Arial Narrow" w:hAnsi="Arial Narrow"/>
                <w:sz w:val="16"/>
                <w:szCs w:val="16"/>
              </w:rPr>
              <w:t xml:space="preserve"> </w:t>
            </w:r>
            <w:proofErr w:type="spellStart"/>
            <w:r>
              <w:rPr>
                <w:rFonts w:ascii="Arial Narrow" w:hAnsi="Arial Narrow"/>
                <w:sz w:val="16"/>
                <w:szCs w:val="16"/>
              </w:rPr>
              <w:t>kondicionalít</w:t>
            </w:r>
            <w:proofErr w:type="spellEnd"/>
            <w:r>
              <w:rPr>
                <w:rFonts w:ascii="Arial Narrow" w:hAnsi="Arial Narrow"/>
                <w:sz w:val="16"/>
                <w:szCs w:val="16"/>
              </w:rPr>
              <w:t xml:space="preserve"> stanovených pre sektor dopravy.</w:t>
            </w:r>
          </w:p>
        </w:tc>
        <w:tc>
          <w:tcPr>
            <w:tcW w:w="182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október 2015</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jún 2016</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október 2016</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november 2016</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december 2016</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december 2016</w:t>
            </w:r>
          </w:p>
        </w:tc>
        <w:tc>
          <w:tcPr>
            <w:tcW w:w="1505"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vAlign w:val="center"/>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realistickú a kvalitnú realizáciu projektov, pri ktorých sa počíta s podporou zo strany EFRR a </w:t>
            </w:r>
            <w:r>
              <w:rPr>
                <w:rFonts w:ascii="Arial Narrow" w:hAnsi="Arial Narrow"/>
                <w:sz w:val="16"/>
                <w:szCs w:val="16"/>
              </w:rPr>
              <w:lastRenderedPageBreak/>
              <w:t>Kohézneho fondu,</w:t>
            </w:r>
          </w:p>
        </w:tc>
        <w:tc>
          <w:tcPr>
            <w:tcW w:w="4279"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lastRenderedPageBreak/>
              <w:t xml:space="preserve">Vypracovanie </w:t>
            </w:r>
            <w:r>
              <w:rPr>
                <w:rFonts w:ascii="Arial Narrow" w:hAnsi="Arial Narrow"/>
                <w:i/>
                <w:sz w:val="16"/>
                <w:szCs w:val="16"/>
              </w:rPr>
              <w:t>implementačného plánu projektov financovaných z KF, EFRR a CEF</w:t>
            </w:r>
            <w:r>
              <w:rPr>
                <w:rFonts w:ascii="Arial Narrow" w:hAnsi="Arial Narrow"/>
                <w:sz w:val="16"/>
                <w:szCs w:val="16"/>
              </w:rPr>
              <w:t xml:space="preserve"> (názov projektu, náklady, EIA proces, stupeň </w:t>
            </w:r>
            <w:r>
              <w:rPr>
                <w:rFonts w:ascii="Arial Narrow" w:hAnsi="Arial Narrow"/>
                <w:sz w:val="16"/>
                <w:szCs w:val="16"/>
              </w:rPr>
              <w:lastRenderedPageBreak/>
              <w:t xml:space="preserve">projektovej prípravy, termín realizácie, predpokladaný finančný plán, plánované termíny prípravy žiadosti o podporu, schválenia projektu RO, predloženia </w:t>
            </w:r>
            <w:proofErr w:type="spellStart"/>
            <w:r>
              <w:rPr>
                <w:rFonts w:ascii="Arial Narrow" w:hAnsi="Arial Narrow"/>
                <w:sz w:val="16"/>
                <w:szCs w:val="16"/>
              </w:rPr>
              <w:t>ŽoPP</w:t>
            </w:r>
            <w:proofErr w:type="spellEnd"/>
            <w:r>
              <w:rPr>
                <w:rFonts w:ascii="Arial Narrow" w:hAnsi="Arial Narrow"/>
                <w:sz w:val="16"/>
                <w:szCs w:val="16"/>
              </w:rPr>
              <w:t xml:space="preserve"> na EK atď.). Súčasťou implementačného plánu bude opis každého navrhovaného projektu, ktorý bude poskytovať súhrnné informácie o projekte (lokalizácia, súčasná dopravná situácia, technické parametre projektu, výstupové/výsledkové ukazovatele projektu atď.). </w:t>
            </w:r>
          </w:p>
        </w:tc>
        <w:tc>
          <w:tcPr>
            <w:tcW w:w="182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lastRenderedPageBreak/>
              <w:t>máj 2014</w:t>
            </w:r>
          </w:p>
        </w:tc>
        <w:tc>
          <w:tcPr>
            <w:tcW w:w="1505"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279"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máj 2014</w:t>
            </w:r>
          </w:p>
        </w:tc>
        <w:tc>
          <w:tcPr>
            <w:tcW w:w="1505"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279"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82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október 2014</w:t>
            </w:r>
          </w:p>
        </w:tc>
        <w:tc>
          <w:tcPr>
            <w:tcW w:w="1505"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279" w:type="dxa"/>
            <w:vMerge w:val="restart"/>
            <w:shd w:val="clear" w:color="auto" w:fill="auto"/>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821" w:type="dxa"/>
            <w:vMerge w:val="restart"/>
            <w:shd w:val="clear" w:color="auto" w:fill="auto"/>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august 2013 – február 2014</w:t>
            </w:r>
          </w:p>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lang w:eastAsia="cs-CZ"/>
              </w:rPr>
              <w:t>august 2013 – február 2014</w:t>
            </w:r>
          </w:p>
        </w:tc>
        <w:tc>
          <w:tcPr>
            <w:tcW w:w="1505" w:type="dxa"/>
            <w:vMerge w:val="restart"/>
            <w:shd w:val="clear" w:color="auto" w:fill="auto"/>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w:t>
            </w:r>
            <w:proofErr w:type="spellStart"/>
            <w:r>
              <w:rPr>
                <w:rFonts w:ascii="Arial Narrow" w:hAnsi="Arial Narrow"/>
                <w:sz w:val="16"/>
                <w:szCs w:val="16"/>
              </w:rPr>
              <w:t>marginalizovaných</w:t>
            </w:r>
            <w:proofErr w:type="spellEnd"/>
            <w:r>
              <w:rPr>
                <w:rFonts w:ascii="Arial Narrow" w:hAnsi="Arial Narrow"/>
                <w:sz w:val="16"/>
                <w:szCs w:val="16"/>
              </w:rPr>
              <w:t xml:space="preserve"> komunít</w:t>
            </w:r>
          </w:p>
        </w:tc>
        <w:tc>
          <w:tcPr>
            <w:tcW w:w="4279"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cs="Arial"/>
                <w:b w:val="0"/>
                <w:bCs w:val="0"/>
                <w:sz w:val="16"/>
                <w:szCs w:val="16"/>
              </w:rPr>
            </w:pPr>
          </w:p>
        </w:tc>
        <w:tc>
          <w:tcPr>
            <w:tcW w:w="3213"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279" w:type="dxa"/>
            <w:vMerge/>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Koordinované opatrenia na zlepšenie prístupu k zdravotným službám</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podporu efektívnosti sektora zdravotníctva prostredníctvom zavádzania modelov poskytovania služieb a infraštruktúry</w:t>
            </w:r>
          </w:p>
          <w:p>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Systém monitorovania a kontroly</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Členský štát alebo región prijal rámec orientačne opisujúci dostupné rozpočtové prostriedky a nákladovo efektívnu koncentráciu prostriedkov na prioritné potreby pre zdravotnú starostlivosť</w:t>
            </w:r>
          </w:p>
        </w:tc>
        <w:tc>
          <w:tcPr>
            <w:tcW w:w="4279" w:type="dxa"/>
          </w:tcPr>
          <w:p>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Vypracovanie realizačnej stratégie v oblasti integrovanej zdravotnej starostlivosti.</w:t>
            </w:r>
          </w:p>
          <w:p>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Vypracovanie realizačnej stratégie v oblasti implementácie štandardizovaných preventívnych a klinických postupov.</w:t>
            </w:r>
          </w:p>
          <w:p>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Vypracovanie dokumentu popisujúceho systém monitorovania a kontroly realizácie a napĺňanie čiastkových  implementačných stratégií.</w:t>
            </w:r>
          </w:p>
          <w:p>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sz w:val="16"/>
                <w:szCs w:val="16"/>
                <w:lang w:eastAsia="cs-CZ"/>
              </w:rPr>
            </w:pPr>
            <w:r>
              <w:rPr>
                <w:rFonts w:ascii="Arial Narrow" w:eastAsia="Times New Roman" w:hAnsi="Arial Narrow"/>
                <w:sz w:val="16"/>
                <w:szCs w:val="16"/>
                <w:lang w:eastAsia="cs-CZ"/>
              </w:rPr>
              <w:t xml:space="preserve">Predloženie dokumentov na EK za účelom posúdenia úplného splnenia ex </w:t>
            </w:r>
            <w:proofErr w:type="spellStart"/>
            <w:r>
              <w:rPr>
                <w:rFonts w:ascii="Arial Narrow" w:eastAsia="Times New Roman" w:hAnsi="Arial Narrow"/>
                <w:sz w:val="16"/>
                <w:szCs w:val="16"/>
                <w:lang w:eastAsia="cs-CZ"/>
              </w:rPr>
              <w:t>ante</w:t>
            </w:r>
            <w:proofErr w:type="spellEnd"/>
            <w:r>
              <w:rPr>
                <w:rFonts w:ascii="Arial Narrow" w:eastAsia="Times New Roman" w:hAnsi="Arial Narrow"/>
                <w:sz w:val="16"/>
                <w:szCs w:val="16"/>
                <w:lang w:eastAsia="cs-CZ"/>
              </w:rPr>
              <w:t xml:space="preserve"> </w:t>
            </w:r>
            <w:proofErr w:type="spellStart"/>
            <w:r>
              <w:rPr>
                <w:rFonts w:ascii="Arial Narrow" w:eastAsia="Times New Roman" w:hAnsi="Arial Narrow"/>
                <w:sz w:val="16"/>
                <w:szCs w:val="16"/>
                <w:lang w:eastAsia="cs-CZ"/>
              </w:rPr>
              <w:t>kondicionality</w:t>
            </w:r>
            <w:proofErr w:type="spellEnd"/>
            <w:r>
              <w:rPr>
                <w:rFonts w:ascii="Arial Narrow" w:eastAsia="Times New Roman" w:hAnsi="Arial Narrow"/>
                <w:sz w:val="16"/>
                <w:szCs w:val="16"/>
                <w:lang w:eastAsia="cs-CZ"/>
              </w:rPr>
              <w:t>.</w:t>
            </w:r>
          </w:p>
        </w:tc>
        <w:tc>
          <w:tcPr>
            <w:tcW w:w="182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Do 31. 7. 2014</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Do 31. 7. 2014</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Do 31.8.2014</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Najneskôr do 31. 12. 2014</w:t>
            </w:r>
          </w:p>
        </w:tc>
        <w:tc>
          <w:tcPr>
            <w:tcW w:w="1505"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1.Zavedený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279"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w:t>
            </w:r>
            <w:proofErr w:type="spellStart"/>
            <w:r>
              <w:rPr>
                <w:rFonts w:ascii="Arial Narrow" w:hAnsi="Arial Narrow"/>
                <w:i/>
                <w:sz w:val="16"/>
                <w:szCs w:val="16"/>
                <w:lang w:eastAsia="cs-CZ"/>
              </w:rPr>
              <w:t>RzIS</w:t>
            </w:r>
            <w:proofErr w:type="spellEnd"/>
            <w:r>
              <w:rPr>
                <w:rFonts w:ascii="Arial Narrow" w:hAnsi="Arial Narrow"/>
                <w:i/>
                <w:sz w:val="16"/>
                <w:szCs w:val="16"/>
                <w:lang w:eastAsia="cs-CZ"/>
              </w:rPr>
              <w:t>)</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Predpoklad plného prechodu systému RIS do prevádzky je koniec druhého kvartálu 2014, pričom je potrebné vykonať nasledovné aktivity:</w:t>
            </w:r>
          </w:p>
          <w:p>
            <w:pPr>
              <w:pStyle w:val="Normlnywebov"/>
              <w:numPr>
                <w:ilvl w:val="0"/>
                <w:numId w:val="84"/>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zber údajov kvalifikovanosti pedagogických zamestnancov;</w:t>
            </w:r>
          </w:p>
          <w:p>
            <w:pPr>
              <w:pStyle w:val="Normlnywebov"/>
              <w:numPr>
                <w:ilvl w:val="0"/>
                <w:numId w:val="84"/>
              </w:numPr>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aktualizácia registrov škôl a školských zariadení; </w:t>
            </w:r>
          </w:p>
          <w:p>
            <w:pPr>
              <w:pStyle w:val="Normlnywebov"/>
              <w:numPr>
                <w:ilvl w:val="0"/>
                <w:numId w:val="84"/>
              </w:numPr>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lastRenderedPageBreak/>
              <w:t>aktualizácia kontaktov pedagogických zamestnancov a žiakov základných a stredných škôl;</w:t>
            </w:r>
          </w:p>
          <w:p>
            <w:pPr>
              <w:pStyle w:val="Normlnywebov"/>
              <w:numPr>
                <w:ilvl w:val="0"/>
                <w:numId w:val="84"/>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aktualizácia základných číselníkov;</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aktualizáciu registra nepedagogických zamestnancov škôl a školských zariadení.</w:t>
            </w:r>
          </w:p>
        </w:tc>
        <w:tc>
          <w:tcPr>
            <w:tcW w:w="1821"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jún 2014</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pPr>
              <w:spacing w:after="0" w:line="240" w:lineRule="auto"/>
              <w:jc w:val="both"/>
              <w:rPr>
                <w:rFonts w:ascii="Arial Narrow" w:eastAsia="Trebuchet MS" w:hAnsi="Arial Narrow" w:cs="Arial"/>
                <w:b w:val="0"/>
                <w:bCs w:val="0"/>
                <w:sz w:val="16"/>
                <w:szCs w:val="16"/>
              </w:rPr>
            </w:pPr>
            <w:r>
              <w:rPr>
                <w:rFonts w:ascii="Arial Narrow" w:hAnsi="Arial Narrow"/>
                <w:sz w:val="16"/>
                <w:szCs w:val="16"/>
              </w:rPr>
              <w:lastRenderedPageBreak/>
              <w:t>10.3. Celoživotné vzdelávanie: existencia národného a/alebo regionálneho strategického politického rámca pre celoživotné vzdelávanie v medziach článku 165 ZFEÚ.</w:t>
            </w:r>
          </w:p>
        </w:tc>
        <w:tc>
          <w:tcPr>
            <w:tcW w:w="3213" w:type="dxa"/>
          </w:tcPr>
          <w:p>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2.Je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w:t>
            </w:r>
            <w:proofErr w:type="spellStart"/>
            <w:r>
              <w:rPr>
                <w:rFonts w:ascii="Arial Narrow" w:hAnsi="Arial Narrow"/>
                <w:sz w:val="16"/>
                <w:szCs w:val="16"/>
              </w:rPr>
              <w:t>nízkokvalifikovaní</w:t>
            </w:r>
            <w:proofErr w:type="spellEnd"/>
            <w:r>
              <w:rPr>
                <w:rFonts w:ascii="Arial Narrow" w:hAnsi="Arial Narrow"/>
                <w:sz w:val="16"/>
                <w:szCs w:val="16"/>
              </w:rPr>
              <w:t xml:space="preserve"> a starší pracovníci, migranti a ostatné znevýhodnené skupiny, najmä ľudia so zdravotným postihnutím)</w:t>
            </w:r>
          </w:p>
        </w:tc>
        <w:tc>
          <w:tcPr>
            <w:tcW w:w="4279"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Vydať Zákon o uznávaní výsledkov neformálneho vzdelávania a neformálneho učenia sa</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v 2. polroku 2015 (z dôvodu nutnosti finalizácie výstupov národného projektu ŠIOV Tvorba národnej sústavy kvalifikácií) predložiť návrh Zákona o uznávaní výsledkov neformálneho vzdelávania a </w:t>
            </w:r>
            <w:proofErr w:type="spellStart"/>
            <w:r>
              <w:rPr>
                <w:rFonts w:ascii="Arial Narrow" w:hAnsi="Arial Narrow"/>
                <w:sz w:val="16"/>
                <w:szCs w:val="16"/>
              </w:rPr>
              <w:t>informálneho</w:t>
            </w:r>
            <w:proofErr w:type="spellEnd"/>
            <w:r>
              <w:rPr>
                <w:rFonts w:ascii="Arial Narrow" w:hAnsi="Arial Narrow"/>
                <w:sz w:val="16"/>
                <w:szCs w:val="16"/>
              </w:rPr>
              <w:t xml:space="preserve"> učenia sa do parlamentu SR</w:t>
            </w:r>
          </w:p>
        </w:tc>
        <w:tc>
          <w:tcPr>
            <w:tcW w:w="1821"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2. polroku 2015</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Národná rada SR</w:t>
            </w: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279" w:type="dxa"/>
            <w:shd w:val="clear" w:color="auto" w:fill="auto"/>
          </w:tcPr>
          <w:p>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Implementácia 2 kľúčových národných projektov:</w:t>
            </w:r>
          </w:p>
          <w:p>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 Tvorba Národnej sústavy kvalifikácií</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w:t>
            </w:r>
          </w:p>
        </w:tc>
        <w:tc>
          <w:tcPr>
            <w:tcW w:w="1821" w:type="dxa"/>
            <w:shd w:val="clear" w:color="auto" w:fill="auto"/>
          </w:tcPr>
          <w:p>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01.03.2013–31.10.2015 (Tvorba Národnej sústavy kvalifikácií)</w:t>
            </w:r>
          </w:p>
          <w:p>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53" w:history="1">
              <w:r>
                <w:rPr>
                  <w:rStyle w:val="Hypertextovprepojenie"/>
                  <w:rFonts w:ascii="Arial Narrow" w:hAnsi="Arial Narrow"/>
                  <w:sz w:val="16"/>
                  <w:szCs w:val="16"/>
                  <w:lang w:eastAsia="en-US"/>
                </w:rPr>
                <w:t>http://www.tvorbansk.sk/</w:t>
              </w:r>
            </w:hyperlink>
          </w:p>
          <w:p>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 do 31.10.2015 – tvorba a vytvorenie informačného systému Národného kvalifikačného rámca a Národnej sústavy kvalifikácií</w:t>
            </w:r>
          </w:p>
          <w:p>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do 30.06.2015 - ďalšie vzdelávanie cieľovej skupiny na tvorbu a používanie Národného kvalifikačného rámca, Národnej sústavy kvalifikácií a Informačného systému</w:t>
            </w:r>
          </w:p>
          <w:p>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15.03.2013–30.09.2015 (Ďalšie vzdelávanie a poradenstvo pre dospelých ako nástroj lepšej uplatniteľnosti na trhu práce)</w:t>
            </w:r>
          </w:p>
          <w:p>
            <w:pPr>
              <w:pStyle w:val="Style31"/>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4" w:history="1">
              <w:r>
                <w:rPr>
                  <w:rStyle w:val="Hypertextovprepojenie"/>
                  <w:rFonts w:ascii="Arial Narrow" w:hAnsi="Arial Narrow"/>
                  <w:sz w:val="16"/>
                  <w:szCs w:val="16"/>
                  <w:lang w:eastAsia="en-US"/>
                </w:rPr>
                <w:t>http://nuczv.sk/dalsie-vzdelavanie-a-poradenstvo-pre-dospelych-ako-nastroj-lepsej-uplatnitelnosti-na-trhu-prace/</w:t>
              </w:r>
            </w:hyperlink>
          </w:p>
          <w:p>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r>
              <w:rPr>
                <w:rStyle w:val="FontStyle94"/>
                <w:rFonts w:ascii="Arial Narrow" w:hAnsi="Arial Narrow"/>
                <w:sz w:val="16"/>
                <w:szCs w:val="16"/>
                <w:lang w:eastAsia="en-US"/>
              </w:rPr>
              <w:t xml:space="preserve">do 30.09.2015-poskytnutie </w:t>
            </w:r>
            <w:r>
              <w:rPr>
                <w:rStyle w:val="FontStyle94"/>
                <w:rFonts w:ascii="Arial Narrow" w:hAnsi="Arial Narrow"/>
                <w:sz w:val="16"/>
                <w:szCs w:val="16"/>
                <w:lang w:eastAsia="en-US"/>
              </w:rPr>
              <w:lastRenderedPageBreak/>
              <w:t xml:space="preserve">modulových vzdelávacích programov ďalšieho vzdelávania s uznávaním výsledkov ďalšieho vzdelávania a </w:t>
            </w:r>
            <w:proofErr w:type="spellStart"/>
            <w:r>
              <w:rPr>
                <w:rStyle w:val="FontStyle94"/>
                <w:rFonts w:ascii="Arial Narrow" w:hAnsi="Arial Narrow"/>
                <w:sz w:val="16"/>
                <w:szCs w:val="16"/>
                <w:lang w:eastAsia="en-US"/>
              </w:rPr>
              <w:t>informálneho</w:t>
            </w:r>
            <w:proofErr w:type="spellEnd"/>
            <w:r>
              <w:rPr>
                <w:rStyle w:val="FontStyle94"/>
                <w:rFonts w:ascii="Arial Narrow" w:hAnsi="Arial Narrow"/>
                <w:sz w:val="16"/>
                <w:szCs w:val="16"/>
                <w:lang w:eastAsia="en-US"/>
              </w:rPr>
              <w:t xml:space="preserve"> učenia sa; prevádzka siete poradenských centier pre dospelých a poskytovanie poradenstva; vytvorenie a realizácia systému monitorovania a prognózovania vzdelávacích potrieb; ďalší rozvoj elektronických nástrojov pre ďalšie vzdelávanie</w:t>
            </w:r>
            <w:r>
              <w:rPr>
                <w:rStyle w:val="FontStyle94"/>
                <w:sz w:val="20"/>
                <w:szCs w:val="20"/>
                <w:lang w:eastAsia="en-US"/>
              </w:rPr>
              <w:t xml:space="preserve"> </w:t>
            </w:r>
            <w:r>
              <w:rPr>
                <w:rStyle w:val="FontStyle94"/>
                <w:rFonts w:ascii="Arial Narrow" w:hAnsi="Arial Narrow"/>
                <w:sz w:val="16"/>
                <w:szCs w:val="16"/>
                <w:lang w:eastAsia="en-US"/>
              </w:rPr>
              <w:t>v kontexte celoživotného vzdelávania</w:t>
            </w:r>
          </w:p>
        </w:tc>
        <w:tc>
          <w:tcPr>
            <w:tcW w:w="1505" w:type="dxa"/>
            <w:shd w:val="clear" w:color="auto" w:fill="auto"/>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Národný ústav celoživotného vzdelávania</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pPr>
              <w:spacing w:after="0" w:line="240" w:lineRule="auto"/>
              <w:jc w:val="both"/>
              <w:rPr>
                <w:rFonts w:ascii="Arial Narrow" w:eastAsia="Trebuchet MS" w:hAnsi="Arial Narrow"/>
                <w:b w:val="0"/>
                <w:bCs w:val="0"/>
                <w:sz w:val="16"/>
                <w:szCs w:val="16"/>
              </w:rPr>
            </w:pPr>
          </w:p>
        </w:tc>
        <w:tc>
          <w:tcPr>
            <w:tcW w:w="3213" w:type="dxa"/>
            <w:vAlign w:val="center"/>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 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279" w:type="dxa"/>
          </w:tcPr>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Implementácia 3 kľúčových národných projektov:</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-Tvorba Národnej sústavy kvalifikácií</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-Rozvoj stredného odborného vzdelávania</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-Stratégia zabezpečenia kvality v počiatočnom odbornom vzdelávaní a príprave v SR (</w:t>
            </w:r>
            <w:proofErr w:type="spellStart"/>
            <w:r>
              <w:rPr>
                <w:rStyle w:val="FontStyle94"/>
                <w:rFonts w:ascii="Arial Narrow" w:hAnsi="Arial Narrow"/>
                <w:sz w:val="16"/>
                <w:szCs w:val="16"/>
                <w:lang w:eastAsia="en-US"/>
              </w:rPr>
              <w:t>Feasibility</w:t>
            </w:r>
            <w:proofErr w:type="spellEnd"/>
            <w:r>
              <w:rPr>
                <w:rStyle w:val="FontStyle94"/>
                <w:rFonts w:ascii="Arial Narrow" w:hAnsi="Arial Narrow"/>
                <w:sz w:val="16"/>
                <w:szCs w:val="16"/>
                <w:lang w:eastAsia="en-US"/>
              </w:rPr>
              <w:t xml:space="preserve"> study) </w:t>
            </w:r>
          </w:p>
        </w:tc>
        <w:tc>
          <w:tcPr>
            <w:tcW w:w="1821" w:type="dxa"/>
          </w:tcPr>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lastRenderedPageBreak/>
              <w:t>Účinnosť zákona od 01.09.2015</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01.04.2013-31.10.2015</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hyperlink r:id="rId55" w:history="1">
              <w:r>
                <w:rPr>
                  <w:rStyle w:val="Hypertextovprepojenie"/>
                  <w:rFonts w:ascii="Arial Narrow" w:hAnsi="Arial Narrow"/>
                  <w:sz w:val="16"/>
                  <w:szCs w:val="16"/>
                  <w:lang w:eastAsia="en-US"/>
                </w:rPr>
                <w:t>http://www.siov.sk/narodny-projekt-/24512s</w:t>
              </w:r>
            </w:hyperlink>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Vybavenie odborných učební základných škôl, tvorba programov kontinuálneho vzdelávania pre učiteľov prírodovedných predmetov.</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 – 31.10.2015 </w:t>
            </w:r>
          </w:p>
          <w:p>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hyperlink r:id="rId56" w:history="1">
              <w:r>
                <w:rPr>
                  <w:rStyle w:val="Hypertextovprepojenie"/>
                  <w:rFonts w:ascii="Arial Narrow" w:hAnsi="Arial Narrow"/>
                  <w:sz w:val="16"/>
                  <w:szCs w:val="16"/>
                  <w:lang w:eastAsia="en-US"/>
                </w:rPr>
                <w:t>http://www.tvorbansk.sk/</w:t>
              </w:r>
            </w:hyperlink>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Tvorba 1 000 čiastočných a úplných kvalifikácií v podobe vytvorenia kvalifikačných štandardov postavených na vzdelávacích výstupoch a hodnotiacich štandardov, tvorba Národného kvalifikačného rámca, a to aj v rámci </w:t>
            </w:r>
            <w:proofErr w:type="spellStart"/>
            <w:r>
              <w:rPr>
                <w:rStyle w:val="FontStyle94"/>
                <w:rFonts w:ascii="Arial Narrow" w:hAnsi="Arial Narrow"/>
                <w:sz w:val="16"/>
                <w:szCs w:val="16"/>
                <w:lang w:eastAsia="en-US"/>
              </w:rPr>
              <w:t>Bolognského</w:t>
            </w:r>
            <w:proofErr w:type="spellEnd"/>
            <w:r>
              <w:rPr>
                <w:rStyle w:val="FontStyle94"/>
                <w:rFonts w:ascii="Arial Narrow" w:hAnsi="Arial Narrow"/>
                <w:sz w:val="16"/>
                <w:szCs w:val="16"/>
                <w:lang w:eastAsia="en-US"/>
              </w:rPr>
              <w:t xml:space="preserve"> procesu.</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23.03.2013 - 31.10.2015</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hyperlink r:id="rId57" w:history="1">
              <w:r>
                <w:rPr>
                  <w:rStyle w:val="Hypertextovprepojenie"/>
                  <w:rFonts w:ascii="Arial Narrow" w:hAnsi="Arial Narrow"/>
                  <w:sz w:val="16"/>
                  <w:szCs w:val="16"/>
                  <w:lang w:eastAsia="en-US"/>
                </w:rPr>
                <w:t>http://www.siov.sk/rozvoj-stredneho-odborneho-vzdelavania-rsov/24505s</w:t>
              </w:r>
            </w:hyperlink>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-Analýza súladu zručností absolventov s ponukou na </w:t>
            </w:r>
            <w:r>
              <w:rPr>
                <w:rStyle w:val="FontStyle94"/>
                <w:rFonts w:ascii="Arial Narrow" w:hAnsi="Arial Narrow"/>
                <w:sz w:val="16"/>
                <w:szCs w:val="16"/>
                <w:lang w:eastAsia="en-US"/>
              </w:rPr>
              <w:lastRenderedPageBreak/>
              <w:t>trhu práce</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-Pasportizácia SOŠ</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- 09/2014</w:t>
            </w:r>
          </w:p>
        </w:tc>
        <w:tc>
          <w:tcPr>
            <w:tcW w:w="1505" w:type="dxa"/>
          </w:tcPr>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lastRenderedPageBreak/>
              <w:t>MŠVVaŠ</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t>MPSVaR</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Národná rada SR </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t>MŠVVaŠ</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ŠIOV</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t>MŠVVaŠ</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ŠIOV</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t>MŠVVaŠ</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ŠIOV</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roofErr w:type="spellStart"/>
            <w:r>
              <w:rPr>
                <w:rFonts w:ascii="Arial Narrow" w:hAnsi="Arial Narrow"/>
                <w:sz w:val="16"/>
                <w:szCs w:val="16"/>
              </w:rPr>
              <w:t>MŠVVaŠ</w:t>
            </w:r>
            <w:proofErr w:type="spellEnd"/>
            <w:r>
              <w:rPr>
                <w:rFonts w:ascii="Arial Narrow" w:hAnsi="Arial Narrow"/>
                <w:sz w:val="16"/>
                <w:szCs w:val="16"/>
              </w:rPr>
              <w:t xml:space="preserve"> SR</w:t>
            </w:r>
          </w:p>
          <w:p>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ŠIOV</w:t>
            </w:r>
          </w:p>
        </w:tc>
      </w:tr>
    </w:tbl>
    <w:p>
      <w:pPr>
        <w:sectPr>
          <w:pgSz w:w="16838" w:h="11906" w:orient="landscape"/>
          <w:pgMar w:top="1418" w:right="1418" w:bottom="1418" w:left="1418" w:header="709" w:footer="709" w:gutter="0"/>
          <w:cols w:space="708"/>
          <w:docGrid w:linePitch="360"/>
        </w:sectPr>
      </w:pPr>
    </w:p>
    <w:p>
      <w:pPr>
        <w:pStyle w:val="Nadpis1"/>
        <w:rPr>
          <w:rFonts w:ascii="Arial" w:hAnsi="Arial" w:cs="Arial"/>
        </w:rPr>
      </w:pPr>
      <w:bookmarkStart w:id="166" w:name="_Toc387651898"/>
      <w:r>
        <w:rPr>
          <w:rFonts w:ascii="Arial" w:hAnsi="Arial" w:cs="Arial"/>
        </w:rPr>
        <w:lastRenderedPageBreak/>
        <w:t>10 Zníženie administratívnej záťaže pre prijímateľov</w:t>
      </w:r>
      <w:bookmarkEnd w:id="166"/>
    </w:p>
    <w:p>
      <w:pPr>
        <w:rPr>
          <w:rFonts w:ascii="Arial" w:hAnsi="Arial" w:cs="Arial"/>
          <w:i/>
          <w:color w:val="4EACF3"/>
        </w:rPr>
      </w:pPr>
    </w:p>
    <w:p>
      <w:pPr>
        <w:spacing w:after="0"/>
        <w:jc w:val="both"/>
        <w:rPr>
          <w:rFonts w:ascii="Arial" w:hAnsi="Arial" w:cs="Arial"/>
          <w:bCs/>
          <w:iCs/>
        </w:rPr>
      </w:pPr>
      <w:r>
        <w:rPr>
          <w:rFonts w:ascii="Arial" w:hAnsi="Arial" w:cs="Arial"/>
          <w:bCs/>
          <w:iCs/>
        </w:rPr>
        <w:t>V súvislosti s opatreniami na dosiahnutie zníženia administratívnej záťaže  je všeobecne potrebné identifikovať a odstrániť bariéry aj na úrovni žiadateľov o poskytnutie pomoci z EŠIF. Viaceré opatrenia v tejto oblasti boli predchádzajúcich programových obdobiach priebežne prijímané (ako napr. vyžadovanie oficiálnych potvrdení preukazujúcich splnenie podmienok poskytnutia pomoci až vo fáze pred vydaním rozhodnutia o schválení a bez nutnosti ich predkladania zo strany väčšiny neúspešných žiadateľov, spustenie testovacej verzie centrálneho dožadovania dokladov preukazujúcich splnenie niektorých podmienok poskytnutia pomoci). V programovom období 2014 – 2020 sa počíta so zavedením ďalších opatrení, ktorými sa zvýši efektívnosť poskytovania finančných prostriedkov z EFRR/IROP. V zmysle Partnerskej dohody SR sa potenciál znižovania administratívnej záťaže pri poskytovaní finančných prostriedkov z EŠI fondov v programovom období 2014 – 2020 týka najmä nasledujúcich oblastí:</w:t>
      </w:r>
    </w:p>
    <w:p>
      <w:pPr>
        <w:pStyle w:val="Odsekzoznamu"/>
        <w:numPr>
          <w:ilvl w:val="0"/>
          <w:numId w:val="52"/>
        </w:numPr>
        <w:spacing w:after="0"/>
        <w:jc w:val="both"/>
        <w:rPr>
          <w:rFonts w:ascii="Arial" w:hAnsi="Arial" w:cs="Arial"/>
          <w:bCs/>
          <w:iCs/>
        </w:rPr>
      </w:pPr>
      <w:r>
        <w:rPr>
          <w:rFonts w:ascii="Arial" w:hAnsi="Arial" w:cs="Arial"/>
          <w:bCs/>
          <w:iCs/>
        </w:rPr>
        <w:t>potreba zjednodušenia, sprehľadnenia a zjednotenia formy a obsahu vyhlasovaných výziev na predkladanie žiadostí o NFP;</w:t>
      </w:r>
    </w:p>
    <w:p>
      <w:pPr>
        <w:pStyle w:val="Odsekzoznamu"/>
        <w:numPr>
          <w:ilvl w:val="0"/>
          <w:numId w:val="52"/>
        </w:numPr>
        <w:spacing w:after="0"/>
        <w:jc w:val="both"/>
        <w:rPr>
          <w:rFonts w:ascii="Arial" w:hAnsi="Arial" w:cs="Arial"/>
          <w:bCs/>
          <w:iCs/>
        </w:rPr>
      </w:pPr>
      <w:r>
        <w:rPr>
          <w:rFonts w:ascii="Arial" w:hAnsi="Arial" w:cs="Arial"/>
          <w:bCs/>
          <w:iCs/>
        </w:rPr>
        <w:t xml:space="preserve">potreba zavedenia možnosti dvojkolového výberu žiadostí o NFP s dôrazom </w:t>
      </w:r>
      <w:r>
        <w:rPr>
          <w:rFonts w:ascii="Arial" w:hAnsi="Arial" w:cs="Arial"/>
          <w:bCs/>
          <w:iCs/>
        </w:rPr>
        <w:br/>
        <w:t>na minimalizáciu administratívnej a finančnej náročnosti prvého kola výberu;</w:t>
      </w:r>
    </w:p>
    <w:p>
      <w:pPr>
        <w:pStyle w:val="Odsekzoznamu"/>
        <w:numPr>
          <w:ilvl w:val="0"/>
          <w:numId w:val="52"/>
        </w:numPr>
        <w:spacing w:after="0"/>
        <w:jc w:val="both"/>
        <w:rPr>
          <w:rFonts w:ascii="Arial" w:hAnsi="Arial" w:cs="Arial"/>
          <w:bCs/>
          <w:iCs/>
        </w:rPr>
      </w:pPr>
      <w:r>
        <w:rPr>
          <w:rFonts w:ascii="Arial" w:hAnsi="Arial" w:cs="Arial"/>
          <w:bCs/>
          <w:iCs/>
        </w:rPr>
        <w:t>potreba zvýšenia dostupnosti informácií o možnostiach a podmienkach získania pomoci z EŠI fondov a centralizovaného poskytnutia kvalitného a odborného poradenstva v danej oblasti, vrátane zvýšenia informovanosti a publicity o EŠIF prostredníctvom printových a elektronických médií;</w:t>
      </w:r>
    </w:p>
    <w:p>
      <w:pPr>
        <w:pStyle w:val="Odsekzoznamu"/>
        <w:numPr>
          <w:ilvl w:val="0"/>
          <w:numId w:val="52"/>
        </w:numPr>
        <w:spacing w:after="0"/>
        <w:jc w:val="both"/>
        <w:rPr>
          <w:rFonts w:ascii="Arial" w:hAnsi="Arial" w:cs="Arial"/>
          <w:bCs/>
          <w:iCs/>
        </w:rPr>
      </w:pPr>
      <w:r>
        <w:rPr>
          <w:rFonts w:ascii="Arial" w:hAnsi="Arial" w:cs="Arial"/>
          <w:bCs/>
          <w:iCs/>
        </w:rPr>
        <w:t xml:space="preserve">potreba štandardizácie dokumentov týkajúcich sa podmienok poskytnutia pomoci </w:t>
      </w:r>
      <w:r>
        <w:rPr>
          <w:rFonts w:ascii="Arial" w:hAnsi="Arial" w:cs="Arial"/>
          <w:bCs/>
          <w:iCs/>
        </w:rPr>
        <w:br/>
        <w:t>a ich koncipovania s dôrazom na „</w:t>
      </w:r>
      <w:proofErr w:type="spellStart"/>
      <w:r>
        <w:rPr>
          <w:rFonts w:ascii="Arial" w:hAnsi="Arial" w:cs="Arial"/>
          <w:bCs/>
          <w:i/>
          <w:iCs/>
        </w:rPr>
        <w:t>user-friendly</w:t>
      </w:r>
      <w:proofErr w:type="spellEnd"/>
      <w:r>
        <w:rPr>
          <w:rFonts w:ascii="Arial" w:hAnsi="Arial" w:cs="Arial"/>
          <w:bCs/>
          <w:iCs/>
        </w:rPr>
        <w:t>“ formát;</w:t>
      </w:r>
    </w:p>
    <w:p>
      <w:pPr>
        <w:pStyle w:val="Odsekzoznamu"/>
        <w:numPr>
          <w:ilvl w:val="0"/>
          <w:numId w:val="52"/>
        </w:numPr>
        <w:spacing w:after="0"/>
        <w:jc w:val="both"/>
        <w:rPr>
          <w:rFonts w:ascii="Arial" w:hAnsi="Arial" w:cs="Arial"/>
          <w:bCs/>
          <w:iCs/>
        </w:rPr>
      </w:pPr>
      <w:r>
        <w:rPr>
          <w:rFonts w:ascii="Arial" w:hAnsi="Arial" w:cs="Arial"/>
          <w:bCs/>
          <w:iCs/>
        </w:rPr>
        <w:t>potreba zabezpečenia výmeny relevantných informácií o žiadateľoch a projektoch, ktorými disponujú štátne orgány priamou vzájomnou komunikáciou, bez ich vyžadovania od žiadateľov a maximalizácia pozitívnych efektov spojených so zavedením efektívneho IT systému aj pri komunikácii vo väzbe poskytovateľ – prijímateľ;</w:t>
      </w:r>
    </w:p>
    <w:p>
      <w:pPr>
        <w:pStyle w:val="Odsekzoznamu"/>
        <w:numPr>
          <w:ilvl w:val="0"/>
          <w:numId w:val="52"/>
        </w:numPr>
        <w:spacing w:after="0"/>
        <w:jc w:val="both"/>
        <w:rPr>
          <w:rFonts w:ascii="Arial" w:hAnsi="Arial" w:cs="Arial"/>
          <w:bCs/>
          <w:iCs/>
        </w:rPr>
      </w:pPr>
      <w:r>
        <w:rPr>
          <w:rFonts w:ascii="Arial" w:hAnsi="Arial" w:cs="Arial"/>
          <w:bCs/>
          <w:iCs/>
        </w:rPr>
        <w:t xml:space="preserve">úprava jestvujúcich informačných systémov v kontexte princípov </w:t>
      </w:r>
      <w:proofErr w:type="spellStart"/>
      <w:r>
        <w:rPr>
          <w:rFonts w:ascii="Arial" w:hAnsi="Arial" w:cs="Arial"/>
          <w:bCs/>
          <w:iCs/>
        </w:rPr>
        <w:t>e-kohézie</w:t>
      </w:r>
      <w:proofErr w:type="spellEnd"/>
      <w:r>
        <w:rPr>
          <w:rFonts w:ascii="Arial" w:hAnsi="Arial" w:cs="Arial"/>
          <w:bCs/>
          <w:iCs/>
        </w:rPr>
        <w:t xml:space="preserve">, ktoré umožnia výrazné zníženie administratívnej záťaže a prácnosti implementácie IROP na strane žiadateľa, prijímateľa, poskytovateľa, auditu a kontroly. Bližšie očakávané prínosy zavedenia princípov </w:t>
      </w:r>
      <w:proofErr w:type="spellStart"/>
      <w:r>
        <w:rPr>
          <w:rFonts w:ascii="Arial" w:hAnsi="Arial" w:cs="Arial"/>
          <w:bCs/>
          <w:iCs/>
        </w:rPr>
        <w:t>e-kohézie</w:t>
      </w:r>
      <w:proofErr w:type="spellEnd"/>
      <w:r>
        <w:rPr>
          <w:rFonts w:ascii="Arial" w:hAnsi="Arial" w:cs="Arial"/>
          <w:bCs/>
          <w:iCs/>
        </w:rPr>
        <w:t xml:space="preserve"> sú popísané v Partnerskej dohode SR.</w:t>
      </w:r>
    </w:p>
    <w:p>
      <w:pPr>
        <w:spacing w:before="120" w:after="0"/>
        <w:jc w:val="both"/>
        <w:rPr>
          <w:rFonts w:ascii="Arial" w:hAnsi="Arial" w:cs="Arial"/>
          <w:bCs/>
          <w:iCs/>
        </w:rPr>
      </w:pPr>
      <w:r>
        <w:rPr>
          <w:rFonts w:ascii="Arial" w:hAnsi="Arial" w:cs="Arial"/>
          <w:bCs/>
          <w:iCs/>
        </w:rPr>
        <w:t>Na tieto oblasti je žiaduce  nadviazať aj pri nastavovaní procesov implementácie projektov a nárokov kladených na administratívu vo vzťahu k prijímateľom (najmä dostupné, kvalitné a zrozumiteľné informácie v podobe umožňujúcej jednoduchú prácu s nimi, overovanie informácií o prijímateľoch a projektoch priamou komunikáciou s relevantnými štátnymi organizáciami bez ich vyžadovania od prijímateľov a pod.). Okrem uvedených oblastí, sú navrhované nasledujúce opatrenia smerované na znižovanie administratívnej záťaže prijímateľov:</w:t>
      </w:r>
    </w:p>
    <w:p>
      <w:pPr>
        <w:spacing w:before="120" w:after="0"/>
        <w:jc w:val="both"/>
        <w:rPr>
          <w:rFonts w:ascii="Arial" w:hAnsi="Arial" w:cs="Arial"/>
          <w:bCs/>
          <w:iCs/>
        </w:rPr>
      </w:pPr>
    </w:p>
    <w:p>
      <w:pPr>
        <w:spacing w:before="120" w:after="0"/>
        <w:jc w:val="both"/>
        <w:rPr>
          <w:rFonts w:ascii="Arial" w:hAnsi="Arial" w:cs="Arial"/>
          <w:bCs/>
          <w:iCs/>
        </w:rPr>
      </w:pPr>
    </w:p>
    <w:p>
      <w:pPr>
        <w:spacing w:before="120" w:after="0"/>
        <w:jc w:val="both"/>
        <w:rPr>
          <w:rFonts w:ascii="Arial" w:hAnsi="Arial" w:cs="Arial"/>
          <w:bCs/>
          <w:iCs/>
        </w:rPr>
      </w:pPr>
    </w:p>
    <w:tbl>
      <w:tblPr>
        <w:tblStyle w:val="Svetlmriekazvraznenie11"/>
        <w:tblW w:w="9180" w:type="dxa"/>
        <w:tblLook w:val="04A0" w:firstRow="1" w:lastRow="0" w:firstColumn="1" w:lastColumn="0" w:noHBand="0" w:noVBand="1"/>
      </w:tblPr>
      <w:tblGrid>
        <w:gridCol w:w="4077"/>
        <w:gridCol w:w="2836"/>
        <w:gridCol w:w="226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pPr>
              <w:tabs>
                <w:tab w:val="left" w:pos="709"/>
              </w:tabs>
              <w:ind w:right="567"/>
              <w:rPr>
                <w:rFonts w:ascii="Arial" w:eastAsia="Calibri" w:hAnsi="Arial" w:cs="Arial"/>
                <w:b w:val="0"/>
                <w:bCs w:val="0"/>
                <w:sz w:val="18"/>
                <w:szCs w:val="18"/>
              </w:rPr>
            </w:pPr>
            <w:r>
              <w:rPr>
                <w:rFonts w:ascii="Arial" w:hAnsi="Arial" w:cs="Arial"/>
                <w:sz w:val="18"/>
                <w:szCs w:val="18"/>
              </w:rPr>
              <w:lastRenderedPageBreak/>
              <w:t>Plánované opatrenia</w:t>
            </w:r>
          </w:p>
        </w:tc>
        <w:tc>
          <w:tcPr>
            <w:tcW w:w="2836" w:type="dxa"/>
            <w:hideMark/>
          </w:tcPr>
          <w:p>
            <w:pPr>
              <w:tabs>
                <w:tab w:val="left" w:pos="709"/>
              </w:tabs>
              <w:ind w:right="56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Pr>
                <w:rFonts w:ascii="Arial" w:hAnsi="Arial" w:cs="Arial"/>
                <w:sz w:val="18"/>
                <w:szCs w:val="18"/>
              </w:rPr>
              <w:t>Začiatok realizácie opatrenia</w:t>
            </w:r>
          </w:p>
        </w:tc>
        <w:tc>
          <w:tcPr>
            <w:tcW w:w="2267" w:type="dxa"/>
            <w:hideMark/>
          </w:tcPr>
          <w:p>
            <w:pPr>
              <w:tabs>
                <w:tab w:val="left" w:pos="709"/>
              </w:tabs>
              <w:ind w:right="56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Pr>
                <w:rFonts w:ascii="Arial" w:hAnsi="Arial" w:cs="Arial"/>
                <w:sz w:val="18"/>
                <w:szCs w:val="18"/>
              </w:rPr>
              <w:t>Plná realizácia opatrenia</w:t>
            </w:r>
          </w:p>
        </w:tc>
      </w:tr>
      <w:tr>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Zapojenie zamestnancov do systému nepretržitého vzdelávania subjektov zapojených do implementácie EŠIF, s dopadom na zefektívnenie procesov implementácie a priame zníženie administratívnej záťaže prijímateľov</w:t>
            </w:r>
          </w:p>
        </w:tc>
        <w:tc>
          <w:tcPr>
            <w:tcW w:w="2836"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31. 12. 2014 a následne priebežne počas celého programového obdobia 2014 – 2020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 xml:space="preserve">Používanie prebudovaného súčasného informačného systému ITMS II na systém plne zohľadňujúci požiadavky </w:t>
            </w:r>
            <w:proofErr w:type="spellStart"/>
            <w:r>
              <w:rPr>
                <w:rFonts w:ascii="Arial" w:hAnsi="Arial" w:cs="Arial"/>
                <w:b w:val="0"/>
                <w:sz w:val="18"/>
                <w:szCs w:val="18"/>
              </w:rPr>
              <w:t>e-kohézie</w:t>
            </w:r>
            <w:proofErr w:type="spellEnd"/>
            <w:r>
              <w:rPr>
                <w:rFonts w:ascii="Arial" w:hAnsi="Arial" w:cs="Arial"/>
                <w:b w:val="0"/>
                <w:sz w:val="18"/>
                <w:szCs w:val="18"/>
              </w:rPr>
              <w:t>, ktorého dizajn a funkcionality budú zodpovedať súčasným svetovým štandardom inteligentných otvorených informačných systémov</w:t>
            </w:r>
          </w:p>
        </w:tc>
        <w:tc>
          <w:tcPr>
            <w:tcW w:w="2836" w:type="dxa"/>
            <w:shd w:val="clear" w:color="auto" w:fill="auto"/>
            <w:hideMark/>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 12. 2015 a následne</w:t>
            </w:r>
          </w:p>
        </w:tc>
      </w:tr>
      <w:tr>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hideMark/>
          </w:tcPr>
          <w:p>
            <w:pPr>
              <w:tabs>
                <w:tab w:val="left" w:pos="709"/>
              </w:tabs>
              <w:ind w:right="567"/>
              <w:rPr>
                <w:rFonts w:ascii="Arial" w:eastAsia="Calibri" w:hAnsi="Arial" w:cs="Arial"/>
                <w:b w:val="0"/>
                <w:sz w:val="18"/>
                <w:szCs w:val="18"/>
              </w:rPr>
            </w:pPr>
            <w:r>
              <w:rPr>
                <w:rFonts w:ascii="Arial" w:hAnsi="Arial" w:cs="Arial"/>
                <w:b w:val="0"/>
                <w:sz w:val="18"/>
                <w:szCs w:val="18"/>
              </w:rPr>
              <w:t>Aplikovanie jednotných, jasných a efektívnych pravidiel zmenového konania umožňujúceho optimálne reagovať na zmenené podmienky realizácie projektu, zverejnených zo strany CKO</w:t>
            </w:r>
          </w:p>
        </w:tc>
        <w:tc>
          <w:tcPr>
            <w:tcW w:w="2836"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1. 1. 2014</w:t>
            </w:r>
          </w:p>
        </w:tc>
        <w:tc>
          <w:tcPr>
            <w:tcW w:w="2267" w:type="dxa"/>
            <w:shd w:val="clear" w:color="auto" w:fill="auto"/>
            <w:hideMark/>
          </w:tcPr>
          <w:p>
            <w:pPr>
              <w:tabs>
                <w:tab w:val="left" w:pos="709"/>
              </w:tabs>
              <w:ind w:right="567"/>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Times New Roman" w:hAnsi="Arial" w:cs="Arial"/>
                <w:sz w:val="18"/>
                <w:szCs w:val="18"/>
              </w:rPr>
              <w:t>31. 12. 2014 a následne</w:t>
            </w:r>
          </w:p>
        </w:tc>
      </w:tr>
      <w:tr>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077" w:type="dxa"/>
          </w:tcPr>
          <w:p>
            <w:pPr>
              <w:tabs>
                <w:tab w:val="left" w:pos="709"/>
              </w:tabs>
              <w:ind w:right="567"/>
              <w:rPr>
                <w:rFonts w:ascii="Arial" w:hAnsi="Arial" w:cs="Arial"/>
                <w:b w:val="0"/>
                <w:sz w:val="18"/>
                <w:szCs w:val="18"/>
              </w:rPr>
            </w:pPr>
            <w:r>
              <w:rPr>
                <w:rFonts w:ascii="Arial" w:hAnsi="Arial" w:cs="Arial"/>
                <w:b w:val="0"/>
                <w:sz w:val="18"/>
                <w:szCs w:val="18"/>
              </w:rPr>
              <w:t xml:space="preserve">Aplikovanie modelových vzorov dokumentácie k verejnému obstarávaniu zverejnených zo strany Úradu pre verejné obstarávanie v užívateľsky jednoduchom on-line prostredí s cieľom šírenia príkladov dobrej praxe v oblasti verejného obstarávania </w:t>
            </w:r>
          </w:p>
        </w:tc>
        <w:tc>
          <w:tcPr>
            <w:tcW w:w="2836" w:type="dxa"/>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1.11.2013</w:t>
            </w:r>
          </w:p>
        </w:tc>
        <w:tc>
          <w:tcPr>
            <w:tcW w:w="2267" w:type="dxa"/>
          </w:tcPr>
          <w:p>
            <w:pPr>
              <w:tabs>
                <w:tab w:val="left" w:pos="709"/>
              </w:tabs>
              <w:ind w:right="56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1.7.2014 a následne</w:t>
            </w:r>
          </w:p>
        </w:tc>
      </w:tr>
    </w:tbl>
    <w:p>
      <w:pPr>
        <w:spacing w:before="120" w:after="0"/>
        <w:jc w:val="both"/>
        <w:rPr>
          <w:rFonts w:ascii="Arial" w:hAnsi="Arial" w:cs="Arial"/>
        </w:rPr>
      </w:pPr>
    </w:p>
    <w:p>
      <w:pPr>
        <w:spacing w:before="120" w:after="0"/>
        <w:jc w:val="both"/>
        <w:rPr>
          <w:rFonts w:ascii="Arial" w:hAnsi="Arial" w:cs="Arial"/>
        </w:rPr>
      </w:pPr>
      <w:r>
        <w:rPr>
          <w:rFonts w:ascii="Arial" w:hAnsi="Arial" w:cs="Arial"/>
        </w:rPr>
        <w:t>Zároveň boli identifikované aj nasledujúce oblasti s významným potenciálom ďalšieho znižovania administratívnej záťaže prijímateľov:</w:t>
      </w:r>
    </w:p>
    <w:p>
      <w:pPr>
        <w:pStyle w:val="Odsekzoznamu"/>
        <w:numPr>
          <w:ilvl w:val="0"/>
          <w:numId w:val="53"/>
        </w:numPr>
        <w:spacing w:before="120" w:after="0"/>
        <w:jc w:val="both"/>
        <w:rPr>
          <w:rFonts w:ascii="Arial" w:hAnsi="Arial" w:cs="Arial"/>
        </w:rPr>
      </w:pPr>
      <w:r>
        <w:rPr>
          <w:rFonts w:ascii="Arial" w:hAnsi="Arial" w:cs="Arial"/>
        </w:rPr>
        <w:t>zabezpečenie čo najširšieho využitia zjednodušeného vykazovania výdavkov projektov;</w:t>
      </w:r>
    </w:p>
    <w:p>
      <w:pPr>
        <w:pStyle w:val="Odsekzoznamu"/>
        <w:numPr>
          <w:ilvl w:val="0"/>
          <w:numId w:val="53"/>
        </w:numPr>
        <w:spacing w:before="120" w:after="0"/>
        <w:jc w:val="both"/>
        <w:rPr>
          <w:rFonts w:ascii="Arial" w:hAnsi="Arial" w:cs="Arial"/>
        </w:rPr>
      </w:pPr>
      <w:r>
        <w:rPr>
          <w:rFonts w:ascii="Arial" w:hAnsi="Arial" w:cs="Arial"/>
        </w:rPr>
        <w:t>používanie jednotnej a unifikovanej dokumentácie upravujúcej spôsob a postupy implementácie projektov, vrátane pravidelnej aktualizácie zoznamov opakujúcich sa nedostatkov a pochybení a šírenia príkladov dobrej praxe v implementácii projektov;</w:t>
      </w:r>
    </w:p>
    <w:p>
      <w:pPr>
        <w:pStyle w:val="Odsekzoznamu"/>
        <w:numPr>
          <w:ilvl w:val="0"/>
          <w:numId w:val="53"/>
        </w:numPr>
        <w:spacing w:before="120" w:after="0"/>
        <w:jc w:val="both"/>
        <w:rPr>
          <w:rFonts w:ascii="Arial" w:hAnsi="Arial" w:cs="Arial"/>
        </w:rPr>
      </w:pPr>
      <w:r>
        <w:rPr>
          <w:rFonts w:ascii="Arial" w:hAnsi="Arial" w:cs="Arial"/>
        </w:rPr>
        <w:t>využívanie jednotnej siete subjektov poskytujúcich poradenské a informačné služby s cieľom zvýšiť dostupnosť informácií pre prijímateľov, uľahčiť prípravu podkladov spojených s implementáciou projektu a znížiť finančnú náročnosť riadenia projektov spojenú s potrebou externe zabezpečovaných poradenských služieb pri implementácii projektov;</w:t>
      </w:r>
    </w:p>
    <w:p>
      <w:pPr>
        <w:pStyle w:val="Odsekzoznamu"/>
        <w:numPr>
          <w:ilvl w:val="0"/>
          <w:numId w:val="53"/>
        </w:numPr>
        <w:spacing w:before="120" w:after="0"/>
        <w:jc w:val="both"/>
        <w:rPr>
          <w:rFonts w:ascii="Arial" w:hAnsi="Arial" w:cs="Arial"/>
        </w:rPr>
      </w:pPr>
      <w:r>
        <w:rPr>
          <w:rFonts w:ascii="Arial" w:hAnsi="Arial" w:cs="Arial"/>
        </w:rPr>
        <w:t>zavedenie dodržiavania pravidiel prehľadného a efektívneho projektového riadenia a poskytnutie odborného poradenstva v danej oblasti pre prijímateľov v rámci štruktúr jednotnej siete informačných a poradenských centier vrátane Národnej siete rozvoja vidieka SR.</w:t>
      </w:r>
    </w:p>
    <w:p>
      <w:pPr>
        <w:spacing w:before="120" w:after="0"/>
        <w:jc w:val="both"/>
        <w:rPr>
          <w:rFonts w:ascii="Arial" w:hAnsi="Arial" w:cs="Arial"/>
        </w:rPr>
      </w:pPr>
    </w:p>
    <w:p>
      <w:pPr>
        <w:pStyle w:val="Nadpis1"/>
        <w:rPr>
          <w:rFonts w:ascii="Arial" w:hAnsi="Arial" w:cs="Arial"/>
        </w:rPr>
      </w:pPr>
      <w:bookmarkStart w:id="167" w:name="_Toc387651899"/>
      <w:r>
        <w:rPr>
          <w:rFonts w:ascii="Arial" w:hAnsi="Arial" w:cs="Arial"/>
        </w:rPr>
        <w:lastRenderedPageBreak/>
        <w:t>11 Horizontálne princípy</w:t>
      </w:r>
      <w:bookmarkEnd w:id="167"/>
    </w:p>
    <w:p>
      <w:pPr>
        <w:pStyle w:val="Nadpis2"/>
        <w:rPr>
          <w:rFonts w:ascii="Arial" w:hAnsi="Arial" w:cs="Arial"/>
        </w:rPr>
      </w:pPr>
      <w:bookmarkStart w:id="168" w:name="_Toc387651900"/>
      <w:r>
        <w:rPr>
          <w:rFonts w:ascii="Arial" w:hAnsi="Arial" w:cs="Arial"/>
        </w:rPr>
        <w:t>11.1 Udržateľný rozvoj</w:t>
      </w:r>
      <w:bookmarkEnd w:id="168"/>
    </w:p>
    <w:p>
      <w:pPr>
        <w:rPr>
          <w:rFonts w:ascii="Arial" w:hAnsi="Arial" w:cs="Arial"/>
        </w:rPr>
      </w:pPr>
    </w:p>
    <w:p>
      <w:pPr>
        <w:spacing w:after="0"/>
        <w:jc w:val="both"/>
        <w:rPr>
          <w:rFonts w:ascii="Arial" w:hAnsi="Arial" w:cs="Arial"/>
          <w:bCs/>
          <w:iCs/>
        </w:rPr>
      </w:pPr>
      <w:r>
        <w:rPr>
          <w:rFonts w:ascii="Arial" w:hAnsi="Arial" w:cs="Arial"/>
          <w:bCs/>
          <w:iCs/>
        </w:rPr>
        <w:t>Hlavným cieľom Horizontálneho princípu Udržateľný rozvoj (ďalej aj „HP UR“) je zabezpečenie environmentálnej, ekonomickej a sociálnej udržateľnosti rastu s osobitným dôrazom na ochranu a zlepšenie životného prostredia pri zohľadnení zásady „znečisťovateľ platí“. Uvedené tri piliere UR sú špecifickými cieľmi HP UR. Tie sa ďalej členia na čiastkové ciele, ktoré zahŕňajú vecne príslušné tematické ciele stanovené pre EŠIF.</w:t>
      </w:r>
    </w:p>
    <w:p>
      <w:pPr>
        <w:spacing w:before="240" w:after="0"/>
        <w:jc w:val="both"/>
        <w:rPr>
          <w:rFonts w:ascii="Arial" w:hAnsi="Arial" w:cs="Arial"/>
          <w:bCs/>
          <w:iCs/>
        </w:rPr>
      </w:pPr>
      <w:r>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 SR využívajú predovšetkým dva horizontálne nástroje – integrovaná prevencia a kontrola znečisťovania a posudzovanie vplyvov na ŽP (EIA). </w:t>
      </w:r>
    </w:p>
    <w:p>
      <w:pPr>
        <w:spacing w:before="240" w:after="0"/>
        <w:jc w:val="both"/>
        <w:rPr>
          <w:rFonts w:ascii="Arial" w:hAnsi="Arial" w:cs="Arial"/>
          <w:bCs/>
          <w:iCs/>
        </w:rPr>
      </w:pPr>
      <w:r>
        <w:rPr>
          <w:rFonts w:ascii="Arial" w:hAnsi="Arial" w:cs="Arial"/>
          <w:bCs/>
          <w:iCs/>
        </w:rPr>
        <w:t xml:space="preserve">V súvislosti s potrebou identifikovať možnosti </w:t>
      </w:r>
      <w:proofErr w:type="spellStart"/>
      <w:r>
        <w:rPr>
          <w:rFonts w:ascii="Arial" w:hAnsi="Arial" w:cs="Arial"/>
          <w:bCs/>
          <w:iCs/>
        </w:rPr>
        <w:t>proaktívnej</w:t>
      </w:r>
      <w:proofErr w:type="spellEnd"/>
      <w:r>
        <w:rPr>
          <w:rFonts w:ascii="Arial" w:hAnsi="Arial" w:cs="Arial"/>
          <w:bCs/>
          <w:iCs/>
        </w:rPr>
        <w:t xml:space="preserve"> adaptácie na dôsledky zmeny klímy bola vypracovaná národná </w:t>
      </w:r>
      <w:r>
        <w:rPr>
          <w:rFonts w:ascii="Arial" w:hAnsi="Arial" w:cs="Arial"/>
          <w:bCs/>
          <w:i/>
          <w:iCs/>
        </w:rPr>
        <w:t>Stratégia adaptácie SR na nepriaznivé dôsledky zmeny klímy</w:t>
      </w:r>
      <w:r>
        <w:rPr>
          <w:rFonts w:ascii="Arial" w:hAnsi="Arial" w:cs="Arial"/>
          <w:bCs/>
          <w:iCs/>
        </w:rPr>
        <w:t>. V súlade so závermi Rady EÚ z februára 2013 boli aktivity v oblasti zmeny klímy (</w:t>
      </w:r>
      <w:proofErr w:type="spellStart"/>
      <w:r>
        <w:rPr>
          <w:rFonts w:ascii="Arial" w:hAnsi="Arial" w:cs="Arial"/>
          <w:bCs/>
          <w:iCs/>
        </w:rPr>
        <w:t>mitigácie</w:t>
      </w:r>
      <w:proofErr w:type="spellEnd"/>
      <w:r>
        <w:rPr>
          <w:rFonts w:ascii="Arial" w:hAnsi="Arial" w:cs="Arial"/>
          <w:bCs/>
          <w:iCs/>
        </w:rPr>
        <w:t xml:space="preserve"> a adaptácie) priamo začlenené aj do IROP s vyčlenením indikatívnej alokácie na identifikované opatrenia.</w:t>
      </w:r>
    </w:p>
    <w:p>
      <w:pPr>
        <w:spacing w:before="240" w:after="0"/>
        <w:jc w:val="both"/>
        <w:rPr>
          <w:rFonts w:ascii="Arial" w:hAnsi="Arial" w:cs="Arial"/>
          <w:bCs/>
          <w:iCs/>
        </w:rPr>
      </w:pPr>
      <w:r>
        <w:rPr>
          <w:rFonts w:ascii="Arial" w:hAnsi="Arial" w:cs="Arial"/>
          <w:bCs/>
          <w:i/>
          <w:iCs/>
        </w:rPr>
        <w:t>Aktualizovaná národná stratégia ochrany biodiverzity pre roky 2012 – 2020</w:t>
      </w:r>
      <w:r>
        <w:rPr>
          <w:rFonts w:ascii="Arial" w:hAnsi="Arial" w:cs="Arial"/>
          <w:bCs/>
          <w:iCs/>
          <w:vertAlign w:val="superscript"/>
        </w:rPr>
        <w:footnoteReference w:id="62"/>
      </w:r>
      <w:r>
        <w:rPr>
          <w:rFonts w:ascii="Arial" w:hAnsi="Arial" w:cs="Arial"/>
          <w:bCs/>
          <w:iCs/>
        </w:rPr>
        <w:t xml:space="preserve"> bola schválená uznesením vlády SR č. 12/2014. Kľúčovým cieľom zostáva zastavenie straty biodiverzity a degradácie ekosystémov v SR, čo najlepšie zabezpečenie ich revitalizácie a racionálneho využívania ekosystémových služieb.</w:t>
      </w:r>
    </w:p>
    <w:p>
      <w:pPr>
        <w:spacing w:before="240"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pPr>
        <w:spacing w:before="240" w:after="0"/>
        <w:jc w:val="both"/>
        <w:rPr>
          <w:rFonts w:ascii="Arial" w:hAnsi="Arial" w:cs="Arial"/>
          <w:bCs/>
          <w:iCs/>
        </w:rPr>
      </w:pPr>
      <w:r>
        <w:rPr>
          <w:rFonts w:ascii="Arial" w:hAnsi="Arial" w:cs="Arial"/>
          <w:bCs/>
          <w:iCs/>
        </w:rPr>
        <w:t xml:space="preserve">V roku 2011 MŽP SR pripravilo </w:t>
      </w:r>
      <w:r>
        <w:rPr>
          <w:rFonts w:ascii="Arial" w:hAnsi="Arial" w:cs="Arial"/>
          <w:bCs/>
          <w:i/>
          <w:iCs/>
        </w:rPr>
        <w:t>Národný akčný plán pre zelené verejné obstarávanie v SR na roky 2011 až 2015</w:t>
      </w:r>
      <w:r>
        <w:rPr>
          <w:rFonts w:ascii="Arial" w:hAnsi="Arial" w:cs="Arial"/>
          <w:bCs/>
          <w:iCs/>
        </w:rPr>
        <w:t>. Strategickým cieľom je „</w:t>
      </w:r>
      <w:r>
        <w:rPr>
          <w:rFonts w:ascii="Arial" w:hAnsi="Arial" w:cs="Arial"/>
          <w:bCs/>
          <w:i/>
          <w:iCs/>
        </w:rPr>
        <w:t>zvýšiť úroveň uplatňovania zeleného verejného obstarávania v SR na úrovni ústredných orgánov štátnej správnej správy na 65% a na úrovni samosprávnych krajov a miest na 50% do roku 2015</w:t>
      </w:r>
      <w:r>
        <w:rPr>
          <w:rFonts w:ascii="Arial" w:hAnsi="Arial" w:cs="Arial"/>
          <w:bCs/>
          <w:iCs/>
        </w:rPr>
        <w:t xml:space="preserve">“. Zeleným VO možno dosiahnuť okrem environmentálnych prínosov aj sociálne/zdravotné prínosy a ekonomické prínosy. </w:t>
      </w:r>
      <w:r>
        <w:rPr>
          <w:rFonts w:ascii="Arial" w:eastAsia="Times New Roman" w:hAnsi="Arial" w:cs="Arial"/>
        </w:rPr>
        <w:t xml:space="preserve">V </w:t>
      </w:r>
      <w:r>
        <w:rPr>
          <w:rFonts w:ascii="Arial" w:hAnsi="Arial" w:cs="Arial"/>
          <w:bCs/>
          <w:iCs/>
        </w:rPr>
        <w:t>súlade</w:t>
      </w:r>
      <w:r>
        <w:rPr>
          <w:rFonts w:ascii="Arial" w:hAnsi="Arial" w:cs="Arial"/>
          <w:szCs w:val="24"/>
        </w:rPr>
        <w:t xml:space="preserve"> so znením PD SR z</w:t>
      </w:r>
      <w:r>
        <w:rPr>
          <w:rFonts w:ascii="Arial" w:eastAsia="Times New Roman" w:hAnsi="Arial" w:cs="Arial"/>
        </w:rPr>
        <w:t xml:space="preserve">a účelom znižovania negatívnych vplyvov na klímu, znižovania znečistenia ovzdušia a ostatných zložiek životného prostredia sa v rámci </w:t>
      </w:r>
      <w:r>
        <w:rPr>
          <w:rFonts w:ascii="Arial" w:eastAsia="Times New Roman" w:hAnsi="Arial" w:cs="Arial"/>
        </w:rPr>
        <w:lastRenderedPageBreak/>
        <w:t>implementácie IROP uplatňujú pravidlá zeleného VO</w:t>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 spolufinancované z EŠIF</w:t>
      </w:r>
      <w:r>
        <w:rPr>
          <w:rStyle w:val="Odkaznapoznmkupodiarou"/>
          <w:rFonts w:ascii="Arial" w:eastAsia="Times New Roman" w:hAnsi="Arial" w:cs="Arial"/>
        </w:rPr>
        <w:footnoteReference w:id="63"/>
      </w:r>
      <w:r>
        <w:rPr>
          <w:rFonts w:ascii="Arial" w:eastAsia="Times New Roman" w:hAnsi="Arial" w:cs="Arial"/>
        </w:rPr>
        <w:t xml:space="preserve">. </w:t>
      </w:r>
      <w:r>
        <w:rPr>
          <w:rFonts w:ascii="Arial" w:hAnsi="Arial" w:cs="Arial"/>
          <w:bCs/>
          <w:iCs/>
        </w:rPr>
        <w:t xml:space="preserve">Vzhľadom na úzku väzbu týchto prínosov na ciele HP UR koordinátor zohľadňuje aj využívanie tohto dobrovoľného nástroja environmentálnej politiky. </w:t>
      </w:r>
    </w:p>
    <w:p>
      <w:pPr>
        <w:spacing w:before="240" w:after="0"/>
        <w:jc w:val="both"/>
        <w:rPr>
          <w:rFonts w:ascii="Arial" w:hAnsi="Arial" w:cs="Arial"/>
          <w:bCs/>
          <w:iCs/>
        </w:rPr>
      </w:pPr>
      <w:r>
        <w:rPr>
          <w:rFonts w:ascii="Arial" w:hAnsi="Arial" w:cs="Arial"/>
          <w:bCs/>
          <w:iCs/>
        </w:rPr>
        <w:t xml:space="preserve">Základný rámec HP UR je integrálnou súčasťou IROP,  programového manuálu a príručky pre žiadateľa/prijímateľa NFP apod. V hodnotiacom a výberovom procese je HP UR stanovený ako diskvalifikačné kritérium. Proces monitorovania plnenia HP UR je v projektoch  sledovaný prostredníctvom monitorovacích správ a následne hodnotením príspevku k cieľom HP UR. Samostatný výstup obsahujúci informácie o uplatňovaní HP UR je podkladom pre proces hodnotenia príspevku EŠIF k plneniu cieľov HP UR. </w:t>
      </w:r>
    </w:p>
    <w:p>
      <w:pPr>
        <w:spacing w:before="240" w:after="0"/>
        <w:jc w:val="both"/>
        <w:rPr>
          <w:rFonts w:ascii="Arial" w:hAnsi="Arial" w:cs="Arial"/>
          <w:bCs/>
          <w:iCs/>
        </w:rPr>
      </w:pPr>
      <w:r>
        <w:rPr>
          <w:rFonts w:ascii="Arial" w:hAnsi="Arial" w:cs="Arial"/>
          <w:bCs/>
          <w:iCs/>
        </w:rPr>
        <w:t xml:space="preserve">RO IROP predkladá orgánu zodpovednému za uplatňovanie  HP UR pravidelnú informáciu o jeho plnení, a to vyhodnotením monitorovacích správ, ako aj  kontrol na mieste v pravidelných časových intervaloch. V rámci jednotlivých pilierov sa v prípade vhodnosti sledujú na úrovni projektov príslušné ukazovatele výstupov napr. dodatočná kapacita pre výrobu obnoviteľnej energie, zníženie ročnej spotreby primárnej energie v podporených budovách, počet nových a udržaných pracovných miest, nárast tržieb podporených MSP, počet IKT zariadení/systémov, počet novovzniknutých podnikateľských subjektov (SZČO, právnické osoby, apod.). Analytická, hodnotiaca, strategická a  metodická  činnosť pre uplatňovanie HP UR je na národnej úrovni zabezpečovaná ÚV SR. Rovnako sa zabezpečujú vzdelávacie a školiace aktivity subjektom zapojeným do implementácie EŠIF, ako aj relevantným sociálno-ekonomickým partnerom. Koordinátor HP UR mal zastúpenie v pracovnej skupine pre prípravu  IROP a má v MV IROP. </w:t>
      </w:r>
    </w:p>
    <w:p>
      <w:pPr>
        <w:spacing w:before="240" w:after="0"/>
        <w:jc w:val="both"/>
        <w:rPr>
          <w:rFonts w:ascii="Arial" w:hAnsi="Arial" w:cs="Arial"/>
          <w:bCs/>
          <w:iCs/>
        </w:rPr>
      </w:pPr>
      <w:r>
        <w:rPr>
          <w:rFonts w:ascii="Arial" w:hAnsi="Arial" w:cs="Arial"/>
          <w:bCs/>
          <w:iCs/>
        </w:rPr>
        <w:t>Investičná stratégia IROP v oblastiach podpory dotýkajúcich sa environmentálnej infraštruktúry je v súlade–s NPR SR 2011 - 2014 „</w:t>
      </w:r>
      <w:r>
        <w:rPr>
          <w:rFonts w:ascii="Arial" w:hAnsi="Arial" w:cs="Arial"/>
          <w:bCs/>
          <w:i/>
          <w:iCs/>
        </w:rPr>
        <w:t>klásť dôraz na  zelený rast s cieľom využívať čistejšie zdroje rastu a rozvíjať zelený priemysel, služby  technológie a pracovné miesta.</w:t>
      </w:r>
      <w:r>
        <w:rPr>
          <w:rFonts w:ascii="Arial" w:hAnsi="Arial" w:cs="Arial"/>
          <w:bCs/>
          <w:iCs/>
        </w:rPr>
        <w:t>“</w:t>
      </w:r>
      <w:r>
        <w:rPr>
          <w:rStyle w:val="Odkaznapoznmkupodiarou"/>
        </w:rPr>
        <w:footnoteReference w:id="64"/>
      </w:r>
    </w:p>
    <w:p>
      <w:pPr>
        <w:spacing w:after="0"/>
        <w:jc w:val="both"/>
        <w:rPr>
          <w:rFonts w:ascii="Arial" w:hAnsi="Arial" w:cs="Arial"/>
          <w:bCs/>
          <w:iCs/>
        </w:rPr>
      </w:pPr>
      <w:r>
        <w:rPr>
          <w:rFonts w:ascii="Arial" w:hAnsi="Arial" w:cs="Arial"/>
          <w:bCs/>
          <w:iCs/>
        </w:rPr>
        <w:t xml:space="preserve">  </w:t>
      </w:r>
    </w:p>
    <w:p>
      <w:pPr>
        <w:pStyle w:val="Nadpis2"/>
        <w:rPr>
          <w:rFonts w:ascii="Arial" w:hAnsi="Arial" w:cs="Arial"/>
        </w:rPr>
      </w:pPr>
      <w:bookmarkStart w:id="169" w:name="_Toc387651901"/>
      <w:r>
        <w:rPr>
          <w:rFonts w:ascii="Arial" w:hAnsi="Arial" w:cs="Arial"/>
        </w:rPr>
        <w:t>11.2 Rovnosť príležitostí a nediskriminácia</w:t>
      </w:r>
      <w:bookmarkEnd w:id="169"/>
    </w:p>
    <w:p>
      <w:pPr>
        <w:rPr>
          <w:rFonts w:ascii="Arial" w:hAnsi="Arial" w:cs="Arial"/>
        </w:rPr>
      </w:pPr>
    </w:p>
    <w:p>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Pr>
          <w:rFonts w:ascii="Arial" w:hAnsi="Arial" w:cs="Arial"/>
        </w:rPr>
        <w:t xml:space="preserve"> Tieto </w:t>
      </w:r>
      <w:r>
        <w:rPr>
          <w:rFonts w:ascii="Arial" w:hAnsi="Arial" w:cs="Arial"/>
        </w:rPr>
        <w:lastRenderedPageBreak/>
        <w:t>princípy sa uplatňujú v IROP, a to prostredníctvom zavádzania vyrovnávacích opatrení a aktivít cielených na podporu znevýhodnených skupín.</w:t>
      </w:r>
    </w:p>
    <w:p>
      <w:pPr>
        <w:jc w:val="both"/>
        <w:rPr>
          <w:rFonts w:ascii="Arial" w:hAnsi="Arial" w:cs="Arial"/>
        </w:rPr>
      </w:pPr>
      <w:r>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pPr>
        <w:jc w:val="both"/>
        <w:rPr>
          <w:rFonts w:ascii="Arial" w:hAnsi="Arial" w:cs="Arial"/>
        </w:rPr>
      </w:pPr>
      <w:r>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Pr>
          <w:rFonts w:ascii="Arial" w:hAnsi="Arial" w:cs="Arial"/>
        </w:rPr>
        <w:t>č. 532/2002 Z. z.</w:t>
      </w:r>
      <w:r>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 Aktuálne  sa pripravuje novelizácia Stavebného zákona, ktorá má zabezpečiť osobám so zdravotným postihnutím na rovnakom základe s ostatnými prístup k fyzickému prostrediu a pohyb v ňom. Ustanovenia Stavebného zákona týkajúce sa základných požiadaviek na stavby sú prevzaté z Nariadenia Európskeho parlamentu a Rady (EÚ) č. 305/2011 z 9. marca 2011, ktorým sa ustanovujú harmonizované podmienky uvádzania stavebných výrobkov na trh a ktorým sa ustanovujú harmonizované podmienky uvádzania stavebných výrobkov na</w:t>
      </w:r>
      <w:r>
        <w:rPr>
          <w:rFonts w:ascii="Arial" w:hAnsi="Arial" w:cs="Arial"/>
        </w:rPr>
        <w:t xml:space="preserve"> trh a ktorým sa zrušuje smernica Rady 89/106/EHS.</w:t>
      </w:r>
    </w:p>
    <w:p>
      <w:pPr>
        <w:jc w:val="both"/>
        <w:rPr>
          <w:rFonts w:ascii="Arial" w:hAnsi="Arial" w:cs="Arial"/>
        </w:rPr>
      </w:pPr>
      <w:r>
        <w:rPr>
          <w:rFonts w:ascii="Arial" w:hAnsi="Arial" w:cs="Arial"/>
        </w:rPr>
        <w:t xml:space="preserve">Jedným </w:t>
      </w:r>
      <w:r>
        <w:rPr>
          <w:rFonts w:ascii="Arial" w:hAnsi="Arial" w:cs="Arial"/>
          <w:bCs/>
          <w:iCs/>
        </w:rPr>
        <w:t>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bezbariérového prostredia metódou univerzálneho navrhovania</w:t>
      </w:r>
      <w:r>
        <w:rPr>
          <w:rFonts w:ascii="Arial" w:hAnsi="Arial" w:cs="Arial"/>
        </w:rPr>
        <w:t>.</w:t>
      </w:r>
    </w:p>
    <w:p>
      <w:pPr>
        <w:jc w:val="both"/>
        <w:rPr>
          <w:rFonts w:ascii="Arial" w:hAnsi="Arial" w:cs="Arial"/>
        </w:rPr>
      </w:pPr>
      <w:r>
        <w:rPr>
          <w:rFonts w:ascii="Arial" w:hAnsi="Arial" w:cs="Arial"/>
        </w:rPr>
        <w:t xml:space="preserve">Hlavné zásady, princípy a požiadavky, ktorými sa zabezpečuje prístupnosť informácií sú obsiahnuté vo výnose MF SR č. 312/2010 </w:t>
      </w:r>
      <w:proofErr w:type="spellStart"/>
      <w:r>
        <w:rPr>
          <w:rFonts w:ascii="Arial" w:hAnsi="Arial" w:cs="Arial"/>
        </w:rPr>
        <w:t>Z.z</w:t>
      </w:r>
      <w:proofErr w:type="spellEnd"/>
      <w:r>
        <w:rPr>
          <w:rFonts w:ascii="Arial" w:hAnsi="Arial" w:cs="Arial"/>
        </w:rPr>
        <w:t>. o štandardoch pre informačné systémy verejnej správy. Národný program rozvoja životných podmienok osôb so zdravotným postihnutím na roky 2014 – 2020 tiež obsahuje opatrenia 4.3.1, 4.3.2, 4.3.3 a 4.3.10 na zabezpečenie prístupnosti informácií.</w:t>
      </w:r>
    </w:p>
    <w:p>
      <w:pPr>
        <w:jc w:val="both"/>
        <w:rPr>
          <w:rFonts w:ascii="Arial" w:hAnsi="Arial" w:cs="Arial"/>
        </w:rPr>
      </w:pPr>
      <w:r>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horizontálnych princípov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pPr>
        <w:jc w:val="both"/>
        <w:rPr>
          <w:rFonts w:ascii="Arial" w:hAnsi="Arial" w:cs="Arial"/>
        </w:rPr>
      </w:pPr>
      <w:r>
        <w:rPr>
          <w:rFonts w:ascii="Arial" w:hAnsi="Arial" w:cs="Arial"/>
        </w:rPr>
        <w:lastRenderedPageBreak/>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EŠIF, ako aj relevantným sociálno-ekonomickým partnerom. Na efektívne a účinné uplatňovanie HP Rovnosť príležitostí a nediskriminácia je na úrovni IROP optimalizovaný počet zamestnancov, ktorí zabezpečujú vykonávanie vymenovaných činností.</w:t>
      </w:r>
    </w:p>
    <w:p>
      <w:pPr>
        <w:jc w:val="both"/>
        <w:rPr>
          <w:rFonts w:ascii="Arial" w:hAnsi="Arial" w:cs="Arial"/>
        </w:rPr>
      </w:pPr>
      <w:r>
        <w:rPr>
          <w:rFonts w:ascii="Arial" w:hAnsi="Arial" w:cs="Arial"/>
        </w:rPr>
        <w:t>Vecne príslušní zástupcovia MPSVR SR za uplatňovanie HP Rovnosť príležitostí a nediskriminácia majú zabezpečené zastúpenie v Monitorovacom výbore pre IROP. MPSVR SR malo zastúpenie aj v pracovnej skupine na prípravu IROP.</w:t>
      </w:r>
    </w:p>
    <w:p>
      <w:pPr>
        <w:jc w:val="both"/>
        <w:rPr>
          <w:rFonts w:ascii="Arial" w:hAnsi="Arial" w:cs="Arial"/>
        </w:rPr>
      </w:pPr>
    </w:p>
    <w:p>
      <w:pPr>
        <w:pStyle w:val="Nadpis2"/>
        <w:rPr>
          <w:rFonts w:ascii="Arial" w:hAnsi="Arial" w:cs="Arial"/>
        </w:rPr>
      </w:pPr>
      <w:bookmarkStart w:id="170" w:name="_Toc387651902"/>
      <w:r>
        <w:rPr>
          <w:rFonts w:ascii="Arial" w:hAnsi="Arial" w:cs="Arial"/>
        </w:rPr>
        <w:t>11.3 Rovnosť medzi mužmi a ženami</w:t>
      </w:r>
      <w:bookmarkEnd w:id="170"/>
    </w:p>
    <w:p>
      <w:pPr>
        <w:rPr>
          <w:rFonts w:ascii="Arial" w:hAnsi="Arial" w:cs="Arial"/>
          <w:i/>
          <w:color w:val="4EACF3"/>
        </w:rPr>
      </w:pPr>
    </w:p>
    <w:p>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pPr>
        <w:jc w:val="both"/>
        <w:rPr>
          <w:rFonts w:ascii="Arial" w:hAnsi="Arial" w:cs="Arial"/>
        </w:rPr>
      </w:pPr>
      <w:r>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uplatňujú v IROP, a to prostredníctvom zavádzania vyrovnávacích opatrení a aktivít cielených na podporu znevýhodnených skupín.</w:t>
      </w:r>
    </w:p>
    <w:p>
      <w:pPr>
        <w:jc w:val="both"/>
        <w:rPr>
          <w:rFonts w:ascii="Arial" w:hAnsi="Arial" w:cs="Arial"/>
        </w:rPr>
      </w:pPr>
      <w:r>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horizontálnych princípov.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pPr>
        <w:jc w:val="both"/>
        <w:rPr>
          <w:rFonts w:ascii="Arial" w:hAnsi="Arial" w:cs="Arial"/>
        </w:rPr>
      </w:pPr>
      <w:r>
        <w:rPr>
          <w:rFonts w:ascii="Arial" w:hAnsi="Arial" w:cs="Arial"/>
        </w:rPr>
        <w:t xml:space="preserve">RO pre IROP predkladá orgánu zodpovednému za uplatňovanie HP Rodová rovnosť pravidelnú informáciu o jeho plnení, a to vyhodnotením monitorovacích správ a kontrol na </w:t>
      </w:r>
      <w:r>
        <w:rPr>
          <w:rFonts w:ascii="Arial" w:hAnsi="Arial" w:cs="Arial"/>
        </w:rPr>
        <w:lastRenderedPageBreak/>
        <w:t>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EŠIF, ako aj relevantným sociálno-ekonomickým partnerom. Na efektívne a účinné uplatňovanie HP Rodová rovnosť je na úrovni IROP optimalizovaný počet zamestnancov, ktorí budú zabezpečovať vykonávanie vymenovaných činností.</w:t>
      </w:r>
    </w:p>
    <w:p>
      <w:pPr>
        <w:jc w:val="both"/>
        <w:rPr>
          <w:rFonts w:ascii="Arial" w:hAnsi="Arial" w:cs="Arial"/>
        </w:rPr>
      </w:pPr>
      <w:r>
        <w:rPr>
          <w:rFonts w:ascii="Arial" w:hAnsi="Arial" w:cs="Arial"/>
        </w:rPr>
        <w:t>Vecne príslušní zástupcovia MPSVR SR za uplatňovanie HP Rodová rovnosť majú zabezpečené zastúpenie v Monitorovacom výbore pre IROP. MPSVR SR malo zastúpenie aj v pracovnej skupine na prípravu IROP.</w:t>
      </w:r>
    </w:p>
    <w:p>
      <w:pPr>
        <w:pStyle w:val="Nadpis1"/>
        <w:rPr>
          <w:rFonts w:ascii="Arial" w:hAnsi="Arial" w:cs="Arial"/>
        </w:rPr>
        <w:sectPr>
          <w:pgSz w:w="11906" w:h="16838"/>
          <w:pgMar w:top="1417" w:right="1417" w:bottom="1417" w:left="1417" w:header="708" w:footer="708" w:gutter="0"/>
          <w:cols w:space="708"/>
          <w:docGrid w:linePitch="360"/>
        </w:sectPr>
      </w:pPr>
    </w:p>
    <w:p>
      <w:pPr>
        <w:pStyle w:val="Nadpis1"/>
        <w:rPr>
          <w:rFonts w:ascii="Arial" w:hAnsi="Arial" w:cs="Arial"/>
        </w:rPr>
      </w:pPr>
      <w:bookmarkStart w:id="171" w:name="_Toc387651903"/>
      <w:r>
        <w:rPr>
          <w:rFonts w:ascii="Arial" w:hAnsi="Arial" w:cs="Arial"/>
        </w:rPr>
        <w:lastRenderedPageBreak/>
        <w:t>12 Prílohy</w:t>
      </w:r>
      <w:bookmarkEnd w:id="171"/>
    </w:p>
    <w:p>
      <w:pPr>
        <w:pStyle w:val="Nadpis2"/>
        <w:rPr>
          <w:rFonts w:ascii="Arial" w:hAnsi="Arial" w:cs="Arial"/>
        </w:rPr>
      </w:pPr>
      <w:bookmarkStart w:id="172" w:name="_Toc387651904"/>
      <w:r>
        <w:rPr>
          <w:rFonts w:ascii="Arial" w:hAnsi="Arial" w:cs="Arial"/>
        </w:rPr>
        <w:t>12.0 Použité skratky</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AK</w:t>
            </w:r>
          </w:p>
        </w:tc>
        <w:tc>
          <w:tcPr>
            <w:tcW w:w="7544" w:type="dxa"/>
            <w:hideMark/>
          </w:tcPr>
          <w:p>
            <w:pPr>
              <w:spacing w:after="0"/>
              <w:jc w:val="both"/>
              <w:rPr>
                <w:rFonts w:ascii="Arial" w:eastAsia="Calibri" w:hAnsi="Arial" w:cs="Arial"/>
                <w:sz w:val="20"/>
                <w:szCs w:val="20"/>
              </w:rPr>
            </w:pPr>
            <w:r>
              <w:rPr>
                <w:rFonts w:ascii="Arial" w:hAnsi="Arial" w:cs="Arial"/>
                <w:sz w:val="20"/>
                <w:szCs w:val="20"/>
              </w:rPr>
              <w:t>Administratívne kapacity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pPr>
              <w:spacing w:after="0"/>
              <w:jc w:val="both"/>
              <w:rPr>
                <w:rFonts w:ascii="Arial" w:eastAsia="Calibri" w:hAnsi="Arial" w:cs="Arial"/>
                <w:sz w:val="20"/>
                <w:szCs w:val="20"/>
              </w:rPr>
            </w:pPr>
            <w:r>
              <w:rPr>
                <w:rFonts w:ascii="Arial" w:hAnsi="Arial" w:cs="Arial"/>
                <w:sz w:val="20"/>
                <w:szCs w:val="20"/>
              </w:rPr>
              <w:t>Najlepšie dostupné techniky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pPr>
              <w:spacing w:after="0"/>
              <w:jc w:val="both"/>
              <w:rPr>
                <w:rFonts w:ascii="Arial" w:eastAsia="Calibri" w:hAnsi="Arial" w:cs="Arial"/>
                <w:sz w:val="20"/>
                <w:szCs w:val="20"/>
              </w:rPr>
            </w:pPr>
            <w:r>
              <w:rPr>
                <w:rFonts w:ascii="Arial" w:hAnsi="Arial" w:cs="Arial"/>
                <w:sz w:val="20"/>
                <w:szCs w:val="20"/>
              </w:rPr>
              <w:t>Bratislavská integrovaná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pPr>
              <w:spacing w:after="0"/>
              <w:jc w:val="both"/>
              <w:rPr>
                <w:rFonts w:ascii="Arial" w:eastAsia="Calibri" w:hAnsi="Arial" w:cs="Arial"/>
                <w:sz w:val="20"/>
                <w:szCs w:val="20"/>
              </w:rPr>
            </w:pPr>
            <w:r>
              <w:rPr>
                <w:rFonts w:ascii="Arial" w:hAnsi="Arial" w:cs="Arial"/>
                <w:sz w:val="20"/>
                <w:szCs w:val="20"/>
              </w:rPr>
              <w:t>Banskobystrický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pPr>
              <w:spacing w:after="0"/>
              <w:jc w:val="both"/>
              <w:rPr>
                <w:rFonts w:ascii="Arial" w:eastAsia="Calibri" w:hAnsi="Arial" w:cs="Arial"/>
                <w:sz w:val="20"/>
                <w:szCs w:val="20"/>
              </w:rPr>
            </w:pPr>
            <w:r>
              <w:rPr>
                <w:rFonts w:ascii="Arial" w:hAnsi="Arial" w:cs="Arial"/>
                <w:sz w:val="20"/>
                <w:szCs w:val="20"/>
              </w:rPr>
              <w:t>Bratislavský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únia</w:t>
            </w:r>
          </w:p>
        </w:tc>
      </w:tr>
      <w:tr>
        <w:trPr>
          <w:trHeight w:val="170"/>
        </w:trPr>
        <w:tc>
          <w:tcPr>
            <w:tcW w:w="1668" w:type="dxa"/>
          </w:tcPr>
          <w:p>
            <w:pPr>
              <w:spacing w:after="0"/>
              <w:jc w:val="both"/>
              <w:rPr>
                <w:rFonts w:ascii="Arial" w:hAnsi="Arial" w:cs="Arial"/>
                <w:sz w:val="20"/>
                <w:szCs w:val="20"/>
              </w:rPr>
            </w:pPr>
            <w:r>
              <w:rPr>
                <w:rFonts w:ascii="Arial" w:hAnsi="Arial" w:cs="Arial"/>
                <w:sz w:val="20"/>
                <w:szCs w:val="20"/>
              </w:rPr>
              <w:t>CIZS</w:t>
            </w:r>
          </w:p>
        </w:tc>
        <w:tc>
          <w:tcPr>
            <w:tcW w:w="7544" w:type="dxa"/>
          </w:tcPr>
          <w:p>
            <w:pPr>
              <w:spacing w:after="0"/>
              <w:jc w:val="both"/>
              <w:rPr>
                <w:rFonts w:ascii="Arial" w:hAnsi="Arial" w:cs="Arial"/>
                <w:sz w:val="20"/>
                <w:szCs w:val="20"/>
              </w:rPr>
            </w:pPr>
            <w:r>
              <w:rPr>
                <w:rFonts w:ascii="Arial" w:hAnsi="Arial" w:cs="Arial"/>
                <w:sz w:val="20"/>
                <w:szCs w:val="20"/>
              </w:rPr>
              <w:t>Centrum integrovanej zdravotnej starostlivosti</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pPr>
              <w:spacing w:after="0"/>
              <w:jc w:val="both"/>
              <w:rPr>
                <w:rFonts w:ascii="Arial" w:eastAsia="Calibri" w:hAnsi="Arial" w:cs="Arial"/>
                <w:sz w:val="20"/>
                <w:szCs w:val="20"/>
              </w:rPr>
            </w:pPr>
            <w:r>
              <w:rPr>
                <w:rFonts w:ascii="Arial" w:hAnsi="Arial" w:cs="Arial"/>
                <w:sz w:val="20"/>
                <w:szCs w:val="20"/>
              </w:rPr>
              <w:t>Centrálny koordinačný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pPr>
              <w:spacing w:after="0"/>
              <w:jc w:val="both"/>
              <w:rPr>
                <w:rFonts w:ascii="Arial" w:eastAsia="Calibri" w:hAnsi="Arial" w:cs="Arial"/>
                <w:sz w:val="20"/>
                <w:szCs w:val="20"/>
              </w:rPr>
            </w:pPr>
            <w:r>
              <w:rPr>
                <w:rFonts w:ascii="Arial" w:hAnsi="Arial" w:cs="Arial"/>
                <w:sz w:val="20"/>
                <w:szCs w:val="20"/>
              </w:rPr>
              <w:t>Miestny rozvoj vedený komunitou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CO</w:t>
            </w:r>
          </w:p>
        </w:tc>
        <w:tc>
          <w:tcPr>
            <w:tcW w:w="7544" w:type="dxa"/>
            <w:hideMark/>
          </w:tcPr>
          <w:p>
            <w:pPr>
              <w:spacing w:after="0"/>
              <w:jc w:val="both"/>
              <w:rPr>
                <w:rFonts w:ascii="Arial" w:eastAsia="Calibri" w:hAnsi="Arial" w:cs="Arial"/>
                <w:sz w:val="20"/>
                <w:szCs w:val="20"/>
              </w:rPr>
            </w:pPr>
            <w:r>
              <w:rPr>
                <w:rFonts w:ascii="Arial" w:hAnsi="Arial" w:cs="Arial"/>
                <w:sz w:val="20"/>
                <w:szCs w:val="20"/>
              </w:rPr>
              <w:t>Certifikačný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pPr>
              <w:spacing w:after="0"/>
              <w:ind w:left="176" w:hanging="176"/>
              <w:jc w:val="both"/>
              <w:rPr>
                <w:rFonts w:ascii="Arial" w:hAnsi="Arial" w:cs="Arial"/>
                <w:sz w:val="20"/>
                <w:szCs w:val="20"/>
              </w:rPr>
            </w:pPr>
            <w:r>
              <w:rPr>
                <w:rFonts w:ascii="Arial" w:hAnsi="Arial" w:cs="Arial"/>
                <w:sz w:val="20"/>
                <w:szCs w:val="20"/>
              </w:rPr>
              <w:t>Centrum vedecko-technických informácií Slovenskej republiky</w:t>
            </w:r>
          </w:p>
        </w:tc>
      </w:tr>
      <w:tr>
        <w:trPr>
          <w:trHeight w:val="170"/>
        </w:trPr>
        <w:tc>
          <w:tcPr>
            <w:tcW w:w="1668" w:type="dxa"/>
          </w:tcPr>
          <w:p>
            <w:pPr>
              <w:spacing w:after="0"/>
              <w:jc w:val="both"/>
              <w:rPr>
                <w:rFonts w:ascii="Arial" w:hAnsi="Arial" w:cs="Arial"/>
                <w:sz w:val="20"/>
                <w:szCs w:val="20"/>
              </w:rPr>
            </w:pPr>
            <w:r>
              <w:rPr>
                <w:rFonts w:ascii="Arial" w:hAnsi="Arial" w:cs="Arial"/>
                <w:sz w:val="20"/>
                <w:szCs w:val="20"/>
              </w:rPr>
              <w:t>CŽV</w:t>
            </w:r>
          </w:p>
        </w:tc>
        <w:tc>
          <w:tcPr>
            <w:tcW w:w="7544" w:type="dxa"/>
          </w:tcPr>
          <w:p>
            <w:pPr>
              <w:spacing w:after="0"/>
              <w:ind w:left="176" w:hanging="176"/>
              <w:jc w:val="both"/>
              <w:rPr>
                <w:rFonts w:ascii="Arial" w:hAnsi="Arial" w:cs="Arial"/>
                <w:sz w:val="20"/>
                <w:szCs w:val="20"/>
              </w:rPr>
            </w:pPr>
            <w:r>
              <w:rPr>
                <w:rFonts w:ascii="Arial" w:hAnsi="Arial" w:cs="Arial"/>
                <w:sz w:val="20"/>
                <w:szCs w:val="20"/>
              </w:rPr>
              <w:t>Celoživotné vzdelávanie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pPr>
              <w:spacing w:after="0"/>
              <w:jc w:val="both"/>
              <w:rPr>
                <w:rFonts w:ascii="Arial" w:eastAsia="Calibri" w:hAnsi="Arial" w:cs="Arial"/>
                <w:sz w:val="20"/>
                <w:szCs w:val="20"/>
              </w:rPr>
            </w:pPr>
            <w:r>
              <w:rPr>
                <w:rFonts w:ascii="Arial" w:hAnsi="Arial" w:cs="Arial"/>
                <w:sz w:val="20"/>
                <w:szCs w:val="20"/>
              </w:rPr>
              <w:t>Členský štát</w:t>
            </w:r>
          </w:p>
        </w:tc>
      </w:tr>
      <w:tr>
        <w:trPr>
          <w:trHeight w:val="170"/>
        </w:trPr>
        <w:tc>
          <w:tcPr>
            <w:tcW w:w="1668" w:type="dxa"/>
            <w:hideMark/>
          </w:tcPr>
          <w:p>
            <w:pPr>
              <w:spacing w:after="0"/>
              <w:jc w:val="both"/>
              <w:rPr>
                <w:rFonts w:ascii="Arial" w:eastAsia="Calibri" w:hAnsi="Arial" w:cs="Arial"/>
                <w:sz w:val="20"/>
                <w:szCs w:val="20"/>
              </w:rPr>
            </w:pPr>
            <w:proofErr w:type="spellStart"/>
            <w:r>
              <w:rPr>
                <w:rFonts w:ascii="Arial" w:hAnsi="Arial" w:cs="Arial"/>
                <w:iCs/>
                <w:sz w:val="20"/>
                <w:szCs w:val="20"/>
              </w:rPr>
              <w:t>DeD</w:t>
            </w:r>
            <w:proofErr w:type="spellEnd"/>
          </w:p>
        </w:tc>
        <w:tc>
          <w:tcPr>
            <w:tcW w:w="7544" w:type="dxa"/>
            <w:hideMark/>
          </w:tcPr>
          <w:p>
            <w:pPr>
              <w:spacing w:after="0"/>
              <w:jc w:val="both"/>
              <w:rPr>
                <w:rFonts w:ascii="Arial" w:eastAsia="Calibri" w:hAnsi="Arial" w:cs="Arial"/>
                <w:sz w:val="20"/>
                <w:szCs w:val="20"/>
              </w:rPr>
            </w:pPr>
            <w:r>
              <w:rPr>
                <w:rFonts w:ascii="Arial" w:hAnsi="Arial" w:cs="Arial"/>
                <w:sz w:val="20"/>
                <w:szCs w:val="20"/>
              </w:rPr>
              <w:t>Detský domov</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EF</w:t>
            </w:r>
          </w:p>
        </w:tc>
        <w:tc>
          <w:tcPr>
            <w:tcW w:w="7544" w:type="dxa"/>
            <w:hideMark/>
          </w:tcPr>
          <w:p>
            <w:pPr>
              <w:spacing w:after="0"/>
              <w:jc w:val="both"/>
              <w:rPr>
                <w:rFonts w:ascii="Arial" w:eastAsia="Calibri" w:hAnsi="Arial" w:cs="Arial"/>
                <w:sz w:val="20"/>
                <w:szCs w:val="20"/>
              </w:rPr>
            </w:pPr>
            <w:r>
              <w:rPr>
                <w:rFonts w:ascii="Arial" w:hAnsi="Arial" w:cs="Arial"/>
                <w:sz w:val="20"/>
                <w:szCs w:val="20"/>
              </w:rPr>
              <w:t>Environmentálny fond</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Európsky fond regionálneho rozvoja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Európske hlavné mesto kultúry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pPr>
              <w:spacing w:after="0"/>
              <w:jc w:val="both"/>
              <w:rPr>
                <w:rFonts w:ascii="Arial" w:eastAsia="Calibri" w:hAnsi="Arial" w:cs="Arial"/>
                <w:sz w:val="20"/>
                <w:szCs w:val="20"/>
              </w:rPr>
            </w:pPr>
            <w:r>
              <w:rPr>
                <w:rFonts w:ascii="Arial" w:hAnsi="Arial" w:cs="Arial"/>
                <w:sz w:val="20"/>
                <w:szCs w:val="20"/>
              </w:rPr>
              <w:t>Posudzovanie vplyvov na životné prostredie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investičná banka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EK</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Európska komisia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EO</w:t>
            </w:r>
          </w:p>
        </w:tc>
        <w:tc>
          <w:tcPr>
            <w:tcW w:w="7544" w:type="dxa"/>
            <w:hideMark/>
          </w:tcPr>
          <w:p>
            <w:pPr>
              <w:spacing w:after="0"/>
              <w:jc w:val="both"/>
              <w:rPr>
                <w:rFonts w:ascii="Arial" w:eastAsia="Calibri" w:hAnsi="Arial" w:cs="Arial"/>
                <w:sz w:val="20"/>
                <w:szCs w:val="20"/>
              </w:rPr>
            </w:pPr>
            <w:r>
              <w:rPr>
                <w:rFonts w:ascii="Arial" w:hAnsi="Arial" w:cs="Arial"/>
                <w:sz w:val="20"/>
                <w:szCs w:val="20"/>
              </w:rPr>
              <w:t>Ekvivalentný obyvateľ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EP</w:t>
            </w:r>
          </w:p>
        </w:tc>
        <w:tc>
          <w:tcPr>
            <w:tcW w:w="7544" w:type="dxa"/>
            <w:hideMark/>
          </w:tcPr>
          <w:p>
            <w:pPr>
              <w:spacing w:after="0"/>
              <w:jc w:val="both"/>
              <w:rPr>
                <w:rFonts w:ascii="Arial" w:eastAsia="Calibri" w:hAnsi="Arial" w:cs="Arial"/>
                <w:sz w:val="20"/>
                <w:szCs w:val="20"/>
              </w:rPr>
            </w:pPr>
            <w:r>
              <w:rPr>
                <w:rFonts w:ascii="Arial" w:hAnsi="Arial" w:cs="Arial"/>
                <w:sz w:val="20"/>
                <w:szCs w:val="20"/>
              </w:rPr>
              <w:t>Európsky parlament</w:t>
            </w:r>
          </w:p>
        </w:tc>
      </w:tr>
      <w:tr>
        <w:trPr>
          <w:trHeight w:val="170"/>
        </w:trPr>
        <w:tc>
          <w:tcPr>
            <w:tcW w:w="1668" w:type="dxa"/>
            <w:hideMark/>
          </w:tcPr>
          <w:p>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EZ</w:t>
            </w:r>
          </w:p>
        </w:tc>
        <w:tc>
          <w:tcPr>
            <w:tcW w:w="7544" w:type="dxa"/>
            <w:hideMark/>
          </w:tcPr>
          <w:p>
            <w:pPr>
              <w:spacing w:after="0"/>
              <w:jc w:val="both"/>
              <w:rPr>
                <w:rFonts w:ascii="Arial" w:eastAsia="Calibri" w:hAnsi="Arial" w:cs="Arial"/>
                <w:sz w:val="20"/>
                <w:szCs w:val="20"/>
              </w:rPr>
            </w:pPr>
            <w:r>
              <w:rPr>
                <w:rFonts w:ascii="Arial" w:hAnsi="Arial" w:cs="Arial"/>
                <w:sz w:val="20"/>
                <w:szCs w:val="20"/>
              </w:rPr>
              <w:t>Environmentálna záťaž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pPr>
              <w:spacing w:after="0"/>
              <w:jc w:val="both"/>
              <w:rPr>
                <w:rFonts w:ascii="Arial" w:eastAsia="Calibri" w:hAnsi="Arial" w:cs="Arial"/>
                <w:sz w:val="20"/>
                <w:szCs w:val="20"/>
              </w:rPr>
            </w:pPr>
            <w:r>
              <w:rPr>
                <w:rFonts w:ascii="Arial" w:hAnsi="Arial" w:cs="Arial"/>
                <w:sz w:val="20"/>
                <w:szCs w:val="20"/>
              </w:rPr>
              <w:t>Často kladené otázky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FO</w:t>
            </w:r>
          </w:p>
        </w:tc>
        <w:tc>
          <w:tcPr>
            <w:tcW w:w="7544" w:type="dxa"/>
            <w:hideMark/>
          </w:tcPr>
          <w:p>
            <w:pPr>
              <w:spacing w:after="0"/>
              <w:jc w:val="both"/>
              <w:rPr>
                <w:rFonts w:ascii="Arial" w:eastAsia="Calibri" w:hAnsi="Arial" w:cs="Arial"/>
                <w:sz w:val="20"/>
                <w:szCs w:val="20"/>
              </w:rPr>
            </w:pPr>
            <w:r>
              <w:rPr>
                <w:rFonts w:ascii="Arial" w:hAnsi="Arial" w:cs="Arial"/>
                <w:sz w:val="20"/>
                <w:szCs w:val="20"/>
              </w:rPr>
              <w:t>Fyzické osoby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pPr>
              <w:spacing w:after="0"/>
              <w:jc w:val="both"/>
              <w:rPr>
                <w:rFonts w:ascii="Arial" w:eastAsia="Calibri" w:hAnsi="Arial" w:cs="Arial"/>
                <w:sz w:val="20"/>
                <w:szCs w:val="20"/>
              </w:rPr>
            </w:pPr>
            <w:r>
              <w:rPr>
                <w:rFonts w:ascii="Arial" w:hAnsi="Arial" w:cs="Arial"/>
                <w:sz w:val="20"/>
                <w:szCs w:val="20"/>
              </w:rPr>
              <w:t>Hrubý domáci produkt</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HP</w:t>
            </w:r>
          </w:p>
        </w:tc>
        <w:tc>
          <w:tcPr>
            <w:tcW w:w="7544" w:type="dxa"/>
            <w:hideMark/>
          </w:tcPr>
          <w:p>
            <w:pPr>
              <w:spacing w:after="0"/>
              <w:jc w:val="both"/>
              <w:rPr>
                <w:rFonts w:ascii="Arial" w:eastAsia="Calibri" w:hAnsi="Arial" w:cs="Arial"/>
                <w:sz w:val="20"/>
                <w:szCs w:val="20"/>
              </w:rPr>
            </w:pPr>
            <w:r>
              <w:rPr>
                <w:rFonts w:ascii="Arial" w:hAnsi="Arial" w:cs="Arial"/>
                <w:sz w:val="20"/>
                <w:szCs w:val="20"/>
              </w:rPr>
              <w:t>Horizontálny princíp</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pPr>
              <w:spacing w:after="0"/>
              <w:jc w:val="both"/>
              <w:rPr>
                <w:rFonts w:ascii="Arial" w:eastAsia="Calibri" w:hAnsi="Arial" w:cs="Arial"/>
                <w:sz w:val="20"/>
                <w:szCs w:val="20"/>
              </w:rPr>
            </w:pPr>
            <w:r>
              <w:rPr>
                <w:rFonts w:ascii="Arial" w:hAnsi="Arial" w:cs="Arial"/>
                <w:sz w:val="20"/>
                <w:szCs w:val="20"/>
              </w:rPr>
              <w:t>Individuálna automobilová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integrovaný dopravný systém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pPr>
              <w:spacing w:after="0"/>
              <w:jc w:val="both"/>
              <w:rPr>
                <w:rFonts w:ascii="Arial" w:eastAsia="Calibri" w:hAnsi="Arial" w:cs="Arial"/>
                <w:sz w:val="20"/>
                <w:szCs w:val="20"/>
              </w:rPr>
            </w:pPr>
            <w:r>
              <w:rPr>
                <w:rFonts w:ascii="Arial" w:hAnsi="Arial" w:cs="Arial"/>
                <w:sz w:val="20"/>
                <w:szCs w:val="20"/>
              </w:rPr>
              <w:t>Informačno-komunikačné technológie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IP</w:t>
            </w:r>
          </w:p>
        </w:tc>
        <w:tc>
          <w:tcPr>
            <w:tcW w:w="7544" w:type="dxa"/>
            <w:hideMark/>
          </w:tcPr>
          <w:p>
            <w:pPr>
              <w:spacing w:after="0"/>
              <w:jc w:val="both"/>
              <w:rPr>
                <w:rFonts w:ascii="Arial" w:eastAsia="Calibri" w:hAnsi="Arial" w:cs="Arial"/>
                <w:sz w:val="20"/>
                <w:szCs w:val="20"/>
              </w:rPr>
            </w:pPr>
            <w:r>
              <w:rPr>
                <w:rFonts w:ascii="Arial" w:hAnsi="Arial" w:cs="Arial"/>
                <w:sz w:val="20"/>
                <w:szCs w:val="20"/>
              </w:rPr>
              <w:t>Investičná priorita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Integrovaný regionálny 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pPr>
              <w:spacing w:after="0"/>
              <w:jc w:val="both"/>
              <w:rPr>
                <w:rFonts w:ascii="Arial" w:eastAsia="Calibri" w:hAnsi="Arial" w:cs="Arial"/>
                <w:sz w:val="20"/>
                <w:szCs w:val="20"/>
              </w:rPr>
            </w:pPr>
            <w:r>
              <w:rPr>
                <w:rFonts w:ascii="Arial" w:hAnsi="Arial" w:cs="Arial"/>
                <w:sz w:val="20"/>
                <w:szCs w:val="20"/>
              </w:rPr>
              <w:t>Integrované územné investície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pPr>
              <w:spacing w:after="0"/>
              <w:jc w:val="both"/>
              <w:rPr>
                <w:rFonts w:ascii="Arial" w:eastAsia="Calibri" w:hAnsi="Arial" w:cs="Arial"/>
                <w:sz w:val="20"/>
                <w:szCs w:val="20"/>
              </w:rPr>
            </w:pPr>
            <w:r>
              <w:rPr>
                <w:rFonts w:ascii="Arial" w:hAnsi="Arial" w:cs="Arial"/>
                <w:sz w:val="20"/>
                <w:szCs w:val="20"/>
              </w:rPr>
              <w:t>Kultúrny a kreatívny sektor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KS</w:t>
            </w:r>
          </w:p>
        </w:tc>
        <w:tc>
          <w:tcPr>
            <w:tcW w:w="7544" w:type="dxa"/>
            <w:hideMark/>
          </w:tcPr>
          <w:p>
            <w:pPr>
              <w:spacing w:after="0"/>
              <w:jc w:val="both"/>
              <w:rPr>
                <w:rFonts w:ascii="Arial" w:eastAsia="Calibri" w:hAnsi="Arial" w:cs="Arial"/>
                <w:sz w:val="20"/>
                <w:szCs w:val="20"/>
              </w:rPr>
            </w:pPr>
            <w:r>
              <w:rPr>
                <w:rFonts w:ascii="Arial" w:hAnsi="Arial" w:cs="Arial"/>
                <w:sz w:val="20"/>
                <w:szCs w:val="20"/>
              </w:rPr>
              <w:t>Krízové stredisko</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pPr>
              <w:spacing w:after="0"/>
              <w:jc w:val="both"/>
              <w:rPr>
                <w:rFonts w:ascii="Arial" w:eastAsia="Calibri" w:hAnsi="Arial" w:cs="Arial"/>
                <w:sz w:val="20"/>
                <w:szCs w:val="20"/>
              </w:rPr>
            </w:pPr>
            <w:r>
              <w:rPr>
                <w:rFonts w:ascii="Arial" w:hAnsi="Arial" w:cs="Arial"/>
                <w:sz w:val="20"/>
                <w:szCs w:val="20"/>
              </w:rPr>
              <w:t>Košický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pPr>
              <w:spacing w:after="0"/>
              <w:jc w:val="both"/>
              <w:rPr>
                <w:rFonts w:ascii="Arial" w:eastAsia="Calibri" w:hAnsi="Arial" w:cs="Arial"/>
                <w:sz w:val="20"/>
                <w:szCs w:val="20"/>
              </w:rPr>
            </w:pPr>
            <w:r>
              <w:rPr>
                <w:rFonts w:ascii="Arial" w:hAnsi="Arial" w:cs="Arial"/>
                <w:sz w:val="20"/>
                <w:szCs w:val="20"/>
              </w:rPr>
              <w:t>Koncepcia územného rozvoja Slovenska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MAS</w:t>
            </w:r>
          </w:p>
        </w:tc>
        <w:tc>
          <w:tcPr>
            <w:tcW w:w="7544" w:type="dxa"/>
            <w:hideMark/>
          </w:tcPr>
          <w:p>
            <w:pPr>
              <w:spacing w:after="0"/>
              <w:jc w:val="both"/>
              <w:rPr>
                <w:rFonts w:ascii="Arial" w:eastAsia="Calibri" w:hAnsi="Arial" w:cs="Arial"/>
                <w:sz w:val="20"/>
                <w:szCs w:val="20"/>
              </w:rPr>
            </w:pPr>
            <w:r>
              <w:rPr>
                <w:rFonts w:ascii="Arial" w:hAnsi="Arial" w:cs="Arial"/>
                <w:sz w:val="20"/>
                <w:szCs w:val="20"/>
              </w:rPr>
              <w:t>Miestna akčná skupina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lastRenderedPageBreak/>
              <w:t>MDVRR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financií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pPr>
              <w:spacing w:after="0"/>
              <w:jc w:val="both"/>
              <w:rPr>
                <w:rFonts w:ascii="Arial" w:eastAsia="Calibri" w:hAnsi="Arial" w:cs="Arial"/>
                <w:sz w:val="20"/>
                <w:szCs w:val="20"/>
              </w:rPr>
            </w:pPr>
            <w:r>
              <w:rPr>
                <w:rFonts w:ascii="Arial" w:hAnsi="Arial" w:cs="Arial"/>
                <w:sz w:val="20"/>
                <w:szCs w:val="20"/>
              </w:rPr>
              <w:t>Mestská hromadná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MH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obrany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pPr>
              <w:spacing w:after="0"/>
              <w:jc w:val="both"/>
              <w:rPr>
                <w:rFonts w:ascii="Arial" w:eastAsia="Calibri" w:hAnsi="Arial" w:cs="Arial"/>
                <w:sz w:val="20"/>
                <w:szCs w:val="20"/>
              </w:rPr>
            </w:pPr>
            <w:proofErr w:type="spellStart"/>
            <w:r>
              <w:rPr>
                <w:rFonts w:ascii="Arial" w:hAnsi="Arial" w:cs="Arial"/>
                <w:sz w:val="20"/>
                <w:szCs w:val="20"/>
              </w:rPr>
              <w:t>Marginalizované</w:t>
            </w:r>
            <w:proofErr w:type="spellEnd"/>
            <w:r>
              <w:rPr>
                <w:rFonts w:ascii="Arial" w:hAnsi="Arial" w:cs="Arial"/>
                <w:sz w:val="20"/>
                <w:szCs w:val="20"/>
              </w:rPr>
              <w:t xml:space="preserve"> rómske komunity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pPr>
              <w:spacing w:after="0"/>
              <w:jc w:val="both"/>
              <w:rPr>
                <w:rFonts w:ascii="Arial" w:eastAsia="Calibri" w:hAnsi="Arial" w:cs="Arial"/>
                <w:sz w:val="20"/>
                <w:szCs w:val="20"/>
              </w:rPr>
            </w:pPr>
            <w:r>
              <w:rPr>
                <w:rFonts w:ascii="Arial" w:hAnsi="Arial" w:cs="Arial"/>
                <w:sz w:val="20"/>
                <w:szCs w:val="20"/>
              </w:rPr>
              <w:t>Malé a stredné podniky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pPr>
              <w:spacing w:after="0"/>
              <w:jc w:val="both"/>
              <w:rPr>
                <w:rFonts w:ascii="Arial" w:eastAsia="Calibri" w:hAnsi="Arial" w:cs="Arial"/>
                <w:sz w:val="20"/>
                <w:szCs w:val="20"/>
              </w:rPr>
            </w:pPr>
            <w:r>
              <w:rPr>
                <w:rFonts w:ascii="Arial" w:hAnsi="Arial" w:cs="Arial"/>
                <w:sz w:val="20"/>
                <w:szCs w:val="20"/>
              </w:rPr>
              <w:t>Materská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pPr>
              <w:spacing w:after="0"/>
              <w:jc w:val="both"/>
              <w:rPr>
                <w:rFonts w:ascii="Arial" w:eastAsia="Calibri" w:hAnsi="Arial" w:cs="Arial"/>
                <w:sz w:val="20"/>
                <w:szCs w:val="20"/>
              </w:rPr>
            </w:pPr>
            <w:r>
              <w:rPr>
                <w:rFonts w:ascii="Arial" w:hAnsi="Arial" w:cs="Arial"/>
                <w:sz w:val="20"/>
                <w:szCs w:val="20"/>
              </w:rPr>
              <w:t>Nenávratný finančný príspevok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pPr>
              <w:spacing w:after="0"/>
              <w:jc w:val="both"/>
              <w:rPr>
                <w:rFonts w:ascii="Arial" w:eastAsia="Calibri" w:hAnsi="Arial" w:cs="Arial"/>
                <w:sz w:val="20"/>
                <w:szCs w:val="20"/>
              </w:rPr>
            </w:pPr>
            <w:r>
              <w:rPr>
                <w:rFonts w:ascii="Arial" w:hAnsi="Arial" w:cs="Arial"/>
                <w:sz w:val="20"/>
                <w:szCs w:val="20"/>
              </w:rPr>
              <w:t>Národná rada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pPr>
              <w:spacing w:after="0"/>
              <w:jc w:val="both"/>
              <w:rPr>
                <w:rFonts w:ascii="Arial" w:eastAsia="Calibri" w:hAnsi="Arial" w:cs="Arial"/>
                <w:sz w:val="20"/>
                <w:szCs w:val="20"/>
              </w:rPr>
            </w:pPr>
            <w:r>
              <w:rPr>
                <w:rFonts w:ascii="Arial" w:hAnsi="Arial" w:cs="Arial"/>
                <w:sz w:val="20"/>
                <w:szCs w:val="20"/>
              </w:rPr>
              <w:t>Nitriansky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OA</w:t>
            </w:r>
          </w:p>
        </w:tc>
        <w:tc>
          <w:tcPr>
            <w:tcW w:w="7544" w:type="dxa"/>
            <w:hideMark/>
          </w:tcPr>
          <w:p>
            <w:pPr>
              <w:spacing w:after="0"/>
              <w:jc w:val="both"/>
              <w:rPr>
                <w:rFonts w:ascii="Arial" w:eastAsia="Calibri" w:hAnsi="Arial" w:cs="Arial"/>
                <w:sz w:val="20"/>
                <w:szCs w:val="20"/>
              </w:rPr>
            </w:pPr>
            <w:r>
              <w:rPr>
                <w:rFonts w:ascii="Arial" w:hAnsi="Arial" w:cs="Arial"/>
                <w:sz w:val="20"/>
                <w:szCs w:val="20"/>
              </w:rPr>
              <w:t>Orgán auditu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Bratislavský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Ľudské zdroje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OP </w:t>
            </w:r>
            <w:proofErr w:type="spellStart"/>
            <w:r>
              <w:rPr>
                <w:rFonts w:ascii="Arial" w:hAnsi="Arial" w:cs="Arial"/>
                <w:sz w:val="20"/>
                <w:szCs w:val="20"/>
              </w:rPr>
              <w:t>KaHR</w:t>
            </w:r>
            <w:proofErr w:type="spellEnd"/>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Technická pomoc</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OP </w:t>
            </w:r>
            <w:proofErr w:type="spellStart"/>
            <w:r>
              <w:rPr>
                <w:rFonts w:ascii="Arial" w:hAnsi="Arial" w:cs="Arial"/>
                <w:sz w:val="20"/>
                <w:szCs w:val="20"/>
              </w:rPr>
              <w:t>VaI</w:t>
            </w:r>
            <w:proofErr w:type="spellEnd"/>
          </w:p>
        </w:tc>
        <w:tc>
          <w:tcPr>
            <w:tcW w:w="7544" w:type="dxa"/>
            <w:hideMark/>
          </w:tcPr>
          <w:p>
            <w:pPr>
              <w:spacing w:after="0"/>
              <w:jc w:val="both"/>
              <w:rPr>
                <w:rFonts w:ascii="Arial" w:eastAsia="Calibri" w:hAnsi="Arial" w:cs="Arial"/>
                <w:sz w:val="20"/>
                <w:szCs w:val="20"/>
              </w:rPr>
            </w:pPr>
            <w:r>
              <w:rPr>
                <w:rFonts w:ascii="Arial" w:hAnsi="Arial" w:cs="Arial"/>
                <w:sz w:val="20"/>
                <w:szCs w:val="20"/>
              </w:rPr>
              <w:t>Operačný program Výskum a inovácie</w:t>
            </w:r>
          </w:p>
        </w:tc>
      </w:tr>
      <w:tr>
        <w:trPr>
          <w:trHeight w:val="170"/>
        </w:trPr>
        <w:tc>
          <w:tcPr>
            <w:tcW w:w="1668" w:type="dxa"/>
          </w:tcPr>
          <w:p>
            <w:pPr>
              <w:spacing w:after="0"/>
              <w:jc w:val="both"/>
              <w:rPr>
                <w:rFonts w:ascii="Arial" w:hAnsi="Arial" w:cs="Arial"/>
                <w:sz w:val="20"/>
                <w:szCs w:val="20"/>
              </w:rPr>
            </w:pPr>
            <w:r>
              <w:rPr>
                <w:rFonts w:ascii="Arial" w:hAnsi="Arial" w:cs="Arial"/>
                <w:sz w:val="20"/>
                <w:szCs w:val="20"/>
              </w:rPr>
              <w:t>OP V</w:t>
            </w:r>
          </w:p>
        </w:tc>
        <w:tc>
          <w:tcPr>
            <w:tcW w:w="7544" w:type="dxa"/>
          </w:tcPr>
          <w:p>
            <w:pPr>
              <w:spacing w:after="0"/>
              <w:jc w:val="both"/>
              <w:rPr>
                <w:rFonts w:ascii="Arial" w:hAnsi="Arial" w:cs="Arial"/>
                <w:sz w:val="20"/>
                <w:szCs w:val="20"/>
              </w:rPr>
            </w:pPr>
            <w:r>
              <w:rPr>
                <w:rFonts w:ascii="Arial" w:hAnsi="Arial" w:cs="Arial"/>
                <w:sz w:val="20"/>
                <w:szCs w:val="20"/>
              </w:rPr>
              <w:t>Operačný program Vzdelávanie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pPr>
              <w:spacing w:after="0"/>
              <w:jc w:val="both"/>
              <w:rPr>
                <w:rFonts w:ascii="Arial" w:eastAsia="Calibri" w:hAnsi="Arial" w:cs="Arial"/>
                <w:sz w:val="20"/>
                <w:szCs w:val="20"/>
              </w:rPr>
            </w:pPr>
            <w:r>
              <w:rPr>
                <w:rFonts w:ascii="Arial" w:hAnsi="Arial" w:cs="Arial"/>
                <w:sz w:val="20"/>
                <w:szCs w:val="20"/>
              </w:rPr>
              <w:t>Odborné vzdelávanie a príprava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pPr>
              <w:spacing w:after="0"/>
              <w:jc w:val="both"/>
              <w:rPr>
                <w:rFonts w:ascii="Arial" w:eastAsia="Calibri" w:hAnsi="Arial" w:cs="Arial"/>
                <w:sz w:val="20"/>
                <w:szCs w:val="20"/>
              </w:rPr>
            </w:pPr>
            <w:r>
              <w:rPr>
                <w:rFonts w:ascii="Arial" w:hAnsi="Arial" w:cs="Arial"/>
                <w:sz w:val="20"/>
                <w:szCs w:val="20"/>
              </w:rPr>
              <w:t>Obnoviteľné zdroje energie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PO</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Programové obdobie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 odpadového hospodárstva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pPr>
              <w:spacing w:after="0"/>
              <w:jc w:val="both"/>
              <w:rPr>
                <w:rFonts w:ascii="Arial" w:eastAsia="Calibri" w:hAnsi="Arial" w:cs="Arial"/>
                <w:sz w:val="20"/>
                <w:szCs w:val="20"/>
              </w:rPr>
            </w:pPr>
            <w:r>
              <w:rPr>
                <w:rFonts w:ascii="Arial" w:hAnsi="Arial" w:cs="Arial"/>
                <w:sz w:val="20"/>
                <w:szCs w:val="20"/>
              </w:rPr>
              <w:t>Program rozvoja vidieka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pPr>
              <w:spacing w:after="0"/>
              <w:jc w:val="both"/>
              <w:rPr>
                <w:rFonts w:ascii="Arial" w:eastAsia="Calibri" w:hAnsi="Arial" w:cs="Arial"/>
                <w:sz w:val="20"/>
                <w:szCs w:val="20"/>
              </w:rPr>
            </w:pPr>
            <w:r>
              <w:rPr>
                <w:rFonts w:ascii="Arial" w:hAnsi="Arial" w:cs="Arial"/>
                <w:sz w:val="20"/>
                <w:szCs w:val="20"/>
              </w:rPr>
              <w:t>Prešovský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RD</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Rodinný dom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Regionálna inovačná stratégia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Regionálna integrovaná územná stratégia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RO</w:t>
            </w:r>
          </w:p>
        </w:tc>
        <w:tc>
          <w:tcPr>
            <w:tcW w:w="7544" w:type="dxa"/>
            <w:hideMark/>
          </w:tcPr>
          <w:p>
            <w:pPr>
              <w:spacing w:after="0"/>
              <w:jc w:val="both"/>
              <w:rPr>
                <w:rFonts w:ascii="Arial" w:eastAsia="Calibri" w:hAnsi="Arial" w:cs="Arial"/>
                <w:sz w:val="20"/>
                <w:szCs w:val="20"/>
              </w:rPr>
            </w:pPr>
            <w:r>
              <w:rPr>
                <w:rFonts w:ascii="Arial" w:hAnsi="Arial" w:cs="Arial"/>
                <w:sz w:val="20"/>
                <w:szCs w:val="20"/>
              </w:rPr>
              <w:t>Riadiaci orgán</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pPr>
              <w:spacing w:after="0"/>
              <w:jc w:val="both"/>
              <w:rPr>
                <w:rFonts w:ascii="Arial" w:eastAsia="Calibri" w:hAnsi="Arial" w:cs="Arial"/>
                <w:sz w:val="20"/>
                <w:szCs w:val="20"/>
              </w:rPr>
            </w:pPr>
            <w:r>
              <w:rPr>
                <w:rFonts w:ascii="Arial" w:hAnsi="Arial" w:cs="Arial"/>
                <w:sz w:val="20"/>
                <w:szCs w:val="20"/>
              </w:rPr>
              <w:t>Regionálny operačný program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RS</w:t>
            </w:r>
          </w:p>
        </w:tc>
        <w:tc>
          <w:tcPr>
            <w:tcW w:w="7544" w:type="dxa"/>
            <w:hideMark/>
          </w:tcPr>
          <w:p>
            <w:pPr>
              <w:spacing w:after="0"/>
              <w:jc w:val="both"/>
              <w:rPr>
                <w:rFonts w:ascii="Arial" w:eastAsia="Calibri" w:hAnsi="Arial" w:cs="Arial"/>
                <w:sz w:val="20"/>
                <w:szCs w:val="20"/>
              </w:rPr>
            </w:pPr>
            <w:r>
              <w:rPr>
                <w:rFonts w:ascii="Arial" w:hAnsi="Arial" w:cs="Arial"/>
                <w:sz w:val="20"/>
                <w:szCs w:val="20"/>
              </w:rPr>
              <w:t>resocializačné stredisko</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SARIO</w:t>
            </w:r>
          </w:p>
        </w:tc>
        <w:tc>
          <w:tcPr>
            <w:tcW w:w="7544" w:type="dxa"/>
            <w:hideMark/>
          </w:tcPr>
          <w:p>
            <w:pPr>
              <w:spacing w:after="0"/>
              <w:jc w:val="both"/>
              <w:rPr>
                <w:rFonts w:ascii="Arial" w:eastAsia="Calibri" w:hAnsi="Arial" w:cs="Arial"/>
                <w:sz w:val="20"/>
                <w:szCs w:val="20"/>
              </w:rPr>
            </w:pPr>
            <w:r>
              <w:rPr>
                <w:rStyle w:val="st"/>
                <w:rFonts w:ascii="Arial" w:hAnsi="Arial" w:cs="Arial"/>
                <w:color w:val="222222"/>
                <w:sz w:val="20"/>
                <w:szCs w:val="20"/>
              </w:rPr>
              <w:t>Slovenská agentúra pre rozvoj investícií a obchodu</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SHMÚ</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lastRenderedPageBreak/>
              <w:t>SHR</w:t>
            </w:r>
          </w:p>
        </w:tc>
        <w:tc>
          <w:tcPr>
            <w:tcW w:w="7544" w:type="dxa"/>
            <w:hideMark/>
          </w:tcPr>
          <w:p>
            <w:pPr>
              <w:spacing w:after="0"/>
              <w:jc w:val="both"/>
              <w:rPr>
                <w:rFonts w:ascii="Arial" w:eastAsia="Calibri" w:hAnsi="Arial" w:cs="Arial"/>
                <w:sz w:val="20"/>
                <w:szCs w:val="20"/>
              </w:rPr>
            </w:pPr>
            <w:r>
              <w:rPr>
                <w:rFonts w:ascii="Arial" w:hAnsi="Arial" w:cs="Arial"/>
                <w:sz w:val="20"/>
                <w:szCs w:val="20"/>
              </w:rPr>
              <w:t>Samostatne hospodáriaci roľník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pPr>
              <w:spacing w:after="0"/>
              <w:jc w:val="both"/>
              <w:rPr>
                <w:rFonts w:ascii="Arial" w:eastAsia="Calibri" w:hAnsi="Arial" w:cs="Arial"/>
                <w:sz w:val="20"/>
                <w:szCs w:val="20"/>
              </w:rPr>
            </w:pPr>
            <w:r>
              <w:rPr>
                <w:rFonts w:ascii="Arial" w:hAnsi="Arial" w:cs="Arial"/>
                <w:sz w:val="20"/>
                <w:szCs w:val="20"/>
              </w:rPr>
              <w:t>Štátny fond rozvoja bývania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Stredisko odbornej praxe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SOŠ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odborná škola</w:t>
            </w:r>
          </w:p>
        </w:tc>
      </w:tr>
      <w:tr>
        <w:trPr>
          <w:trHeight w:val="170"/>
        </w:trPr>
        <w:tc>
          <w:tcPr>
            <w:tcW w:w="1668" w:type="dxa"/>
          </w:tcPr>
          <w:p>
            <w:pPr>
              <w:spacing w:after="0"/>
              <w:jc w:val="both"/>
              <w:rPr>
                <w:rFonts w:ascii="Arial" w:hAnsi="Arial" w:cs="Arial"/>
                <w:sz w:val="20"/>
                <w:szCs w:val="20"/>
              </w:rPr>
            </w:pPr>
            <w:proofErr w:type="spellStart"/>
            <w:r>
              <w:rPr>
                <w:rFonts w:ascii="Arial" w:hAnsi="Arial" w:cs="Arial"/>
                <w:sz w:val="20"/>
                <w:szCs w:val="20"/>
              </w:rPr>
              <w:t>SPOaSK</w:t>
            </w:r>
            <w:proofErr w:type="spellEnd"/>
          </w:p>
        </w:tc>
        <w:tc>
          <w:tcPr>
            <w:tcW w:w="7544" w:type="dxa"/>
          </w:tcPr>
          <w:p>
            <w:pPr>
              <w:spacing w:after="0"/>
              <w:jc w:val="both"/>
              <w:rPr>
                <w:rFonts w:ascii="Arial" w:hAnsi="Arial" w:cs="Arial"/>
                <w:sz w:val="20"/>
                <w:szCs w:val="20"/>
              </w:rPr>
            </w:pPr>
            <w:r>
              <w:rPr>
                <w:rFonts w:ascii="Arial" w:hAnsi="Arial" w:cs="Arial"/>
                <w:sz w:val="20"/>
                <w:szCs w:val="20"/>
              </w:rPr>
              <w:t>Sociálnoprávna ochrana detí a sociálna kuratela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SPV</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Stredisko praktického vyučovania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Slovenská republika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pPr>
              <w:spacing w:after="0"/>
              <w:jc w:val="both"/>
              <w:rPr>
                <w:rFonts w:ascii="Arial" w:eastAsia="Calibri" w:hAnsi="Arial" w:cs="Arial"/>
                <w:sz w:val="20"/>
                <w:szCs w:val="20"/>
              </w:rPr>
            </w:pPr>
            <w:r>
              <w:rPr>
                <w:rFonts w:ascii="Arial" w:hAnsi="Arial" w:cs="Arial"/>
                <w:sz w:val="20"/>
                <w:szCs w:val="20"/>
              </w:rPr>
              <w:t>Stredná umelecká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pPr>
              <w:spacing w:after="0"/>
              <w:jc w:val="both"/>
              <w:rPr>
                <w:rFonts w:ascii="Arial" w:eastAsia="Calibri" w:hAnsi="Arial" w:cs="Arial"/>
                <w:sz w:val="20"/>
                <w:szCs w:val="20"/>
              </w:rPr>
            </w:pPr>
            <w:r>
              <w:rPr>
                <w:rFonts w:ascii="Arial" w:hAnsi="Arial" w:cs="Arial"/>
                <w:sz w:val="20"/>
                <w:szCs w:val="20"/>
              </w:rPr>
              <w:t>Samostatne zárobkovo činná osoba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pPr>
              <w:spacing w:after="0"/>
              <w:jc w:val="both"/>
              <w:rPr>
                <w:rFonts w:ascii="Arial" w:eastAsia="Calibri" w:hAnsi="Arial" w:cs="Arial"/>
                <w:sz w:val="20"/>
                <w:szCs w:val="20"/>
              </w:rPr>
            </w:pPr>
            <w:r>
              <w:rPr>
                <w:rFonts w:ascii="Arial" w:hAnsi="Arial" w:cs="Arial"/>
                <w:sz w:val="20"/>
                <w:szCs w:val="20"/>
              </w:rPr>
              <w:t>Štatistický úrad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TC</w:t>
            </w:r>
          </w:p>
        </w:tc>
        <w:tc>
          <w:tcPr>
            <w:tcW w:w="7544" w:type="dxa"/>
            <w:hideMark/>
          </w:tcPr>
          <w:p>
            <w:pPr>
              <w:spacing w:after="0"/>
              <w:jc w:val="both"/>
              <w:rPr>
                <w:rFonts w:ascii="Arial" w:eastAsia="Calibri" w:hAnsi="Arial" w:cs="Arial"/>
                <w:sz w:val="20"/>
                <w:szCs w:val="20"/>
              </w:rPr>
            </w:pPr>
            <w:r>
              <w:rPr>
                <w:rFonts w:ascii="Arial" w:hAnsi="Arial" w:cs="Arial"/>
                <w:sz w:val="20"/>
                <w:szCs w:val="20"/>
              </w:rPr>
              <w:t>Tematický cieľ</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pPr>
              <w:spacing w:after="0"/>
              <w:jc w:val="both"/>
              <w:rPr>
                <w:rFonts w:ascii="Arial" w:eastAsia="Calibri" w:hAnsi="Arial" w:cs="Arial"/>
                <w:sz w:val="20"/>
                <w:szCs w:val="20"/>
              </w:rPr>
            </w:pPr>
            <w:proofErr w:type="spellStart"/>
            <w:r>
              <w:rPr>
                <w:rFonts w:ascii="Arial" w:hAnsi="Arial" w:cs="Arial"/>
                <w:sz w:val="20"/>
                <w:szCs w:val="20"/>
              </w:rPr>
              <w:t>Transeurópska</w:t>
            </w:r>
            <w:proofErr w:type="spellEnd"/>
            <w:r>
              <w:rPr>
                <w:rFonts w:ascii="Arial" w:hAnsi="Arial" w:cs="Arial"/>
                <w:sz w:val="20"/>
                <w:szCs w:val="20"/>
              </w:rPr>
              <w:t xml:space="preserve"> dopravná sieť</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pPr>
              <w:spacing w:after="0"/>
              <w:jc w:val="both"/>
              <w:rPr>
                <w:rFonts w:ascii="Arial" w:eastAsia="Calibri" w:hAnsi="Arial" w:cs="Arial"/>
                <w:sz w:val="20"/>
                <w:szCs w:val="20"/>
              </w:rPr>
            </w:pPr>
            <w:r>
              <w:rPr>
                <w:rFonts w:ascii="Arial" w:hAnsi="Arial" w:cs="Arial"/>
                <w:sz w:val="20"/>
                <w:szCs w:val="20"/>
              </w:rPr>
              <w:t>Takmer nulové budovy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pPr>
              <w:spacing w:after="0"/>
              <w:jc w:val="both"/>
              <w:rPr>
                <w:rFonts w:ascii="Arial" w:eastAsia="Calibri" w:hAnsi="Arial" w:cs="Arial"/>
                <w:sz w:val="20"/>
                <w:szCs w:val="20"/>
              </w:rPr>
            </w:pPr>
            <w:r>
              <w:rPr>
                <w:rFonts w:ascii="Arial" w:hAnsi="Arial" w:cs="Arial"/>
                <w:sz w:val="20"/>
                <w:szCs w:val="20"/>
              </w:rPr>
              <w:t>Trenčiansky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TP</w:t>
            </w:r>
          </w:p>
        </w:tc>
        <w:tc>
          <w:tcPr>
            <w:tcW w:w="7544" w:type="dxa"/>
            <w:hideMark/>
          </w:tcPr>
          <w:p>
            <w:pPr>
              <w:spacing w:after="0"/>
              <w:jc w:val="both"/>
              <w:rPr>
                <w:rFonts w:ascii="Arial" w:eastAsia="Calibri" w:hAnsi="Arial" w:cs="Arial"/>
                <w:sz w:val="20"/>
                <w:szCs w:val="20"/>
              </w:rPr>
            </w:pPr>
            <w:r>
              <w:rPr>
                <w:rFonts w:ascii="Arial" w:hAnsi="Arial" w:cs="Arial"/>
                <w:sz w:val="20"/>
                <w:szCs w:val="20"/>
              </w:rPr>
              <w:t>Technická pomoc</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pPr>
              <w:spacing w:after="0"/>
              <w:jc w:val="both"/>
              <w:rPr>
                <w:rFonts w:ascii="Arial" w:eastAsia="Calibri" w:hAnsi="Arial" w:cs="Arial"/>
                <w:sz w:val="20"/>
                <w:szCs w:val="20"/>
              </w:rPr>
            </w:pPr>
            <w:r>
              <w:rPr>
                <w:rFonts w:ascii="Arial" w:hAnsi="Arial" w:cs="Arial"/>
                <w:sz w:val="20"/>
                <w:szCs w:val="20"/>
              </w:rPr>
              <w:t>Trnavský samosprávny kraj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pPr>
              <w:spacing w:after="0"/>
              <w:jc w:val="both"/>
              <w:rPr>
                <w:rFonts w:ascii="Arial" w:eastAsia="Calibri" w:hAnsi="Arial" w:cs="Arial"/>
                <w:sz w:val="20"/>
                <w:szCs w:val="20"/>
              </w:rPr>
            </w:pPr>
            <w:r>
              <w:rPr>
                <w:rFonts w:ascii="Arial" w:hAnsi="Arial" w:cs="Arial"/>
                <w:sz w:val="20"/>
                <w:szCs w:val="20"/>
              </w:rPr>
              <w:t>Tuhé znečisťujúce látky</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pPr>
              <w:spacing w:after="0"/>
              <w:jc w:val="both"/>
              <w:rPr>
                <w:rFonts w:ascii="Arial" w:eastAsia="Calibri" w:hAnsi="Arial" w:cs="Arial"/>
                <w:sz w:val="20"/>
                <w:szCs w:val="20"/>
              </w:rPr>
            </w:pPr>
            <w:r>
              <w:rPr>
                <w:rFonts w:ascii="Arial" w:hAnsi="Arial" w:cs="Arial"/>
                <w:sz w:val="20"/>
                <w:szCs w:val="20"/>
              </w:rPr>
              <w:t>Udržateľný mestský rozvoj</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pPr>
              <w:spacing w:after="0"/>
              <w:jc w:val="both"/>
              <w:rPr>
                <w:rFonts w:ascii="Arial" w:eastAsia="Calibri" w:hAnsi="Arial" w:cs="Arial"/>
                <w:sz w:val="20"/>
                <w:szCs w:val="20"/>
              </w:rPr>
            </w:pPr>
            <w:r>
              <w:rPr>
                <w:rFonts w:ascii="Arial" w:hAnsi="Arial" w:cs="Arial"/>
                <w:sz w:val="20"/>
                <w:szCs w:val="20"/>
              </w:rPr>
              <w:t>Ústredie práce, sociálnych vecí a rodiny</w:t>
            </w:r>
          </w:p>
        </w:tc>
      </w:tr>
      <w:tr>
        <w:trPr>
          <w:trHeight w:val="170"/>
        </w:trPr>
        <w:tc>
          <w:tcPr>
            <w:tcW w:w="1668" w:type="dxa"/>
            <w:hideMark/>
          </w:tcPr>
          <w:p>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pPr>
              <w:spacing w:after="0"/>
              <w:jc w:val="both"/>
              <w:rPr>
                <w:rFonts w:ascii="Arial" w:eastAsia="Calibri" w:hAnsi="Arial" w:cs="Arial"/>
                <w:sz w:val="20"/>
                <w:szCs w:val="20"/>
              </w:rPr>
            </w:pPr>
            <w:r>
              <w:rPr>
                <w:rFonts w:ascii="Arial" w:hAnsi="Arial" w:cs="Arial"/>
                <w:sz w:val="20"/>
                <w:szCs w:val="20"/>
              </w:rPr>
              <w:t>Udržateľný rozvoj</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pre verejné obstarávanie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pPr>
              <w:spacing w:after="0"/>
              <w:jc w:val="both"/>
              <w:rPr>
                <w:rFonts w:ascii="Arial" w:eastAsia="Calibri" w:hAnsi="Arial" w:cs="Arial"/>
                <w:sz w:val="20"/>
                <w:szCs w:val="20"/>
              </w:rPr>
            </w:pPr>
            <w:r>
              <w:rPr>
                <w:rFonts w:ascii="Arial" w:hAnsi="Arial" w:cs="Arial"/>
                <w:sz w:val="20"/>
                <w:szCs w:val="20"/>
              </w:rPr>
              <w:t>Úrad vlády Slovenskej republiky</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VO</w:t>
            </w:r>
          </w:p>
        </w:tc>
        <w:tc>
          <w:tcPr>
            <w:tcW w:w="7544" w:type="dxa"/>
            <w:hideMark/>
          </w:tcPr>
          <w:p>
            <w:pPr>
              <w:spacing w:after="0"/>
              <w:jc w:val="both"/>
              <w:rPr>
                <w:rFonts w:ascii="Arial" w:eastAsia="Calibri" w:hAnsi="Arial" w:cs="Arial"/>
                <w:sz w:val="20"/>
                <w:szCs w:val="20"/>
              </w:rPr>
            </w:pPr>
            <w:r>
              <w:rPr>
                <w:rFonts w:ascii="Arial" w:hAnsi="Arial" w:cs="Arial"/>
                <w:sz w:val="20"/>
                <w:szCs w:val="20"/>
              </w:rPr>
              <w:t>Verejné obstarávanie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pPr>
              <w:spacing w:after="0"/>
              <w:jc w:val="both"/>
              <w:rPr>
                <w:rFonts w:ascii="Arial" w:eastAsia="Calibri" w:hAnsi="Arial" w:cs="Arial"/>
                <w:sz w:val="20"/>
                <w:szCs w:val="20"/>
              </w:rPr>
            </w:pPr>
            <w:r>
              <w:rPr>
                <w:rFonts w:ascii="Arial" w:hAnsi="Arial" w:cs="Arial"/>
                <w:sz w:val="20"/>
                <w:szCs w:val="20"/>
              </w:rPr>
              <w:t>Verejná osobná doprava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pPr>
              <w:spacing w:after="0"/>
              <w:jc w:val="both"/>
              <w:rPr>
                <w:rFonts w:ascii="Arial" w:eastAsia="Calibri" w:hAnsi="Arial" w:cs="Arial"/>
                <w:sz w:val="20"/>
                <w:szCs w:val="20"/>
              </w:rPr>
            </w:pPr>
            <w:r>
              <w:rPr>
                <w:rFonts w:ascii="Arial" w:hAnsi="Arial" w:cs="Arial"/>
                <w:sz w:val="20"/>
                <w:szCs w:val="20"/>
              </w:rPr>
              <w:t>Vysoká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pPr>
              <w:spacing w:after="0"/>
              <w:jc w:val="both"/>
              <w:rPr>
                <w:rFonts w:ascii="Arial" w:eastAsia="Calibri" w:hAnsi="Arial" w:cs="Arial"/>
                <w:sz w:val="20"/>
                <w:szCs w:val="20"/>
              </w:rPr>
            </w:pPr>
            <w:r>
              <w:rPr>
                <w:rFonts w:ascii="Arial" w:hAnsi="Arial" w:cs="Arial"/>
                <w:sz w:val="20"/>
                <w:szCs w:val="20"/>
              </w:rPr>
              <w:t xml:space="preserve">Vyšší územný celok </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ZI</w:t>
            </w:r>
          </w:p>
        </w:tc>
        <w:tc>
          <w:tcPr>
            <w:tcW w:w="7544" w:type="dxa"/>
            <w:hideMark/>
          </w:tcPr>
          <w:p>
            <w:pPr>
              <w:spacing w:after="0"/>
              <w:jc w:val="both"/>
              <w:rPr>
                <w:rFonts w:ascii="Arial" w:eastAsia="Calibri" w:hAnsi="Arial" w:cs="Arial"/>
                <w:sz w:val="20"/>
                <w:szCs w:val="20"/>
              </w:rPr>
            </w:pPr>
            <w:r>
              <w:rPr>
                <w:rFonts w:ascii="Arial" w:hAnsi="Arial" w:cs="Arial"/>
                <w:sz w:val="20"/>
                <w:szCs w:val="20"/>
              </w:rPr>
              <w:t>Zelená infraštruktúra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pPr>
              <w:spacing w:after="0"/>
              <w:jc w:val="both"/>
              <w:rPr>
                <w:rFonts w:ascii="Arial" w:eastAsia="Calibri" w:hAnsi="Arial" w:cs="Arial"/>
                <w:sz w:val="20"/>
                <w:szCs w:val="20"/>
              </w:rPr>
            </w:pPr>
            <w:r>
              <w:rPr>
                <w:rFonts w:ascii="Arial" w:hAnsi="Arial" w:cs="Arial"/>
                <w:sz w:val="20"/>
                <w:szCs w:val="20"/>
              </w:rPr>
              <w:t>Združenie miest a obcí Slovenska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pPr>
              <w:spacing w:after="0"/>
              <w:jc w:val="both"/>
              <w:rPr>
                <w:rFonts w:ascii="Arial" w:eastAsia="Calibri" w:hAnsi="Arial" w:cs="Arial"/>
                <w:sz w:val="20"/>
                <w:szCs w:val="20"/>
              </w:rPr>
            </w:pPr>
            <w:r>
              <w:rPr>
                <w:rFonts w:ascii="Arial" w:hAnsi="Arial" w:cs="Arial"/>
                <w:sz w:val="20"/>
                <w:szCs w:val="20"/>
              </w:rPr>
              <w:t>Základná umelecká škola</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pPr>
              <w:spacing w:after="0"/>
              <w:jc w:val="both"/>
              <w:rPr>
                <w:rFonts w:ascii="Arial" w:eastAsia="Calibri" w:hAnsi="Arial" w:cs="Arial"/>
                <w:sz w:val="20"/>
                <w:szCs w:val="20"/>
              </w:rPr>
            </w:pPr>
            <w:r>
              <w:rPr>
                <w:rFonts w:ascii="Arial" w:hAnsi="Arial" w:cs="Arial"/>
                <w:sz w:val="20"/>
                <w:szCs w:val="20"/>
              </w:rPr>
              <w:t>Základná škola</w:t>
            </w:r>
          </w:p>
        </w:tc>
      </w:tr>
      <w:tr>
        <w:trPr>
          <w:trHeight w:val="170"/>
        </w:trPr>
        <w:tc>
          <w:tcPr>
            <w:tcW w:w="1668" w:type="dxa"/>
            <w:hideMark/>
          </w:tcPr>
          <w:p>
            <w:pPr>
              <w:spacing w:after="0"/>
              <w:jc w:val="both"/>
              <w:rPr>
                <w:rFonts w:ascii="Arial" w:eastAsia="Calibri" w:hAnsi="Arial" w:cs="Arial"/>
                <w:sz w:val="20"/>
                <w:szCs w:val="20"/>
              </w:rPr>
            </w:pPr>
            <w:proofErr w:type="spellStart"/>
            <w:r>
              <w:rPr>
                <w:rFonts w:ascii="Arial" w:hAnsi="Arial" w:cs="Arial"/>
                <w:sz w:val="20"/>
                <w:szCs w:val="20"/>
              </w:rPr>
              <w:t>ŽoNFP</w:t>
            </w:r>
            <w:proofErr w:type="spellEnd"/>
          </w:p>
        </w:tc>
        <w:tc>
          <w:tcPr>
            <w:tcW w:w="7544" w:type="dxa"/>
            <w:hideMark/>
          </w:tcPr>
          <w:p>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pPr>
              <w:spacing w:after="0"/>
              <w:jc w:val="both"/>
              <w:rPr>
                <w:rFonts w:ascii="Arial" w:eastAsia="Calibri" w:hAnsi="Arial" w:cs="Arial"/>
                <w:sz w:val="20"/>
                <w:szCs w:val="20"/>
              </w:rPr>
            </w:pPr>
            <w:r>
              <w:rPr>
                <w:rFonts w:ascii="Arial" w:hAnsi="Arial" w:cs="Arial"/>
                <w:sz w:val="20"/>
                <w:szCs w:val="20"/>
              </w:rPr>
              <w:t>Životné prostredie</w:t>
            </w:r>
          </w:p>
        </w:tc>
      </w:tr>
      <w:tr>
        <w:trPr>
          <w:trHeight w:val="170"/>
        </w:trPr>
        <w:tc>
          <w:tcPr>
            <w:tcW w:w="1668" w:type="dxa"/>
            <w:hideMark/>
          </w:tcPr>
          <w:p>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pPr>
              <w:spacing w:after="0"/>
              <w:jc w:val="both"/>
              <w:rPr>
                <w:rFonts w:ascii="Arial" w:eastAsia="Calibri" w:hAnsi="Arial" w:cs="Arial"/>
                <w:sz w:val="20"/>
                <w:szCs w:val="20"/>
              </w:rPr>
            </w:pPr>
            <w:r>
              <w:rPr>
                <w:rFonts w:ascii="Arial" w:hAnsi="Arial" w:cs="Arial"/>
                <w:sz w:val="20"/>
                <w:szCs w:val="20"/>
              </w:rPr>
              <w:t>Žilinský samosprávny kraj</w:t>
            </w:r>
          </w:p>
        </w:tc>
      </w:tr>
    </w:tbl>
    <w:p/>
    <w:p>
      <w:pPr>
        <w:pStyle w:val="Nadpis2"/>
        <w:rPr>
          <w:rFonts w:ascii="Arial" w:hAnsi="Arial" w:cs="Arial"/>
        </w:rPr>
      </w:pPr>
      <w:bookmarkStart w:id="173" w:name="_Toc387651905"/>
      <w:r>
        <w:rPr>
          <w:rFonts w:ascii="Arial" w:hAnsi="Arial" w:cs="Arial"/>
        </w:rPr>
        <w:t>12.1 Zoznam veľkých projektov</w:t>
      </w:r>
      <w:bookmarkEnd w:id="173"/>
    </w:p>
    <w:p>
      <w:pPr>
        <w:rPr>
          <w:rFonts w:ascii="Arial" w:hAnsi="Arial" w:cs="Arial"/>
        </w:rPr>
      </w:pPr>
    </w:p>
    <w:p>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p>
    <w:p>
      <w:pPr>
        <w:rPr>
          <w:rFonts w:ascii="Arial" w:hAnsi="Arial" w:cs="Arial"/>
        </w:rPr>
      </w:pPr>
    </w:p>
    <w:p>
      <w:pPr>
        <w:rPr>
          <w:rFonts w:ascii="Arial" w:hAnsi="Arial" w:cs="Arial"/>
        </w:rPr>
      </w:pPr>
    </w:p>
    <w:p>
      <w:pPr>
        <w:rPr>
          <w:rFonts w:ascii="Arial" w:hAnsi="Arial" w:cs="Arial"/>
        </w:rPr>
      </w:pPr>
    </w:p>
    <w:p>
      <w:pPr>
        <w:pStyle w:val="Nadpis2"/>
        <w:rPr>
          <w:rFonts w:ascii="Arial" w:hAnsi="Arial" w:cs="Arial"/>
        </w:rPr>
      </w:pPr>
      <w:bookmarkStart w:id="174" w:name="_Toc387651906"/>
      <w:r>
        <w:rPr>
          <w:rFonts w:ascii="Arial" w:hAnsi="Arial" w:cs="Arial"/>
        </w:rPr>
        <w:lastRenderedPageBreak/>
        <w:t>12.2 Výkonnostný rámec</w:t>
      </w:r>
      <w:bookmarkEnd w:id="174"/>
    </w:p>
    <w:p>
      <w:pPr>
        <w:rPr>
          <w:rFonts w:ascii="Arial" w:hAnsi="Arial" w:cs="Arial"/>
          <w:b/>
          <w:bCs/>
        </w:rPr>
      </w:pPr>
    </w:p>
    <w:p>
      <w:pPr>
        <w:rPr>
          <w:rStyle w:val="Zvraznenie"/>
          <w:rFonts w:ascii="Arial" w:hAnsi="Arial" w:cs="Arial"/>
        </w:rPr>
      </w:pPr>
      <w:r>
        <w:rPr>
          <w:rStyle w:val="Siln"/>
          <w:rFonts w:ascii="Arial" w:hAnsi="Arial" w:cs="Arial"/>
        </w:rPr>
        <w:t xml:space="preserve">Tabuľka č. 54 </w:t>
      </w:r>
      <w:r>
        <w:rPr>
          <w:rStyle w:val="Zvraznenie"/>
          <w:rFonts w:ascii="Arial" w:hAnsi="Arial" w:cs="Arial"/>
        </w:rPr>
        <w:t>Výkonnostný rámec</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59"/>
        <w:gridCol w:w="709"/>
        <w:gridCol w:w="992"/>
        <w:gridCol w:w="1984"/>
        <w:gridCol w:w="993"/>
        <w:gridCol w:w="1275"/>
        <w:gridCol w:w="567"/>
        <w:gridCol w:w="567"/>
        <w:gridCol w:w="1134"/>
      </w:tblGrid>
      <w:tr>
        <w:trPr>
          <w:trHeight w:val="278"/>
        </w:trPr>
        <w:tc>
          <w:tcPr>
            <w:tcW w:w="959"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709"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84"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993"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275" w:type="dxa"/>
            <w:vMerge w:val="restart"/>
            <w:tcBorders>
              <w:top w:val="single" w:sz="8" w:space="0" w:color="4E67C8"/>
              <w:left w:val="single" w:sz="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trPr>
          <w:trHeight w:val="277"/>
        </w:trPr>
        <w:tc>
          <w:tcPr>
            <w:tcW w:w="959"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pPr>
              <w:spacing w:after="0" w:line="240" w:lineRule="auto"/>
              <w:rPr>
                <w:rFonts w:ascii="Arial" w:eastAsia="Times New Roman" w:hAnsi="Arial" w:cs="Arial"/>
                <w:b/>
                <w:bCs/>
                <w:sz w:val="16"/>
                <w:szCs w:val="16"/>
              </w:rPr>
            </w:pPr>
          </w:p>
        </w:tc>
        <w:tc>
          <w:tcPr>
            <w:tcW w:w="1984"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trPr>
          <w:trHeight w:val="42"/>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120 000 </w:t>
            </w:r>
            <w:proofErr w:type="spellStart"/>
            <w:r>
              <w:rPr>
                <w:rFonts w:ascii="Arial Narrow" w:hAnsi="Arial Narrow" w:cs="Arial"/>
                <w:sz w:val="16"/>
                <w:szCs w:val="16"/>
              </w:rPr>
              <w:t>000</w:t>
            </w:r>
            <w:proofErr w:type="spellEnd"/>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400 000 </w:t>
            </w:r>
            <w:proofErr w:type="spellStart"/>
            <w:r>
              <w:rPr>
                <w:rFonts w:ascii="Arial Narrow" w:hAnsi="Arial Narrow" w:cs="Arial"/>
                <w:sz w:val="16"/>
                <w:szCs w:val="16"/>
              </w:rPr>
              <w:t>000</w:t>
            </w:r>
            <w:proofErr w:type="spellEnd"/>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6 300 000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21 000 </w:t>
            </w:r>
            <w:proofErr w:type="spellStart"/>
            <w:r>
              <w:rPr>
                <w:rFonts w:ascii="Arial Narrow" w:hAnsi="Arial Narrow" w:cs="Arial"/>
                <w:sz w:val="16"/>
                <w:szCs w:val="16"/>
              </w:rPr>
              <w:t>000</w:t>
            </w:r>
            <w:proofErr w:type="spellEnd"/>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Dĺžka nových úsekov cyklistických komunikácií</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Dĺžka nových úsekov cyklistických komunikácií</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nahradených autobusov MHD</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Vozidlo</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nahradených autobusov MHD</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Vozidlo</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Narrow" w:hAnsi="Arial Narrow" w:cs="Arial"/>
                <w:sz w:val="16"/>
                <w:szCs w:val="16"/>
              </w:rPr>
              <w:t>Počet štandardizovaných terminálov (veľkosť, štandard)</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Narrow" w:hAnsi="Arial Narrow" w:cs="Arial"/>
                <w:sz w:val="16"/>
                <w:szCs w:val="16"/>
              </w:rPr>
              <w:t>Terminál typu X</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Narrow" w:hAnsi="Arial Narrow" w:cs="Arial"/>
                <w:sz w:val="16"/>
                <w:szCs w:val="16"/>
              </w:rPr>
              <w:t>Počet štandardizovaných terminálov (veľkosť, štandard)</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rPr>
                <w:rFonts w:ascii="Arial Narrow" w:hAnsi="Arial Narrow" w:cs="Arial"/>
                <w:sz w:val="16"/>
                <w:szCs w:val="16"/>
              </w:rPr>
            </w:pPr>
            <w:r>
              <w:rPr>
                <w:rFonts w:ascii="Arial Narrow" w:hAnsi="Arial Narrow" w:cs="Arial"/>
                <w:sz w:val="16"/>
                <w:szCs w:val="16"/>
              </w:rPr>
              <w:t>Terminál typu X</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5"/>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254 100 000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726 000 </w:t>
            </w:r>
            <w:proofErr w:type="spellStart"/>
            <w:r>
              <w:rPr>
                <w:rFonts w:ascii="Arial Narrow" w:hAnsi="Arial Narrow" w:cs="Arial"/>
                <w:sz w:val="16"/>
                <w:szCs w:val="16"/>
              </w:rPr>
              <w:t>000</w:t>
            </w:r>
            <w:proofErr w:type="spellEnd"/>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11 170 000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31 913 197</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1 200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3 200</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180</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p>
            <w:pPr>
              <w:spacing w:after="0" w:line="240" w:lineRule="auto"/>
              <w:rPr>
                <w:rFonts w:ascii="Arial Narrow" w:hAnsi="Arial Narrow" w:cs="Arial"/>
                <w:sz w:val="16"/>
                <w:szCs w:val="16"/>
              </w:rPr>
            </w:pPr>
            <w:r>
              <w:rPr>
                <w:rFonts w:ascii="Arial Narrow" w:hAnsi="Arial Narrow" w:cs="Arial"/>
                <w:sz w:val="16"/>
                <w:szCs w:val="16"/>
              </w:rPr>
              <w:t>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Osoba v náhradnej starostlivosti</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675</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Osoba v náhradnej starostlivosti</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135</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Dieťa</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4 929</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Dieťa</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3980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5 575</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lastRenderedPageBreak/>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centier odborného vzdelávania a prípravy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Žiak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Kapacita podporených centier odborného vzdelávania a prípravy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Žiak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centrum integrovanej zdravotnej starostlivosti</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134</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67 036 000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255 860 548</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5 240 000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20 000 </w:t>
            </w:r>
            <w:proofErr w:type="spellStart"/>
            <w:r>
              <w:rPr>
                <w:rFonts w:ascii="Arial Narrow" w:hAnsi="Arial Narrow" w:cs="Arial"/>
                <w:sz w:val="16"/>
                <w:szCs w:val="16"/>
              </w:rPr>
              <w:t>000</w:t>
            </w:r>
            <w:proofErr w:type="spellEnd"/>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vybudovaných zriadených a fungujúcich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66 415 000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189 754 888</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w:t>
            </w:r>
            <w:bookmarkStart w:id="175" w:name="_GoBack"/>
            <w:bookmarkEnd w:id="175"/>
            <w:r>
              <w:rPr>
                <w:rFonts w:ascii="Arial Narrow" w:hAnsi="Arial Narrow" w:cs="Arial"/>
                <w:sz w:val="16"/>
                <w:szCs w:val="16"/>
              </w:rPr>
              <w:t>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3 487 000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9 961 782</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Zníženie spotreby PEZ v budovách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roofErr w:type="spellStart"/>
            <w:r>
              <w:rPr>
                <w:rFonts w:ascii="Arial Narrow" w:hAnsi="Arial Narrow" w:cs="Arial"/>
                <w:sz w:val="16"/>
                <w:szCs w:val="16"/>
              </w:rPr>
              <w:t>MWh</w:t>
            </w:r>
            <w:proofErr w:type="spellEnd"/>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270 000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425 000</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Zníženie spotreby PEZ v budovách na bývanie</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proofErr w:type="spellStart"/>
            <w:r>
              <w:rPr>
                <w:rFonts w:ascii="Arial Narrow" w:hAnsi="Arial Narrow" w:cs="Arial"/>
                <w:sz w:val="16"/>
                <w:szCs w:val="16"/>
              </w:rPr>
              <w:t>MWh</w:t>
            </w:r>
            <w:proofErr w:type="spellEnd"/>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50 000</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Dodatočné obyvateľstvo napojené na zlepšenú vodovodnú sieť</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Obyvateľ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tcPr>
          <w:p>
            <w:pPr>
              <w:jc w:val="center"/>
              <w:rPr>
                <w:rFonts w:ascii="Arial Narrow" w:hAnsi="Arial Narrow"/>
                <w:sz w:val="16"/>
                <w:szCs w:val="16"/>
              </w:rPr>
            </w:pPr>
            <w:r>
              <w:rPr>
                <w:rFonts w:ascii="Arial Narrow"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pPr>
              <w:jc w:val="center"/>
              <w:rPr>
                <w:rFonts w:ascii="Arial Narrow" w:hAnsi="Arial Narrow" w:cs="Arial"/>
                <w:sz w:val="16"/>
                <w:szCs w:val="16"/>
              </w:rPr>
            </w:pPr>
            <w:r>
              <w:rPr>
                <w:rFonts w:ascii="Arial Narrow" w:hAnsi="Arial Narrow" w:cs="Arial"/>
                <w:b/>
                <w:bCs/>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Zvýšený počet obyvateľov so zlepšenou dodávkou pitnej vody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EO</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vybudovaných prvkov zelenej infraštruktúry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Prvok zelenej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Rozloha revitalizovaných objektov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Plocha v m</w:t>
            </w:r>
            <w:r>
              <w:rPr>
                <w:rFonts w:ascii="Arial Narrow" w:hAnsi="Arial Narrow" w:cs="Arial"/>
                <w:sz w:val="16"/>
                <w:szCs w:val="16"/>
                <w:vertAlign w:val="superscript"/>
              </w:rPr>
              <w:t>2</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25 938 000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99 000 </w:t>
            </w:r>
            <w:proofErr w:type="spellStart"/>
            <w:r>
              <w:rPr>
                <w:rFonts w:ascii="Arial Narrow" w:hAnsi="Arial Narrow" w:cs="Arial"/>
                <w:sz w:val="16"/>
                <w:szCs w:val="16"/>
              </w:rPr>
              <w:t>000</w:t>
            </w:r>
            <w:proofErr w:type="spellEnd"/>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Certifikovaná suma oprávnených výdavkov po ich certifikácii zo strany certifikačného orgánu</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262 000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 xml:space="preserve">1 000 </w:t>
            </w:r>
            <w:proofErr w:type="spellStart"/>
            <w:r>
              <w:rPr>
                <w:rFonts w:ascii="Arial Narrow" w:hAnsi="Arial Narrow" w:cs="Arial"/>
                <w:sz w:val="16"/>
                <w:szCs w:val="16"/>
              </w:rPr>
              <w:t>000</w:t>
            </w:r>
            <w:proofErr w:type="spellEnd"/>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podporených podnikov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Podnik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300</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podporených podnikov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Podnik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nových služieb a prvkov verejnej infraštruktúry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Služba/ prvok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2 300</w:t>
            </w:r>
          </w:p>
        </w:tc>
      </w:tr>
      <w:t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Viac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Počet nových služieb a prvkov verejnej infraštruktúry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Služba/ prvok</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7</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pPr>
              <w:spacing w:after="0" w:line="240" w:lineRule="auto"/>
              <w:rPr>
                <w:rFonts w:ascii="Arial Narrow" w:hAnsi="Arial Narrow" w:cs="Arial"/>
                <w:sz w:val="16"/>
                <w:szCs w:val="16"/>
              </w:rPr>
            </w:pPr>
            <w:r>
              <w:rPr>
                <w:rFonts w:ascii="Arial Narrow" w:hAnsi="Arial Narrow" w:cs="Arial"/>
                <w:sz w:val="16"/>
                <w:szCs w:val="16"/>
              </w:rPr>
              <w:t>20</w:t>
            </w:r>
          </w:p>
        </w:tc>
      </w:tr>
    </w:tbl>
    <w:p>
      <w:pPr>
        <w:rPr>
          <w:rFonts w:ascii="Arial" w:hAnsi="Arial" w:cs="Arial"/>
          <w:sz w:val="18"/>
          <w:szCs w:val="18"/>
        </w:rPr>
      </w:pPr>
      <w:r>
        <w:rPr>
          <w:rFonts w:ascii="Arial" w:hAnsi="Arial" w:cs="Arial"/>
          <w:sz w:val="18"/>
          <w:szCs w:val="18"/>
        </w:rPr>
        <w:t>* Hodnoty budú doplnené v závislosti od doplnenia hodnôt príslušných výstupových ukazovateľov</w:t>
      </w:r>
    </w:p>
    <w:p>
      <w:pPr>
        <w:rPr>
          <w:rFonts w:ascii="Arial" w:hAnsi="Arial" w:cs="Arial"/>
        </w:rPr>
      </w:pPr>
    </w:p>
    <w:p>
      <w:pPr>
        <w:pStyle w:val="Nadpis2"/>
        <w:rPr>
          <w:rFonts w:ascii="Arial" w:hAnsi="Arial" w:cs="Arial"/>
        </w:rPr>
      </w:pPr>
      <w:bookmarkStart w:id="176" w:name="_Toc387651907"/>
      <w:r>
        <w:rPr>
          <w:rFonts w:ascii="Arial" w:hAnsi="Arial" w:cs="Arial"/>
        </w:rPr>
        <w:lastRenderedPageBreak/>
        <w:t>12.3 Zoznam relevantných partnerov zapojených do prípravy IROP</w:t>
      </w:r>
      <w:bookmarkEnd w:id="176"/>
    </w:p>
    <w:p>
      <w:pPr>
        <w:rPr>
          <w:rFonts w:ascii="Arial" w:hAnsi="Arial" w:cs="Arial"/>
        </w:rPr>
      </w:pPr>
    </w:p>
    <w:p>
      <w:pPr>
        <w:pStyle w:val="Odsekzoznamu"/>
        <w:numPr>
          <w:ilvl w:val="0"/>
          <w:numId w:val="5"/>
        </w:numPr>
        <w:rPr>
          <w:rFonts w:ascii="Arial" w:hAnsi="Arial" w:cs="Arial"/>
        </w:rPr>
      </w:pPr>
      <w:r>
        <w:rPr>
          <w:rFonts w:ascii="Arial" w:hAnsi="Arial" w:cs="Arial"/>
        </w:rPr>
        <w:t>Centrálny koordinačný orgán,</w:t>
      </w:r>
    </w:p>
    <w:p>
      <w:pPr>
        <w:pStyle w:val="Odsekzoznamu"/>
        <w:numPr>
          <w:ilvl w:val="0"/>
          <w:numId w:val="5"/>
        </w:numPr>
        <w:rPr>
          <w:rFonts w:ascii="Arial" w:hAnsi="Arial" w:cs="Arial"/>
        </w:rPr>
      </w:pPr>
      <w:r>
        <w:rPr>
          <w:rFonts w:ascii="Arial" w:hAnsi="Arial" w:cs="Arial"/>
        </w:rPr>
        <w:t>Ministerstvo financií SR,</w:t>
      </w:r>
    </w:p>
    <w:p>
      <w:pPr>
        <w:pStyle w:val="Odsekzoznamu"/>
        <w:numPr>
          <w:ilvl w:val="0"/>
          <w:numId w:val="5"/>
        </w:numPr>
        <w:rPr>
          <w:rFonts w:ascii="Arial" w:hAnsi="Arial" w:cs="Arial"/>
        </w:rPr>
      </w:pPr>
      <w:r>
        <w:rPr>
          <w:rFonts w:ascii="Arial" w:hAnsi="Arial" w:cs="Arial"/>
        </w:rPr>
        <w:t>Ministerstvo zahraničných vecí a európskych záležitostí SR,</w:t>
      </w:r>
    </w:p>
    <w:p>
      <w:pPr>
        <w:pStyle w:val="Odsekzoznamu"/>
        <w:numPr>
          <w:ilvl w:val="0"/>
          <w:numId w:val="5"/>
        </w:numPr>
        <w:rPr>
          <w:rFonts w:ascii="Arial" w:hAnsi="Arial" w:cs="Arial"/>
        </w:rPr>
      </w:pPr>
      <w:r>
        <w:rPr>
          <w:rFonts w:ascii="Arial" w:hAnsi="Arial" w:cs="Arial"/>
        </w:rPr>
        <w:t>Ministerstvo práce, sociálnych vecí a rodiny SR,</w:t>
      </w:r>
    </w:p>
    <w:p>
      <w:pPr>
        <w:pStyle w:val="Odsekzoznamu"/>
        <w:numPr>
          <w:ilvl w:val="0"/>
          <w:numId w:val="5"/>
        </w:numPr>
        <w:rPr>
          <w:rFonts w:ascii="Arial" w:hAnsi="Arial" w:cs="Arial"/>
        </w:rPr>
      </w:pPr>
      <w:r>
        <w:rPr>
          <w:rFonts w:ascii="Arial" w:hAnsi="Arial" w:cs="Arial"/>
        </w:rPr>
        <w:t>Ministerstvo pôdohospodárstva a rozvoja vidieka SR, sekcia rozvoja vidieka</w:t>
      </w:r>
    </w:p>
    <w:p>
      <w:pPr>
        <w:pStyle w:val="Odsekzoznamu"/>
        <w:numPr>
          <w:ilvl w:val="0"/>
          <w:numId w:val="5"/>
        </w:numPr>
        <w:rPr>
          <w:rFonts w:ascii="Arial" w:hAnsi="Arial" w:cs="Arial"/>
        </w:rPr>
      </w:pPr>
      <w:r>
        <w:rPr>
          <w:rFonts w:ascii="Arial" w:hAnsi="Arial" w:cs="Arial"/>
        </w:rPr>
        <w:t>Ministerstvo dopravy, výstavby a regionálneho rozvoja SR, sekcia bytovej politiky a mestského rozvoja,</w:t>
      </w:r>
    </w:p>
    <w:p>
      <w:pPr>
        <w:pStyle w:val="Odsekzoznamu"/>
        <w:numPr>
          <w:ilvl w:val="0"/>
          <w:numId w:val="5"/>
        </w:numPr>
        <w:rPr>
          <w:rFonts w:ascii="Arial" w:hAnsi="Arial" w:cs="Arial"/>
        </w:rPr>
      </w:pPr>
      <w:r>
        <w:rPr>
          <w:rFonts w:ascii="Arial" w:hAnsi="Arial" w:cs="Arial"/>
        </w:rPr>
        <w:t>Ministerstvo dopravy, výstavby a regionálneho rozvoja SR, OP Integrovaná infraštruktúra,</w:t>
      </w:r>
    </w:p>
    <w:p>
      <w:pPr>
        <w:pStyle w:val="Odsekzoznamu"/>
        <w:numPr>
          <w:ilvl w:val="0"/>
          <w:numId w:val="5"/>
        </w:numPr>
        <w:rPr>
          <w:rFonts w:ascii="Arial" w:hAnsi="Arial" w:cs="Arial"/>
        </w:rPr>
      </w:pPr>
      <w:r>
        <w:rPr>
          <w:rFonts w:ascii="Arial" w:hAnsi="Arial" w:cs="Arial"/>
        </w:rPr>
        <w:t>Ministerstvo školstva, vedy, výskumu a športu SR,</w:t>
      </w:r>
    </w:p>
    <w:p>
      <w:pPr>
        <w:pStyle w:val="Odsekzoznamu"/>
        <w:numPr>
          <w:ilvl w:val="0"/>
          <w:numId w:val="5"/>
        </w:numPr>
        <w:rPr>
          <w:rFonts w:ascii="Arial" w:hAnsi="Arial" w:cs="Arial"/>
        </w:rPr>
      </w:pPr>
      <w:r>
        <w:rPr>
          <w:rFonts w:ascii="Arial" w:hAnsi="Arial" w:cs="Arial"/>
        </w:rPr>
        <w:t>Ministerstvo životného prostredia SR,</w:t>
      </w:r>
    </w:p>
    <w:p>
      <w:pPr>
        <w:pStyle w:val="Odsekzoznamu"/>
        <w:numPr>
          <w:ilvl w:val="0"/>
          <w:numId w:val="5"/>
        </w:numPr>
        <w:rPr>
          <w:rFonts w:ascii="Arial" w:hAnsi="Arial" w:cs="Arial"/>
        </w:rPr>
      </w:pPr>
      <w:r>
        <w:rPr>
          <w:rFonts w:ascii="Arial" w:hAnsi="Arial" w:cs="Arial"/>
        </w:rPr>
        <w:t>Ministerstvo kultúry SR,</w:t>
      </w:r>
    </w:p>
    <w:p>
      <w:pPr>
        <w:pStyle w:val="Odsekzoznamu"/>
        <w:numPr>
          <w:ilvl w:val="0"/>
          <w:numId w:val="5"/>
        </w:numPr>
        <w:rPr>
          <w:rFonts w:ascii="Arial" w:hAnsi="Arial" w:cs="Arial"/>
        </w:rPr>
      </w:pPr>
      <w:r>
        <w:rPr>
          <w:rFonts w:ascii="Arial" w:hAnsi="Arial" w:cs="Arial"/>
        </w:rPr>
        <w:t>Ministerstvo vnútra SR,</w:t>
      </w:r>
    </w:p>
    <w:p>
      <w:pPr>
        <w:pStyle w:val="Odsekzoznamu"/>
        <w:numPr>
          <w:ilvl w:val="0"/>
          <w:numId w:val="5"/>
        </w:numPr>
        <w:rPr>
          <w:rFonts w:ascii="Arial" w:hAnsi="Arial" w:cs="Arial"/>
        </w:rPr>
      </w:pPr>
      <w:r>
        <w:rPr>
          <w:rFonts w:ascii="Arial" w:hAnsi="Arial" w:cs="Arial"/>
        </w:rPr>
        <w:t>Úrad splnomocnenca vlády SR pre rómske komunity,</w:t>
      </w:r>
    </w:p>
    <w:p>
      <w:pPr>
        <w:pStyle w:val="Odsekzoznamu"/>
        <w:numPr>
          <w:ilvl w:val="0"/>
          <w:numId w:val="5"/>
        </w:numPr>
        <w:rPr>
          <w:rFonts w:ascii="Arial" w:hAnsi="Arial" w:cs="Arial"/>
        </w:rPr>
      </w:pPr>
      <w:r>
        <w:rPr>
          <w:rFonts w:ascii="Arial" w:hAnsi="Arial" w:cs="Arial"/>
        </w:rPr>
        <w:t>Úrad splnomocnenca vlády SR pre rozvoj občianskej spoločnosti,</w:t>
      </w:r>
    </w:p>
    <w:p>
      <w:pPr>
        <w:pStyle w:val="Odsekzoznamu"/>
        <w:numPr>
          <w:ilvl w:val="0"/>
          <w:numId w:val="5"/>
        </w:numPr>
        <w:rPr>
          <w:rFonts w:ascii="Arial" w:hAnsi="Arial" w:cs="Arial"/>
        </w:rPr>
      </w:pPr>
      <w:r>
        <w:rPr>
          <w:rFonts w:ascii="Arial" w:hAnsi="Arial" w:cs="Arial"/>
        </w:rPr>
        <w:t>Úrad vlády SR, koordinátor horizontálnej priority udržateľný rozvoj</w:t>
      </w:r>
    </w:p>
    <w:p>
      <w:pPr>
        <w:pStyle w:val="Odsekzoznamu"/>
        <w:numPr>
          <w:ilvl w:val="0"/>
          <w:numId w:val="5"/>
        </w:numPr>
        <w:rPr>
          <w:rFonts w:ascii="Arial" w:hAnsi="Arial" w:cs="Arial"/>
        </w:rPr>
      </w:pPr>
      <w:r>
        <w:rPr>
          <w:rFonts w:ascii="Arial" w:hAnsi="Arial" w:cs="Arial"/>
        </w:rPr>
        <w:t xml:space="preserve">Úrad vlády SR, podpredseda vlády SR pre investície </w:t>
      </w:r>
    </w:p>
    <w:p>
      <w:pPr>
        <w:pStyle w:val="Odsekzoznamu"/>
        <w:numPr>
          <w:ilvl w:val="0"/>
          <w:numId w:val="5"/>
        </w:numPr>
        <w:rPr>
          <w:rFonts w:ascii="Arial" w:hAnsi="Arial" w:cs="Arial"/>
        </w:rPr>
      </w:pPr>
      <w:r>
        <w:rPr>
          <w:rFonts w:ascii="Arial" w:hAnsi="Arial" w:cs="Arial"/>
        </w:rPr>
        <w:t>Bratislavský samosprávny kraj,</w:t>
      </w:r>
    </w:p>
    <w:p>
      <w:pPr>
        <w:pStyle w:val="Odsekzoznamu"/>
        <w:numPr>
          <w:ilvl w:val="0"/>
          <w:numId w:val="5"/>
        </w:numPr>
        <w:rPr>
          <w:rFonts w:ascii="Arial" w:hAnsi="Arial" w:cs="Arial"/>
        </w:rPr>
      </w:pPr>
      <w:r>
        <w:rPr>
          <w:rFonts w:ascii="Arial" w:hAnsi="Arial" w:cs="Arial"/>
        </w:rPr>
        <w:t>Banskobystrický samosprávny kraj,</w:t>
      </w:r>
    </w:p>
    <w:p>
      <w:pPr>
        <w:pStyle w:val="Odsekzoznamu"/>
        <w:numPr>
          <w:ilvl w:val="0"/>
          <w:numId w:val="5"/>
        </w:numPr>
        <w:rPr>
          <w:rFonts w:ascii="Arial" w:hAnsi="Arial" w:cs="Arial"/>
        </w:rPr>
      </w:pPr>
      <w:r>
        <w:rPr>
          <w:rFonts w:ascii="Arial" w:hAnsi="Arial" w:cs="Arial"/>
        </w:rPr>
        <w:t>Trnavský samosprávny kraj,</w:t>
      </w:r>
    </w:p>
    <w:p>
      <w:pPr>
        <w:pStyle w:val="Odsekzoznamu"/>
        <w:numPr>
          <w:ilvl w:val="0"/>
          <w:numId w:val="5"/>
        </w:numPr>
        <w:rPr>
          <w:rFonts w:ascii="Arial" w:hAnsi="Arial" w:cs="Arial"/>
        </w:rPr>
      </w:pPr>
      <w:r>
        <w:rPr>
          <w:rFonts w:ascii="Arial" w:hAnsi="Arial" w:cs="Arial"/>
        </w:rPr>
        <w:t>Trenčiansky samosprávny kraj,</w:t>
      </w:r>
    </w:p>
    <w:p>
      <w:pPr>
        <w:pStyle w:val="Odsekzoznamu"/>
        <w:numPr>
          <w:ilvl w:val="0"/>
          <w:numId w:val="5"/>
        </w:numPr>
        <w:rPr>
          <w:rFonts w:ascii="Arial" w:hAnsi="Arial" w:cs="Arial"/>
        </w:rPr>
      </w:pPr>
      <w:r>
        <w:rPr>
          <w:rFonts w:ascii="Arial" w:hAnsi="Arial" w:cs="Arial"/>
        </w:rPr>
        <w:t>Žilinský samosprávny kraj,</w:t>
      </w:r>
    </w:p>
    <w:p>
      <w:pPr>
        <w:pStyle w:val="Odsekzoznamu"/>
        <w:numPr>
          <w:ilvl w:val="0"/>
          <w:numId w:val="5"/>
        </w:numPr>
        <w:rPr>
          <w:rFonts w:ascii="Arial" w:hAnsi="Arial" w:cs="Arial"/>
        </w:rPr>
      </w:pPr>
      <w:r>
        <w:rPr>
          <w:rFonts w:ascii="Arial" w:hAnsi="Arial" w:cs="Arial"/>
        </w:rPr>
        <w:t>Nitriansky samosprávny kraj,</w:t>
      </w:r>
    </w:p>
    <w:p>
      <w:pPr>
        <w:pStyle w:val="Odsekzoznamu"/>
        <w:numPr>
          <w:ilvl w:val="0"/>
          <w:numId w:val="5"/>
        </w:numPr>
        <w:rPr>
          <w:rFonts w:ascii="Arial" w:hAnsi="Arial" w:cs="Arial"/>
        </w:rPr>
      </w:pPr>
      <w:r>
        <w:rPr>
          <w:rFonts w:ascii="Arial" w:hAnsi="Arial" w:cs="Arial"/>
        </w:rPr>
        <w:t>Prešovský samosprávny kraj,</w:t>
      </w:r>
    </w:p>
    <w:p>
      <w:pPr>
        <w:pStyle w:val="Odsekzoznamu"/>
        <w:numPr>
          <w:ilvl w:val="0"/>
          <w:numId w:val="5"/>
        </w:numPr>
        <w:rPr>
          <w:rFonts w:ascii="Arial" w:hAnsi="Arial" w:cs="Arial"/>
        </w:rPr>
      </w:pPr>
      <w:r>
        <w:rPr>
          <w:rFonts w:ascii="Arial" w:hAnsi="Arial" w:cs="Arial"/>
        </w:rPr>
        <w:t>Košický samosprávny kraj,</w:t>
      </w:r>
    </w:p>
    <w:p>
      <w:pPr>
        <w:pStyle w:val="Odsekzoznamu"/>
        <w:numPr>
          <w:ilvl w:val="0"/>
          <w:numId w:val="5"/>
        </w:numPr>
        <w:rPr>
          <w:rFonts w:ascii="Arial" w:hAnsi="Arial" w:cs="Arial"/>
        </w:rPr>
      </w:pPr>
      <w:r>
        <w:rPr>
          <w:rFonts w:ascii="Arial" w:hAnsi="Arial" w:cs="Arial"/>
        </w:rPr>
        <w:t>Združenie miest a obcí Slovenska,</w:t>
      </w:r>
    </w:p>
    <w:p>
      <w:pPr>
        <w:pStyle w:val="Odsekzoznamu"/>
        <w:numPr>
          <w:ilvl w:val="0"/>
          <w:numId w:val="5"/>
        </w:numPr>
        <w:rPr>
          <w:rFonts w:ascii="Arial" w:hAnsi="Arial" w:cs="Arial"/>
        </w:rPr>
      </w:pPr>
      <w:r>
        <w:rPr>
          <w:rFonts w:ascii="Arial" w:hAnsi="Arial" w:cs="Arial"/>
        </w:rPr>
        <w:t>Únia miest Slovenska,</w:t>
      </w:r>
    </w:p>
    <w:p>
      <w:pPr>
        <w:pStyle w:val="Odsekzoznamu"/>
        <w:numPr>
          <w:ilvl w:val="0"/>
          <w:numId w:val="5"/>
        </w:numPr>
        <w:rPr>
          <w:rFonts w:ascii="Arial" w:hAnsi="Arial" w:cs="Arial"/>
        </w:rPr>
      </w:pPr>
      <w:r>
        <w:rPr>
          <w:rFonts w:ascii="Arial" w:hAnsi="Arial" w:cs="Arial"/>
        </w:rPr>
        <w:t>Slovenská obchodná a priemyselná komory,</w:t>
      </w:r>
    </w:p>
    <w:p>
      <w:pPr>
        <w:pStyle w:val="Odsekzoznamu"/>
        <w:numPr>
          <w:ilvl w:val="0"/>
          <w:numId w:val="5"/>
        </w:numPr>
        <w:rPr>
          <w:rFonts w:ascii="Arial" w:hAnsi="Arial" w:cs="Arial"/>
        </w:rPr>
      </w:pPr>
      <w:r>
        <w:rPr>
          <w:rFonts w:ascii="Arial" w:hAnsi="Arial" w:cs="Arial"/>
        </w:rPr>
        <w:t>Asociácia zamestnávateľských zväzov a združení SR,</w:t>
      </w:r>
    </w:p>
    <w:p>
      <w:pPr>
        <w:pStyle w:val="Odsekzoznamu"/>
        <w:numPr>
          <w:ilvl w:val="0"/>
          <w:numId w:val="5"/>
        </w:numPr>
        <w:rPr>
          <w:rFonts w:ascii="Arial" w:hAnsi="Arial" w:cs="Arial"/>
        </w:rPr>
      </w:pPr>
      <w:r>
        <w:rPr>
          <w:rFonts w:ascii="Arial" w:hAnsi="Arial" w:cs="Arial"/>
        </w:rPr>
        <w:t>Vidiecky parlament na Slovensku,</w:t>
      </w:r>
    </w:p>
    <w:p>
      <w:pPr>
        <w:pStyle w:val="Odsekzoznamu"/>
        <w:numPr>
          <w:ilvl w:val="0"/>
          <w:numId w:val="5"/>
        </w:numPr>
        <w:rPr>
          <w:rFonts w:ascii="Arial" w:hAnsi="Arial" w:cs="Arial"/>
        </w:rPr>
      </w:pPr>
      <w:r>
        <w:rPr>
          <w:rFonts w:ascii="Arial" w:hAnsi="Arial" w:cs="Arial"/>
        </w:rPr>
        <w:t>Zväz stavebných podnikateľov SR,</w:t>
      </w:r>
    </w:p>
    <w:p>
      <w:pPr>
        <w:pStyle w:val="Odsekzoznamu"/>
        <w:numPr>
          <w:ilvl w:val="0"/>
          <w:numId w:val="5"/>
        </w:numPr>
        <w:rPr>
          <w:rFonts w:ascii="Arial" w:hAnsi="Arial" w:cs="Arial"/>
        </w:rPr>
      </w:pPr>
      <w:r>
        <w:rPr>
          <w:rFonts w:ascii="Arial" w:hAnsi="Arial" w:cs="Arial"/>
        </w:rPr>
        <w:t xml:space="preserve">Rómsky inštitút – </w:t>
      </w:r>
      <w:proofErr w:type="spellStart"/>
      <w:r>
        <w:rPr>
          <w:rFonts w:ascii="Arial" w:hAnsi="Arial" w:cs="Arial"/>
        </w:rPr>
        <w:t>Roma</w:t>
      </w:r>
      <w:proofErr w:type="spellEnd"/>
      <w:r>
        <w:rPr>
          <w:rFonts w:ascii="Arial" w:hAnsi="Arial" w:cs="Arial"/>
        </w:rPr>
        <w:t xml:space="preserve"> </w:t>
      </w:r>
      <w:proofErr w:type="spellStart"/>
      <w:r>
        <w:rPr>
          <w:rFonts w:ascii="Arial" w:hAnsi="Arial" w:cs="Arial"/>
        </w:rPr>
        <w:t>Institute</w:t>
      </w:r>
      <w:proofErr w:type="spellEnd"/>
      <w:r>
        <w:rPr>
          <w:rFonts w:ascii="Arial" w:hAnsi="Arial" w:cs="Arial"/>
        </w:rPr>
        <w:t xml:space="preserve">, </w:t>
      </w:r>
      <w:proofErr w:type="spellStart"/>
      <w:r>
        <w:rPr>
          <w:rFonts w:ascii="Arial" w:hAnsi="Arial" w:cs="Arial"/>
        </w:rPr>
        <w:t>n.o</w:t>
      </w:r>
      <w:proofErr w:type="spellEnd"/>
      <w:r>
        <w:rPr>
          <w:rFonts w:ascii="Arial" w:hAnsi="Arial" w:cs="Arial"/>
        </w:rPr>
        <w:t>.,</w:t>
      </w:r>
    </w:p>
    <w:p>
      <w:pPr>
        <w:pStyle w:val="Odsekzoznamu"/>
        <w:numPr>
          <w:ilvl w:val="0"/>
          <w:numId w:val="5"/>
        </w:numPr>
        <w:rPr>
          <w:rFonts w:ascii="Arial" w:hAnsi="Arial" w:cs="Arial"/>
        </w:rPr>
      </w:pPr>
      <w:r>
        <w:rPr>
          <w:rFonts w:ascii="Arial" w:hAnsi="Arial" w:cs="Arial"/>
        </w:rPr>
        <w:t>Klub 500,</w:t>
      </w:r>
    </w:p>
    <w:p>
      <w:pPr>
        <w:pStyle w:val="Odsekzoznamu"/>
        <w:numPr>
          <w:ilvl w:val="0"/>
          <w:numId w:val="5"/>
        </w:numPr>
        <w:rPr>
          <w:rFonts w:ascii="Arial" w:hAnsi="Arial" w:cs="Arial"/>
        </w:rPr>
      </w:pPr>
      <w:r>
        <w:rPr>
          <w:rFonts w:ascii="Arial" w:hAnsi="Arial" w:cs="Arial"/>
        </w:rPr>
        <w:t xml:space="preserve">CEPTA - Centrum pre </w:t>
      </w:r>
      <w:proofErr w:type="spellStart"/>
      <w:r>
        <w:rPr>
          <w:rFonts w:ascii="Arial" w:hAnsi="Arial" w:cs="Arial"/>
        </w:rPr>
        <w:t>trvaloudržateľné</w:t>
      </w:r>
      <w:proofErr w:type="spellEnd"/>
      <w:r>
        <w:rPr>
          <w:rFonts w:ascii="Arial" w:hAnsi="Arial" w:cs="Arial"/>
        </w:rPr>
        <w:t xml:space="preserve"> alternatívy,</w:t>
      </w:r>
    </w:p>
    <w:p>
      <w:pPr>
        <w:pStyle w:val="Odsekzoznamu"/>
        <w:numPr>
          <w:ilvl w:val="0"/>
          <w:numId w:val="5"/>
        </w:numPr>
        <w:rPr>
          <w:rFonts w:ascii="Arial" w:hAnsi="Arial" w:cs="Arial"/>
        </w:rPr>
      </w:pPr>
      <w:r>
        <w:rPr>
          <w:rFonts w:ascii="Arial" w:hAnsi="Arial" w:cs="Arial"/>
        </w:rPr>
        <w:t>Slovenská poľnohospodárska a potravinárska komora,</w:t>
      </w:r>
    </w:p>
    <w:p>
      <w:pPr>
        <w:pStyle w:val="Odsekzoznamu"/>
        <w:numPr>
          <w:ilvl w:val="0"/>
          <w:numId w:val="5"/>
        </w:numPr>
        <w:rPr>
          <w:rFonts w:ascii="Arial" w:hAnsi="Arial" w:cs="Arial"/>
        </w:rPr>
      </w:pPr>
      <w:r>
        <w:rPr>
          <w:rFonts w:ascii="Arial" w:hAnsi="Arial" w:cs="Arial"/>
        </w:rPr>
        <w:t>Mesto Bratislava</w:t>
      </w:r>
    </w:p>
    <w:p>
      <w:pPr>
        <w:pStyle w:val="Odsekzoznamu"/>
        <w:numPr>
          <w:ilvl w:val="0"/>
          <w:numId w:val="5"/>
        </w:numPr>
        <w:rPr>
          <w:rFonts w:ascii="Arial" w:hAnsi="Arial" w:cs="Arial"/>
        </w:rPr>
      </w:pPr>
      <w:r>
        <w:rPr>
          <w:rFonts w:ascii="Arial" w:hAnsi="Arial" w:cs="Arial"/>
        </w:rPr>
        <w:t>Mesto Banská Bystrica</w:t>
      </w:r>
    </w:p>
    <w:p>
      <w:pPr>
        <w:pStyle w:val="Odsekzoznamu"/>
        <w:numPr>
          <w:ilvl w:val="0"/>
          <w:numId w:val="5"/>
        </w:numPr>
        <w:rPr>
          <w:rFonts w:ascii="Arial" w:hAnsi="Arial" w:cs="Arial"/>
        </w:rPr>
      </w:pPr>
      <w:r>
        <w:rPr>
          <w:rFonts w:ascii="Arial" w:hAnsi="Arial" w:cs="Arial"/>
        </w:rPr>
        <w:t>Mesto Košice</w:t>
      </w:r>
    </w:p>
    <w:p>
      <w:pPr>
        <w:pStyle w:val="Odsekzoznamu"/>
        <w:numPr>
          <w:ilvl w:val="0"/>
          <w:numId w:val="5"/>
        </w:numPr>
        <w:rPr>
          <w:rFonts w:ascii="Arial" w:hAnsi="Arial" w:cs="Arial"/>
        </w:rPr>
      </w:pPr>
      <w:r>
        <w:rPr>
          <w:rFonts w:ascii="Arial" w:hAnsi="Arial" w:cs="Arial"/>
        </w:rPr>
        <w:t>Mesto Nitra</w:t>
      </w:r>
    </w:p>
    <w:p>
      <w:pPr>
        <w:pStyle w:val="Odsekzoznamu"/>
        <w:numPr>
          <w:ilvl w:val="0"/>
          <w:numId w:val="5"/>
        </w:numPr>
        <w:rPr>
          <w:rFonts w:ascii="Arial" w:hAnsi="Arial" w:cs="Arial"/>
        </w:rPr>
      </w:pPr>
      <w:r>
        <w:rPr>
          <w:rFonts w:ascii="Arial" w:hAnsi="Arial" w:cs="Arial"/>
        </w:rPr>
        <w:t>Mesto Prešov</w:t>
      </w:r>
    </w:p>
    <w:p>
      <w:pPr>
        <w:pStyle w:val="Odsekzoznamu"/>
        <w:numPr>
          <w:ilvl w:val="0"/>
          <w:numId w:val="5"/>
        </w:numPr>
        <w:rPr>
          <w:rFonts w:ascii="Arial" w:hAnsi="Arial" w:cs="Arial"/>
        </w:rPr>
      </w:pPr>
      <w:r>
        <w:rPr>
          <w:rFonts w:ascii="Arial" w:hAnsi="Arial" w:cs="Arial"/>
        </w:rPr>
        <w:t>Mesto Trenčín</w:t>
      </w:r>
    </w:p>
    <w:p>
      <w:pPr>
        <w:pStyle w:val="Odsekzoznamu"/>
        <w:numPr>
          <w:ilvl w:val="0"/>
          <w:numId w:val="5"/>
        </w:numPr>
        <w:rPr>
          <w:rFonts w:ascii="Arial" w:hAnsi="Arial" w:cs="Arial"/>
        </w:rPr>
      </w:pPr>
      <w:r>
        <w:rPr>
          <w:rFonts w:ascii="Arial" w:hAnsi="Arial" w:cs="Arial"/>
        </w:rPr>
        <w:t>Mesto Trnava</w:t>
      </w:r>
    </w:p>
    <w:p>
      <w:pPr>
        <w:pStyle w:val="Odsekzoznamu"/>
        <w:numPr>
          <w:ilvl w:val="0"/>
          <w:numId w:val="5"/>
        </w:numPr>
        <w:rPr>
          <w:rFonts w:ascii="Arial" w:hAnsi="Arial" w:cs="Arial"/>
        </w:rPr>
      </w:pPr>
      <w:r>
        <w:rPr>
          <w:rFonts w:ascii="Arial" w:hAnsi="Arial" w:cs="Arial"/>
        </w:rPr>
        <w:t>Mesto Žilina</w:t>
      </w:r>
    </w:p>
    <w:p>
      <w:pPr>
        <w:pStyle w:val="Odsekzoznamu"/>
        <w:numPr>
          <w:ilvl w:val="0"/>
          <w:numId w:val="5"/>
        </w:numPr>
        <w:rPr>
          <w:rFonts w:ascii="Arial" w:hAnsi="Arial" w:cs="Arial"/>
        </w:rPr>
      </w:pPr>
      <w:r>
        <w:rPr>
          <w:rFonts w:ascii="Arial" w:hAnsi="Arial" w:cs="Arial"/>
        </w:rPr>
        <w:t>Asociácia vodárenských spoločností,</w:t>
      </w:r>
    </w:p>
    <w:p>
      <w:pPr>
        <w:pStyle w:val="Odsekzoznamu"/>
        <w:numPr>
          <w:ilvl w:val="0"/>
          <w:numId w:val="5"/>
        </w:numPr>
        <w:rPr>
          <w:rFonts w:ascii="Arial" w:hAnsi="Arial" w:cs="Arial"/>
        </w:rPr>
      </w:pPr>
      <w:r>
        <w:rPr>
          <w:rFonts w:ascii="Arial" w:hAnsi="Arial" w:cs="Arial"/>
        </w:rPr>
        <w:t>Národná sieť slovenských miestnych akčných skupín.</w:t>
      </w:r>
    </w:p>
    <w:p>
      <w:pPr>
        <w:rPr>
          <w:rFonts w:ascii="Arial" w:hAnsi="Arial" w:cs="Arial"/>
        </w:rPr>
      </w:pPr>
    </w:p>
    <w:p>
      <w:pPr>
        <w:rPr>
          <w:rFonts w:ascii="Arial" w:hAnsi="Arial" w:cs="Arial"/>
        </w:rPr>
      </w:pPr>
    </w:p>
    <w:p>
      <w:pPr>
        <w:pStyle w:val="Nadpis1"/>
        <w:rPr>
          <w:rFonts w:ascii="Arial" w:hAnsi="Arial" w:cs="Arial"/>
        </w:rPr>
      </w:pPr>
      <w:bookmarkStart w:id="177" w:name="_Toc387651908"/>
      <w:r>
        <w:rPr>
          <w:rFonts w:ascii="Arial" w:hAnsi="Arial" w:cs="Arial"/>
        </w:rPr>
        <w:t>Prílohy (na zadanie do SFC 2014 ako osobitné súbory)</w:t>
      </w:r>
      <w:bookmarkEnd w:id="177"/>
    </w:p>
    <w:p>
      <w:pPr>
        <w:pStyle w:val="Odsekzoznamu"/>
        <w:numPr>
          <w:ilvl w:val="0"/>
          <w:numId w:val="1"/>
        </w:numPr>
        <w:rPr>
          <w:rFonts w:ascii="Arial" w:hAnsi="Arial" w:cs="Arial"/>
        </w:rPr>
      </w:pPr>
      <w:r>
        <w:rPr>
          <w:rFonts w:ascii="Arial" w:hAnsi="Arial" w:cs="Arial"/>
        </w:rPr>
        <w:t xml:space="preserve">Návrh správy z ex </w:t>
      </w:r>
      <w:proofErr w:type="spellStart"/>
      <w:r>
        <w:rPr>
          <w:rFonts w:ascii="Arial" w:hAnsi="Arial" w:cs="Arial"/>
        </w:rPr>
        <w:t>ante</w:t>
      </w:r>
      <w:proofErr w:type="spellEnd"/>
      <w:r>
        <w:rPr>
          <w:rFonts w:ascii="Arial" w:hAnsi="Arial" w:cs="Arial"/>
        </w:rPr>
        <w:t xml:space="preserve"> hodnotenia vrátane zhrnutia</w:t>
      </w:r>
    </w:p>
    <w:p>
      <w:pPr>
        <w:pStyle w:val="Odsekzoznamu"/>
        <w:numPr>
          <w:ilvl w:val="0"/>
          <w:numId w:val="1"/>
        </w:numPr>
        <w:rPr>
          <w:rFonts w:ascii="Arial" w:hAnsi="Arial" w:cs="Arial"/>
        </w:rPr>
      </w:pPr>
      <w:r>
        <w:rPr>
          <w:rFonts w:ascii="Arial" w:hAnsi="Arial" w:cs="Arial"/>
        </w:rPr>
        <w:t xml:space="preserve">Podklady zo zhodnotenia aplikovateľnosti a splnenia ex </w:t>
      </w:r>
      <w:proofErr w:type="spellStart"/>
      <w:r>
        <w:rPr>
          <w:rFonts w:ascii="Arial" w:hAnsi="Arial" w:cs="Arial"/>
        </w:rPr>
        <w:t>ante</w:t>
      </w:r>
      <w:proofErr w:type="spellEnd"/>
      <w:r>
        <w:rPr>
          <w:rFonts w:ascii="Arial" w:hAnsi="Arial" w:cs="Arial"/>
        </w:rPr>
        <w:t xml:space="preserve"> </w:t>
      </w:r>
      <w:proofErr w:type="spellStart"/>
      <w:r>
        <w:rPr>
          <w:rFonts w:ascii="Arial" w:hAnsi="Arial" w:cs="Arial"/>
        </w:rPr>
        <w:t>kondicionalít</w:t>
      </w:r>
      <w:proofErr w:type="spellEnd"/>
      <w:r>
        <w:rPr>
          <w:rFonts w:ascii="Arial" w:hAnsi="Arial" w:cs="Arial"/>
        </w:rPr>
        <w:t xml:space="preserve"> (voliteľné)</w:t>
      </w:r>
    </w:p>
    <w:p>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pPr>
        <w:pStyle w:val="Odsekzoznamu"/>
        <w:numPr>
          <w:ilvl w:val="0"/>
          <w:numId w:val="1"/>
        </w:numPr>
        <w:rPr>
          <w:rFonts w:ascii="Arial" w:hAnsi="Arial" w:cs="Arial"/>
        </w:rPr>
      </w:pPr>
      <w:r>
        <w:rPr>
          <w:rFonts w:ascii="Arial" w:hAnsi="Arial" w:cs="Arial"/>
        </w:rPr>
        <w:t>Zhrnutie IROP pre občanov (voliteľné)</w:t>
      </w:r>
    </w:p>
    <w:p>
      <w:pPr>
        <w:rPr>
          <w:rFonts w:ascii="Arial" w:hAnsi="Arial" w:cs="Arial"/>
        </w:rPr>
        <w:sectPr>
          <w:pgSz w:w="11906" w:h="16838"/>
          <w:pgMar w:top="1417" w:right="1417" w:bottom="1417" w:left="1417" w:header="708" w:footer="708" w:gutter="0"/>
          <w:cols w:space="708"/>
          <w:docGrid w:linePitch="360"/>
        </w:sectPr>
      </w:pPr>
    </w:p>
    <w:p>
      <w:pPr>
        <w:spacing w:after="0" w:line="240" w:lineRule="auto"/>
        <w:rPr>
          <w:rFonts w:ascii="Arial" w:hAnsi="Arial" w:cs="Arial"/>
          <w:i/>
        </w:rPr>
      </w:pPr>
      <w:r>
        <w:rPr>
          <w:rFonts w:ascii="Arial" w:hAnsi="Arial" w:cs="Arial"/>
          <w:b/>
        </w:rPr>
        <w:lastRenderedPageBreak/>
        <w:t>Príloha č. 12.4:</w:t>
      </w:r>
      <w:r>
        <w:rPr>
          <w:rFonts w:ascii="Arial" w:hAnsi="Arial" w:cs="Arial"/>
        </w:rPr>
        <w:t xml:space="preserve"> </w:t>
      </w:r>
      <w:r>
        <w:rPr>
          <w:rFonts w:ascii="Arial" w:hAnsi="Arial" w:cs="Arial"/>
          <w:i/>
        </w:rPr>
        <w:t>Kódy kategórií intervencií použitých v rámci IROP</w:t>
      </w:r>
    </w:p>
    <w:p>
      <w:pPr>
        <w:tabs>
          <w:tab w:val="left" w:pos="2268"/>
        </w:tabs>
        <w:rPr>
          <w:rFonts w:ascii="Arial" w:hAnsi="Arial" w:cs="Arial"/>
          <w:sz w:val="20"/>
          <w:szCs w:val="20"/>
        </w:rPr>
      </w:pPr>
    </w:p>
    <w:p>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trPr>
          <w:trHeight w:val="609"/>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851"/>
              <w:rPr>
                <w:rFonts w:ascii="Arial" w:hAnsi="Arial" w:cs="Arial"/>
                <w:sz w:val="20"/>
                <w:szCs w:val="20"/>
              </w:rPr>
            </w:pPr>
            <w:r>
              <w:rPr>
                <w:rFonts w:ascii="Arial" w:hAnsi="Arial" w:cs="Arial"/>
                <w:b/>
                <w:i/>
                <w:sz w:val="20"/>
                <w:szCs w:val="20"/>
              </w:rPr>
              <w:t>Dopravná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851"/>
              <w:rPr>
                <w:rFonts w:ascii="Arial" w:hAnsi="Arial" w:cs="Arial"/>
                <w:sz w:val="20"/>
                <w:szCs w:val="20"/>
              </w:rPr>
            </w:pPr>
            <w:r>
              <w:rPr>
                <w:rFonts w:ascii="Arial" w:hAnsi="Arial" w:cs="Arial"/>
                <w:b/>
                <w:i/>
                <w:sz w:val="20"/>
                <w:szCs w:val="20"/>
              </w:rPr>
              <w:t>Udržateľná doprava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sz w:val="20"/>
                <w:szCs w:val="20"/>
              </w:rPr>
            </w:pPr>
            <w:r>
              <w:rPr>
                <w:rFonts w:ascii="Arial" w:hAnsi="Arial" w:cs="Arial"/>
                <w:b/>
                <w:i/>
                <w:sz w:val="20"/>
                <w:szCs w:val="20"/>
              </w:rPr>
              <w:t xml:space="preserve">Výskum a vývoj a inovácie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058</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Výskumná a inovačná infraštruktúra (verejná)</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059</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Výskumná a inovačná infraštruktúra (súkromná vrátane vedeckých parkov)</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Pokročilé podporné služby pre MSP a skupiny MSP (vrátane riadenia, marketingových a projektových služieb)</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 xml:space="preserve">Rozvoj podnikania MSP, podpora podnikania a inkubácie (vrátane podpory vzniku odčlenených podnikov – </w:t>
            </w:r>
            <w:proofErr w:type="spellStart"/>
            <w:r>
              <w:rPr>
                <w:rFonts w:ascii="Arial" w:hAnsi="Arial" w:cs="Arial"/>
                <w:sz w:val="20"/>
                <w:szCs w:val="20"/>
              </w:rPr>
              <w:t>spin</w:t>
            </w:r>
            <w:proofErr w:type="spellEnd"/>
            <w:r>
              <w:rPr>
                <w:rFonts w:ascii="Arial" w:hAnsi="Arial" w:cs="Arial"/>
                <w:sz w:val="20"/>
                <w:szCs w:val="20"/>
              </w:rPr>
              <w:t xml:space="preserve"> </w:t>
            </w:r>
            <w:proofErr w:type="spellStart"/>
            <w:r>
              <w:rPr>
                <w:rFonts w:ascii="Arial" w:hAnsi="Arial" w:cs="Arial"/>
                <w:sz w:val="20"/>
                <w:szCs w:val="20"/>
              </w:rPr>
              <w:t>off</w:t>
            </w:r>
            <w:proofErr w:type="spellEnd"/>
            <w:r>
              <w:rPr>
                <w:rFonts w:ascii="Arial" w:hAnsi="Arial" w:cs="Arial"/>
                <w:sz w:val="20"/>
                <w:szCs w:val="20"/>
              </w:rPr>
              <w:t xml:space="preserve"> a </w:t>
            </w:r>
            <w:proofErr w:type="spellStart"/>
            <w:r>
              <w:rPr>
                <w:rFonts w:ascii="Arial" w:hAnsi="Arial" w:cs="Arial"/>
                <w:sz w:val="20"/>
                <w:szCs w:val="20"/>
              </w:rPr>
              <w:t>spin</w:t>
            </w:r>
            <w:proofErr w:type="spellEnd"/>
            <w:r>
              <w:rPr>
                <w:rFonts w:ascii="Arial" w:hAnsi="Arial" w:cs="Arial"/>
                <w:sz w:val="20"/>
                <w:szCs w:val="20"/>
              </w:rPr>
              <w:t xml:space="preserve"> </w:t>
            </w:r>
            <w:proofErr w:type="spellStart"/>
            <w:r>
              <w:rPr>
                <w:rFonts w:ascii="Arial" w:hAnsi="Arial" w:cs="Arial"/>
                <w:sz w:val="20"/>
                <w:szCs w:val="20"/>
              </w:rPr>
              <w:t>out</w:t>
            </w:r>
            <w:proofErr w:type="spellEnd"/>
            <w:r>
              <w:rPr>
                <w:rFonts w:ascii="Arial" w:hAnsi="Arial" w:cs="Arial"/>
                <w:sz w:val="20"/>
                <w:szCs w:val="20"/>
              </w:rPr>
              <w:t xml:space="preserve"> podnikov)</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Podnikateľská infraštruktúra pre MSP (vrátane priemyselných parkov a plôch)</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lastRenderedPageBreak/>
              <w:t>076</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trPr>
          <w:jc w:val="center"/>
        </w:trPr>
        <w:tc>
          <w:tcPr>
            <w:tcW w:w="714" w:type="dxa"/>
            <w:tcBorders>
              <w:top w:val="single" w:sz="4" w:space="0" w:color="auto"/>
              <w:left w:val="single" w:sz="4" w:space="0" w:color="auto"/>
              <w:bottom w:val="single" w:sz="4" w:space="0" w:color="auto"/>
              <w:right w:val="nil"/>
            </w:tcBorders>
          </w:tcPr>
          <w:p>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pPr>
              <w:spacing w:before="60" w:after="60"/>
              <w:rPr>
                <w:rFonts w:ascii="Arial" w:eastAsia="Times New Roman" w:hAnsi="Arial" w:cs="Arial"/>
                <w:b/>
                <w:i/>
                <w:sz w:val="20"/>
                <w:szCs w:val="20"/>
              </w:rPr>
            </w:pPr>
            <w:r>
              <w:rPr>
                <w:rFonts w:ascii="Arial" w:hAnsi="Arial" w:cs="Arial"/>
                <w:b/>
                <w:i/>
                <w:sz w:val="20"/>
                <w:szCs w:val="20"/>
              </w:rPr>
              <w:t>Životné prostredie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Opatrenia na zabezpečenie kvality ovzdušia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085</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089</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Rekultivácia priemyselných plôch a kontaminovanej pôdy</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ind w:left="720"/>
              <w:rPr>
                <w:rFonts w:ascii="Arial" w:hAnsi="Arial" w:cs="Arial"/>
                <w:sz w:val="20"/>
                <w:szCs w:val="20"/>
              </w:rPr>
            </w:pPr>
            <w:r>
              <w:rPr>
                <w:rFonts w:ascii="Arial" w:eastAsia="Times New Roman" w:hAnsi="Arial" w:cs="Arial"/>
                <w:b/>
                <w:i/>
                <w:sz w:val="20"/>
                <w:szCs w:val="20"/>
              </w:rPr>
              <w:t>Iné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spacing w:before="60" w:after="60"/>
              <w:rPr>
                <w:rFonts w:ascii="Arial" w:eastAsia="Times New Roman" w:hAnsi="Arial" w:cs="Arial"/>
                <w:b/>
                <w:sz w:val="20"/>
                <w:szCs w:val="20"/>
              </w:rPr>
            </w:pPr>
            <w:r>
              <w:rPr>
                <w:rFonts w:ascii="Arial" w:hAnsi="Arial" w:cs="Arial"/>
                <w:b/>
                <w:smallCaps/>
                <w:sz w:val="20"/>
                <w:szCs w:val="20"/>
              </w:rPr>
              <w:t>IX Technická pomoc:</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pPr>
        <w:rPr>
          <w:rFonts w:ascii="Arial" w:hAnsi="Arial" w:cs="Arial"/>
          <w:iCs/>
          <w:sz w:val="20"/>
          <w:szCs w:val="20"/>
        </w:rPr>
      </w:pPr>
    </w:p>
    <w:p>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pPr>
        <w:rPr>
          <w:rFonts w:ascii="Arial" w:hAnsi="Arial" w:cs="Arial"/>
          <w:iCs/>
          <w:sz w:val="20"/>
          <w:szCs w:val="20"/>
        </w:rPr>
      </w:pPr>
    </w:p>
    <w:p>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pPr>
        <w:rPr>
          <w:rFonts w:ascii="Arial" w:hAnsi="Arial" w:cs="Arial"/>
          <w:iCs/>
          <w:sz w:val="20"/>
          <w:szCs w:val="20"/>
        </w:rPr>
      </w:pPr>
    </w:p>
    <w:p>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trPr>
          <w:jc w:val="center"/>
        </w:trPr>
        <w:tc>
          <w:tcPr>
            <w:tcW w:w="9081" w:type="dxa"/>
            <w:gridSpan w:val="2"/>
            <w:tcBorders>
              <w:top w:val="single" w:sz="4" w:space="0" w:color="auto"/>
              <w:left w:val="single" w:sz="4" w:space="0" w:color="auto"/>
              <w:bottom w:val="single" w:sz="4" w:space="0" w:color="auto"/>
              <w:right w:val="single" w:sz="4" w:space="0" w:color="auto"/>
            </w:tcBorders>
          </w:tcPr>
          <w:p>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trPr>
          <w:jc w:val="center"/>
        </w:trPr>
        <w:tc>
          <w:tcPr>
            <w:tcW w:w="714"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pPr>
        <w:keepNext/>
        <w:spacing w:before="180"/>
        <w:jc w:val="both"/>
        <w:rPr>
          <w:i/>
        </w:rPr>
      </w:pPr>
      <w:r>
        <w:rPr>
          <w:i/>
        </w:rPr>
        <w:br/>
      </w:r>
    </w:p>
    <w:p>
      <w:pPr>
        <w:rPr>
          <w:rFonts w:ascii="Arial" w:hAnsi="Arial" w:cs="Arial"/>
        </w:rPr>
      </w:pPr>
    </w:p>
    <w:p>
      <w:pPr>
        <w:jc w:val="both"/>
        <w:rPr>
          <w:rFonts w:ascii="Arial" w:hAnsi="Arial" w:cs="Arial"/>
        </w:rPr>
      </w:pPr>
      <w:r>
        <w:rPr>
          <w:rFonts w:ascii="Arial" w:hAnsi="Arial" w:cs="Arial"/>
          <w:b/>
        </w:rPr>
        <w:lastRenderedPageBreak/>
        <w:t>Príloha č. 12.5:</w:t>
      </w:r>
      <w:r>
        <w:rPr>
          <w:rFonts w:ascii="Arial" w:hAnsi="Arial" w:cs="Arial"/>
        </w:rPr>
        <w:t xml:space="preserve"> </w:t>
      </w:r>
      <w:r>
        <w:rPr>
          <w:rFonts w:ascii="Arial" w:hAnsi="Arial" w:cs="Arial"/>
          <w:i/>
        </w:rPr>
        <w:t>Stratégia Integrovaného regionálneho operačného programu</w:t>
      </w:r>
    </w:p>
    <w:p>
      <w:pPr>
        <w:jc w:val="both"/>
        <w:rPr>
          <w:rFonts w:ascii="Arial" w:hAnsi="Arial" w:cs="Arial"/>
        </w:rPr>
      </w:pPr>
      <w:r>
        <w:rPr>
          <w:noProof/>
          <w:lang w:eastAsia="sk-SK"/>
        </w:rPr>
        <w:drawing>
          <wp:inline distT="0" distB="0" distL="0" distR="0">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b/>
        </w:rPr>
        <w:lastRenderedPageBreak/>
        <w:t xml:space="preserve">Príloha č. 12.6: </w:t>
      </w:r>
      <w:r>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502"/>
        <w:gridCol w:w="3544"/>
        <w:gridCol w:w="2058"/>
        <w:gridCol w:w="218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pPr>
              <w:jc w:val="center"/>
              <w:rPr>
                <w:rFonts w:ascii="Arial" w:hAnsi="Arial" w:cs="Arial"/>
                <w:smallCaps/>
                <w:sz w:val="20"/>
                <w:szCs w:val="20"/>
              </w:rPr>
            </w:pPr>
            <w:r>
              <w:rPr>
                <w:rFonts w:ascii="Arial" w:hAnsi="Arial" w:cs="Arial"/>
              </w:rPr>
              <w:t>Matica prepojenia stratégie Európa 2020 a IROP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pPr>
              <w:jc w:val="center"/>
              <w:rPr>
                <w:rFonts w:ascii="Arial" w:hAnsi="Arial" w:cs="Arial"/>
                <w:b w:val="0"/>
                <w:bCs w:val="0"/>
                <w:sz w:val="20"/>
                <w:szCs w:val="20"/>
              </w:rPr>
            </w:pPr>
            <w:proofErr w:type="spellStart"/>
            <w:r>
              <w:rPr>
                <w:rFonts w:ascii="Arial" w:hAnsi="Arial" w:cs="Arial"/>
                <w:sz w:val="20"/>
                <w:szCs w:val="20"/>
              </w:rPr>
              <w:t>Inkluzívny</w:t>
            </w:r>
            <w:proofErr w:type="spellEnd"/>
            <w:r>
              <w:rPr>
                <w:rFonts w:ascii="Arial" w:hAnsi="Arial" w:cs="Arial"/>
                <w:sz w:val="20"/>
                <w:szCs w:val="20"/>
              </w:rPr>
              <w:t xml:space="preserve"> rast</w:t>
            </w:r>
          </w:p>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p>
        </w:tc>
        <w:tc>
          <w:tcPr>
            <w:tcW w:w="3694" w:type="dxa"/>
            <w:tcBorders>
              <w:left w:val="dashed" w:sz="12" w:space="0" w:color="4F81BD" w:themeColor="accent1"/>
            </w:tcBorders>
            <w:shd w:val="clear" w:color="auto" w:fill="auto"/>
          </w:tcPr>
          <w:p>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 xml:space="preserve">environmentálneho </w:t>
            </w:r>
            <w:proofErr w:type="spellStart"/>
            <w:r>
              <w:rPr>
                <w:rFonts w:ascii="Arial" w:hAnsi="Arial" w:cs="Arial"/>
                <w:i/>
                <w:sz w:val="20"/>
                <w:szCs w:val="20"/>
              </w:rPr>
              <w:t>acquis</w:t>
            </w:r>
            <w:proofErr w:type="spellEnd"/>
          </w:p>
        </w:tc>
        <w:tc>
          <w:tcPr>
            <w:tcW w:w="2127" w:type="dxa"/>
            <w:tcBorders>
              <w:left w:val="dashed" w:sz="12" w:space="0" w:color="4F81BD" w:themeColor="accent1"/>
            </w:tcBorders>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pPr>
        <w:rPr>
          <w:rFonts w:ascii="Arial" w:hAnsi="Arial" w:cs="Arial"/>
        </w:rPr>
      </w:pPr>
    </w:p>
    <w:p>
      <w:pPr>
        <w:rPr>
          <w:rFonts w:ascii="Arial" w:hAnsi="Arial" w:cs="Arial"/>
        </w:rPr>
        <w:sectPr>
          <w:pgSz w:w="11906" w:h="16838"/>
          <w:pgMar w:top="1417" w:right="1417" w:bottom="1417" w:left="1417" w:header="708" w:footer="708" w:gutter="0"/>
          <w:cols w:space="708"/>
          <w:docGrid w:linePitch="360"/>
        </w:sectPr>
      </w:pPr>
    </w:p>
    <w:p>
      <w:pPr>
        <w:spacing w:line="240" w:lineRule="auto"/>
        <w:rPr>
          <w:rFonts w:ascii="Arial" w:hAnsi="Arial" w:cs="Arial"/>
          <w:b/>
        </w:rPr>
      </w:pPr>
      <w:r>
        <w:rPr>
          <w:rFonts w:ascii="Arial" w:hAnsi="Arial" w:cs="Arial"/>
          <w:b/>
        </w:rPr>
        <w:lastRenderedPageBreak/>
        <w:t xml:space="preserve">Príloha č. 12.7: </w:t>
      </w:r>
      <w:r>
        <w:rPr>
          <w:rFonts w:ascii="Arial" w:hAnsi="Arial" w:cs="Arial"/>
          <w:i/>
        </w:rPr>
        <w:t>Prehľad stavu ciest II. triedy v členení podľa samosprávnych krajov za rok 2012</w:t>
      </w:r>
    </w:p>
    <w:p>
      <w:pPr>
        <w:spacing w:after="0" w:line="240" w:lineRule="auto"/>
        <w:rPr>
          <w:rFonts w:ascii="Arial" w:hAnsi="Arial" w:cs="Arial"/>
        </w:rPr>
      </w:pPr>
      <w:r>
        <w:rPr>
          <w:noProof/>
          <w:lang w:eastAsia="sk-SK"/>
        </w:rPr>
        <w:drawing>
          <wp:inline distT="0" distB="0" distL="0" distR="0">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pPr>
        <w:spacing w:after="0" w:line="240" w:lineRule="auto"/>
        <w:rPr>
          <w:rFonts w:ascii="Arial" w:hAnsi="Arial" w:cs="Arial"/>
        </w:rPr>
      </w:pPr>
    </w:p>
    <w:p>
      <w:pPr>
        <w:spacing w:line="240" w:lineRule="auto"/>
        <w:rPr>
          <w:rFonts w:ascii="Arial" w:hAnsi="Arial" w:cs="Arial"/>
          <w:b/>
        </w:rPr>
      </w:pPr>
      <w:r>
        <w:rPr>
          <w:rFonts w:ascii="Arial" w:hAnsi="Arial" w:cs="Arial"/>
          <w:b/>
        </w:rPr>
        <w:t xml:space="preserve">Príloha č. 12.8: </w:t>
      </w:r>
      <w:r>
        <w:rPr>
          <w:rFonts w:ascii="Arial" w:hAnsi="Arial" w:cs="Arial"/>
          <w:i/>
        </w:rPr>
        <w:t>Prehľad stavu ciest III. triedy v členení podľa samosprávnych krajov za rok 2012</w:t>
      </w:r>
    </w:p>
    <w:p>
      <w:pPr>
        <w:spacing w:after="0" w:line="240" w:lineRule="auto"/>
        <w:rPr>
          <w:rFonts w:ascii="Arial" w:hAnsi="Arial" w:cs="Arial"/>
          <w:i/>
        </w:rPr>
      </w:pPr>
      <w:r>
        <w:rPr>
          <w:noProof/>
          <w:lang w:eastAsia="sk-SK"/>
        </w:rPr>
        <w:drawing>
          <wp:inline distT="0" distB="0" distL="0" distR="0">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pPr>
        <w:spacing w:after="0" w:line="240" w:lineRule="auto"/>
        <w:rPr>
          <w:rFonts w:ascii="Arial" w:hAnsi="Arial" w:cs="Arial"/>
          <w:i/>
        </w:rPr>
      </w:pPr>
    </w:p>
    <w:p>
      <w:pPr>
        <w:spacing w:after="0" w:line="240" w:lineRule="auto"/>
        <w:rPr>
          <w:rFonts w:ascii="Arial" w:hAnsi="Arial" w:cs="Arial"/>
          <w:b/>
        </w:rPr>
      </w:pPr>
      <w:r>
        <w:rPr>
          <w:rFonts w:ascii="Arial" w:hAnsi="Arial" w:cs="Arial"/>
          <w:b/>
        </w:rPr>
        <w:br w:type="page"/>
      </w:r>
    </w:p>
    <w:p>
      <w:pPr>
        <w:spacing w:line="240" w:lineRule="auto"/>
        <w:rPr>
          <w:rFonts w:ascii="Arial" w:hAnsi="Arial" w:cs="Arial"/>
          <w:b/>
        </w:rPr>
      </w:pPr>
      <w:r>
        <w:rPr>
          <w:rFonts w:ascii="Arial" w:hAnsi="Arial" w:cs="Arial"/>
          <w:b/>
        </w:rPr>
        <w:lastRenderedPageBreak/>
        <w:t xml:space="preserve">Príloha č. 12.9: </w:t>
      </w:r>
      <w:r>
        <w:rPr>
          <w:rFonts w:ascii="Arial" w:hAnsi="Arial" w:cs="Arial"/>
          <w:i/>
        </w:rPr>
        <w:t>Prehľad stavu mostných objektov na cestách II. a III. triedy v členení podľa samosprávnych krajov za rok 2012</w:t>
      </w:r>
    </w:p>
    <w:p>
      <w:pPr>
        <w:spacing w:after="0" w:line="240" w:lineRule="auto"/>
        <w:rPr>
          <w:rFonts w:ascii="Arial" w:hAnsi="Arial" w:cs="Arial"/>
          <w:i/>
        </w:rPr>
      </w:pPr>
      <w:r>
        <w:rPr>
          <w:noProof/>
          <w:lang w:eastAsia="sk-SK"/>
        </w:rPr>
        <w:drawing>
          <wp:inline distT="0" distB="0" distL="0" distR="0">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
        <w:br w:type="page"/>
      </w:r>
    </w:p>
    <w:p>
      <w:r>
        <w:rPr>
          <w:rFonts w:ascii="Arial" w:hAnsi="Arial" w:cs="Arial"/>
          <w:b/>
        </w:rPr>
        <w:lastRenderedPageBreak/>
        <w:t>Príloha č. 12.10</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pPr>
        <w:spacing w:after="0" w:line="240" w:lineRule="auto"/>
      </w:pPr>
    </w:p>
    <w:p>
      <w:r>
        <w:rPr>
          <w:noProof/>
          <w:lang w:eastAsia="sk-SK"/>
        </w:rPr>
        <w:drawing>
          <wp:inline distT="0" distB="0" distL="0" distR="0">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pPr>
        <w:spacing w:after="0" w:line="240" w:lineRule="auto"/>
        <w:rPr>
          <w:rFonts w:ascii="Arial" w:hAnsi="Arial" w:cs="Arial"/>
          <w:i/>
        </w:rPr>
      </w:pPr>
      <w:r>
        <w:rPr>
          <w:rFonts w:ascii="Arial" w:hAnsi="Arial" w:cs="Arial"/>
          <w:i/>
        </w:rPr>
        <w:t>Zdroj: Strategický plán rozvoja a údržby ciest na úrovni regiónov, MDVRR SR a VÚD, a.s., 2013</w:t>
      </w:r>
    </w:p>
    <w:p>
      <w:pPr>
        <w:spacing w:after="0" w:line="240" w:lineRule="auto"/>
        <w:rPr>
          <w:rFonts w:ascii="Arial" w:hAnsi="Arial" w:cs="Arial"/>
          <w:i/>
        </w:rPr>
      </w:pPr>
    </w:p>
    <w:p>
      <w:pPr>
        <w:spacing w:after="0" w:line="240" w:lineRule="auto"/>
        <w:rPr>
          <w:rFonts w:ascii="Arial" w:hAnsi="Arial" w:cs="Arial"/>
          <w:i/>
        </w:rPr>
      </w:pPr>
    </w:p>
    <w:p>
      <w:pPr>
        <w:spacing w:after="0" w:line="240" w:lineRule="auto"/>
        <w:rPr>
          <w:rFonts w:ascii="Arial" w:hAnsi="Arial" w:cs="Arial"/>
          <w:i/>
        </w:rPr>
      </w:pPr>
    </w:p>
    <w:p>
      <w:pPr>
        <w:spacing w:after="0" w:line="240" w:lineRule="auto"/>
        <w:rPr>
          <w:rFonts w:ascii="Arial" w:hAnsi="Arial" w:cs="Arial"/>
          <w:i/>
        </w:rPr>
      </w:pPr>
    </w:p>
    <w:p>
      <w:pPr>
        <w:spacing w:after="0" w:line="240" w:lineRule="auto"/>
        <w:rPr>
          <w:rFonts w:ascii="Arial" w:hAnsi="Arial" w:cs="Arial"/>
          <w:i/>
        </w:rPr>
      </w:pPr>
    </w:p>
    <w:p>
      <w:pPr>
        <w:spacing w:after="0" w:line="240" w:lineRule="auto"/>
        <w:rPr>
          <w:rFonts w:ascii="Arial" w:hAnsi="Arial" w:cs="Arial"/>
          <w:i/>
        </w:rPr>
      </w:pPr>
    </w:p>
    <w:p>
      <w:pPr>
        <w:jc w:val="both"/>
        <w:rPr>
          <w:rFonts w:ascii="Arial" w:hAnsi="Arial" w:cs="Arial"/>
          <w:i/>
        </w:rPr>
      </w:pPr>
      <w:r>
        <w:rPr>
          <w:rFonts w:ascii="Arial" w:hAnsi="Arial" w:cs="Arial"/>
          <w:b/>
        </w:rPr>
        <w:lastRenderedPageBreak/>
        <w:t>Príloha č. 12.11</w:t>
      </w:r>
      <w:r>
        <w:rPr>
          <w:rFonts w:ascii="Arial" w:hAnsi="Arial" w:cs="Arial"/>
        </w:rPr>
        <w:t xml:space="preserve">: </w:t>
      </w:r>
      <w:r>
        <w:rPr>
          <w:rFonts w:ascii="Arial" w:hAnsi="Arial" w:cs="Arial"/>
          <w:i/>
        </w:rPr>
        <w:t xml:space="preserve">Vývojový diagram </w:t>
      </w:r>
      <w:proofErr w:type="spellStart"/>
      <w:r>
        <w:rPr>
          <w:rFonts w:ascii="Arial" w:hAnsi="Arial" w:cs="Arial"/>
          <w:i/>
        </w:rPr>
        <w:t>multikriteriálneho</w:t>
      </w:r>
      <w:proofErr w:type="spellEnd"/>
      <w:r>
        <w:rPr>
          <w:rFonts w:ascii="Arial" w:hAnsi="Arial" w:cs="Arial"/>
          <w:i/>
        </w:rPr>
        <w:t xml:space="preserve"> posudzovania projektov v rámci špecifického cieľa č. 1.1 vhodných pre IROP</w:t>
      </w:r>
    </w:p>
    <w:p>
      <w:pPr>
        <w:spacing w:after="0" w:line="240" w:lineRule="auto"/>
        <w:jc w:val="center"/>
        <w:rPr>
          <w:rFonts w:ascii="Arial" w:hAnsi="Arial" w:cs="Arial"/>
          <w:b/>
        </w:rPr>
      </w:pPr>
      <w:r>
        <w:rPr>
          <w:b/>
          <w:noProof/>
          <w:sz w:val="40"/>
          <w:lang w:eastAsia="sk-SK"/>
        </w:rPr>
        <w:drawing>
          <wp:inline distT="0" distB="0" distL="0" distR="0">
            <wp:extent cx="5970174" cy="247738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ojovy diagram _IROP.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71442" cy="2477912"/>
                    </a:xfrm>
                    <a:prstGeom prst="rect">
                      <a:avLst/>
                    </a:prstGeom>
                  </pic:spPr>
                </pic:pic>
              </a:graphicData>
            </a:graphic>
          </wp:inline>
        </w:drawing>
      </w:r>
    </w:p>
    <w:p>
      <w:pPr>
        <w:spacing w:after="0" w:line="240" w:lineRule="auto"/>
        <w:rPr>
          <w:rFonts w:ascii="Arial" w:hAnsi="Arial" w:cs="Arial"/>
          <w:b/>
        </w:rPr>
      </w:pPr>
    </w:p>
    <w:p>
      <w:pPr>
        <w:spacing w:after="0" w:line="240" w:lineRule="auto"/>
        <w:rPr>
          <w:rFonts w:ascii="Arial Narrow" w:hAnsi="Arial Narrow"/>
          <w:i/>
          <w:iCs/>
          <w:sz w:val="18"/>
          <w:szCs w:val="18"/>
        </w:rPr>
      </w:pPr>
      <w:r>
        <w:rPr>
          <w:rFonts w:ascii="Arial Narrow" w:hAnsi="Arial Narrow"/>
          <w:i/>
          <w:iCs/>
          <w:sz w:val="18"/>
          <w:szCs w:val="18"/>
        </w:rPr>
        <w:t xml:space="preserve">Konektivita: </w:t>
      </w:r>
    </w:p>
    <w:p>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Pr>
          <w:rFonts w:ascii="Arial Narrow" w:hAnsi="Arial Narrow"/>
          <w:i/>
          <w:iCs/>
          <w:sz w:val="18"/>
          <w:szCs w:val="18"/>
        </w:rPr>
        <w:t>(priama konektivita)</w:t>
      </w:r>
      <w:r>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w:t>
      </w:r>
      <w:proofErr w:type="spellStart"/>
      <w:r>
        <w:rPr>
          <w:rFonts w:ascii="Arial Narrow" w:hAnsi="Arial Narrow"/>
          <w:sz w:val="18"/>
          <w:szCs w:val="18"/>
        </w:rPr>
        <w:t>intermodálnej</w:t>
      </w:r>
      <w:proofErr w:type="spellEnd"/>
      <w:r>
        <w:rPr>
          <w:rFonts w:ascii="Arial Narrow" w:hAnsi="Arial Narrow"/>
          <w:sz w:val="18"/>
          <w:szCs w:val="18"/>
        </w:rPr>
        <w:t xml:space="preserve"> prepravy a centier hospodárskeho významu zadefinovaných na úrovni konkrétnych RIÚS s príslušnou cestou vyššieho významu na TEN-T sieti </w:t>
      </w:r>
      <w:r>
        <w:rPr>
          <w:rFonts w:ascii="Arial Narrow" w:hAnsi="Arial Narrow"/>
          <w:i/>
          <w:iCs/>
          <w:sz w:val="18"/>
          <w:szCs w:val="18"/>
        </w:rPr>
        <w:t>(nepriama konektivita)</w:t>
      </w:r>
      <w:r>
        <w:rPr>
          <w:rFonts w:ascii="Arial Narrow" w:hAnsi="Arial Narrow"/>
          <w:sz w:val="18"/>
          <w:szCs w:val="18"/>
        </w:rPr>
        <w:t>.</w:t>
      </w:r>
    </w:p>
    <w:p>
      <w:pPr>
        <w:spacing w:after="0" w:line="240" w:lineRule="auto"/>
        <w:rPr>
          <w:rFonts w:ascii="Arial Narrow" w:hAnsi="Arial Narrow"/>
          <w:sz w:val="18"/>
          <w:szCs w:val="18"/>
        </w:rPr>
      </w:pPr>
    </w:p>
    <w:p>
      <w:pPr>
        <w:spacing w:after="0" w:line="240" w:lineRule="auto"/>
        <w:rPr>
          <w:rFonts w:ascii="Arial Narrow" w:hAnsi="Arial Narrow"/>
          <w:i/>
          <w:iCs/>
          <w:sz w:val="18"/>
          <w:szCs w:val="18"/>
        </w:rPr>
      </w:pPr>
      <w:r>
        <w:rPr>
          <w:rFonts w:ascii="Arial Narrow" w:hAnsi="Arial Narrow"/>
          <w:i/>
          <w:iCs/>
          <w:sz w:val="18"/>
          <w:szCs w:val="18"/>
        </w:rPr>
        <w:t xml:space="preserve">Synergia: </w:t>
      </w:r>
    </w:p>
    <w:p>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doplnkové hodnotenie s investičnými intervenciami v podobe veľkých projektov nadnárodnej a národnej cestnej dopravnej siete v operačných programoch OPD 2007 – 2013, OPII 2014 – 2020 a ROP 2007 -2013 súvisiacich so sieťou TEN-T,</w:t>
      </w:r>
    </w:p>
    <w:p>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jedná sa o posúdenie prepojenia investičných priorít dopravnej infraštruktúry na regionálnej úrovni s investičnými projektmi republikovej úrovne (cestnými, železničnými projektmi a projektmi vodnej dopravy), pričom je na subjektívnom posúdení hodnotiteľa, či realizácia vybraného posudzovaného opatrenia na príslušnej ceste II. resp. III. triedy v konektivite so sieťou TEN-T vyvolá dodatočné synergické efekty s infraštruktúrnymi  opatreniami na diaľniciach, rýchlostných cestách a cestách I. triedy realizovaných prostredníctvom OP II, OPD.</w:t>
      </w:r>
    </w:p>
    <w:p>
      <w:pPr>
        <w:spacing w:after="0" w:line="240" w:lineRule="auto"/>
        <w:rPr>
          <w:rFonts w:ascii="Arial Narrow" w:hAnsi="Arial Narrow"/>
          <w:sz w:val="18"/>
          <w:szCs w:val="18"/>
        </w:rPr>
      </w:pPr>
    </w:p>
    <w:p>
      <w:pPr>
        <w:spacing w:after="0" w:line="240" w:lineRule="auto"/>
        <w:rPr>
          <w:rFonts w:ascii="Arial Narrow" w:hAnsi="Arial Narrow"/>
          <w:i/>
          <w:iCs/>
          <w:sz w:val="18"/>
          <w:szCs w:val="18"/>
        </w:rPr>
      </w:pPr>
      <w:r>
        <w:rPr>
          <w:rFonts w:ascii="Arial Narrow" w:hAnsi="Arial Narrow"/>
          <w:i/>
          <w:iCs/>
          <w:sz w:val="18"/>
          <w:szCs w:val="18"/>
        </w:rPr>
        <w:t>Ekonomický rozvoj - potenciál priemyselných parkov, centier KURS a dopravných napojení centier hospodárskeho významu zadefinovaných na úrovni konkrétnych RIÚS:</w:t>
      </w:r>
    </w:p>
    <w:p>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 xml:space="preserve">projekt musí spĺňať aspoň jedno zo </w:t>
      </w:r>
      <w:proofErr w:type="spellStart"/>
      <w:r>
        <w:rPr>
          <w:rFonts w:ascii="Arial Narrow" w:hAnsi="Arial Narrow"/>
          <w:sz w:val="18"/>
          <w:szCs w:val="18"/>
        </w:rPr>
        <w:t>subkritérií</w:t>
      </w:r>
      <w:proofErr w:type="spellEnd"/>
      <w:r>
        <w:rPr>
          <w:rFonts w:ascii="Arial Narrow" w:hAnsi="Arial Narrow"/>
          <w:sz w:val="18"/>
          <w:szCs w:val="18"/>
        </w:rPr>
        <w:t xml:space="preserve"> dopravného prepojenia priemyselných parkov, centier KURS a dopravných napojení centier hospodárskeho významu zadefinovaných na úrovni konkrétnych RIÚS.</w:t>
      </w:r>
    </w:p>
    <w:p>
      <w:pPr>
        <w:pStyle w:val="Odsekzoznamu"/>
        <w:numPr>
          <w:ilvl w:val="0"/>
          <w:numId w:val="74"/>
        </w:numPr>
        <w:spacing w:after="0" w:line="240" w:lineRule="auto"/>
        <w:contextualSpacing w:val="0"/>
        <w:rPr>
          <w:rFonts w:ascii="Arial Narrow" w:hAnsi="Arial Narrow"/>
          <w:sz w:val="18"/>
          <w:szCs w:val="18"/>
        </w:rPr>
      </w:pPr>
      <w:r>
        <w:rPr>
          <w:rFonts w:ascii="Arial Narrow" w:hAnsi="Arial Narrow"/>
          <w:sz w:val="18"/>
          <w:szCs w:val="18"/>
        </w:rPr>
        <w:t>priame dopravné napojenie priemyselného parku/centra osídlenia/ centier hospodárskeho významu zadefinovaných na úrovni konkrétnych RIÚS bez možnosti plnohodnotného alternatívneho spojenia inou pozemnou komunikáciou vyššej kategórie;</w:t>
      </w:r>
    </w:p>
    <w:p>
      <w:pPr>
        <w:pStyle w:val="Odsekzoznamu"/>
        <w:numPr>
          <w:ilvl w:val="0"/>
          <w:numId w:val="74"/>
        </w:numPr>
        <w:spacing w:after="0" w:line="240" w:lineRule="auto"/>
        <w:contextualSpacing w:val="0"/>
      </w:pPr>
      <w:r>
        <w:rPr>
          <w:rFonts w:ascii="Arial Narrow" w:hAnsi="Arial Narrow"/>
          <w:sz w:val="18"/>
          <w:szCs w:val="18"/>
        </w:rPr>
        <w:t>nepriame dopravné napojenie priemyselného parku/centra osídlenia/ centier hospodárskeho významu zadefinovaných na úrovni konkrétnych RIÚS v kombinácii s pozemnou komunikáciou rovnakej a/alebo vyššej kategórie bez možnosti plnohodnotného alternatívneho spojenia inou pozemnou komunikáciou vyššej kategórie.</w:t>
      </w:r>
      <w:r>
        <w:br w:type="page"/>
      </w:r>
    </w:p>
    <w:p>
      <w:pPr>
        <w:jc w:val="both"/>
        <w:rPr>
          <w:rFonts w:ascii="Arial" w:hAnsi="Arial" w:cs="Arial"/>
          <w:b/>
        </w:rPr>
        <w:sectPr>
          <w:pgSz w:w="16838" w:h="11906" w:orient="landscape"/>
          <w:pgMar w:top="1417" w:right="1417" w:bottom="1417" w:left="1417" w:header="708" w:footer="708" w:gutter="0"/>
          <w:cols w:space="708"/>
          <w:docGrid w:linePitch="360"/>
        </w:sectPr>
      </w:pPr>
    </w:p>
    <w:p>
      <w:pPr>
        <w:jc w:val="both"/>
        <w:rPr>
          <w:rFonts w:ascii="Arial" w:hAnsi="Arial" w:cs="Arial"/>
        </w:rPr>
      </w:pPr>
      <w:r>
        <w:rPr>
          <w:rFonts w:ascii="Arial" w:hAnsi="Arial" w:cs="Arial"/>
          <w:b/>
        </w:rPr>
        <w:lastRenderedPageBreak/>
        <w:t>Príloha č. 12.12</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pPr>
              <w:spacing w:after="0" w:line="240" w:lineRule="auto"/>
              <w:jc w:val="both"/>
              <w:rPr>
                <w:rFonts w:ascii="Arial" w:hAnsi="Arial" w:cs="Arial"/>
                <w:sz w:val="18"/>
                <w:szCs w:val="18"/>
              </w:rPr>
            </w:pPr>
            <w:r>
              <w:rPr>
                <w:rFonts w:ascii="Arial" w:hAnsi="Arial" w:cs="Arial"/>
                <w:sz w:val="18"/>
                <w:szCs w:val="18"/>
              </w:rPr>
              <w:t>Kraj</w:t>
            </w:r>
          </w:p>
        </w:tc>
        <w:tc>
          <w:tcPr>
            <w:tcW w:w="7520" w:type="dxa"/>
            <w:gridSpan w:val="4"/>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pPr>
              <w:spacing w:after="0" w:line="240" w:lineRule="auto"/>
              <w:jc w:val="both"/>
              <w:rPr>
                <w:rFonts w:ascii="Arial" w:hAnsi="Arial" w:cs="Arial"/>
                <w:sz w:val="18"/>
                <w:szCs w:val="18"/>
              </w:rPr>
            </w:pPr>
          </w:p>
        </w:tc>
        <w:tc>
          <w:tcPr>
            <w:tcW w:w="1155" w:type="dxa"/>
            <w:vMerge w:val="restart"/>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z toho </w:t>
            </w:r>
            <w:proofErr w:type="spellStart"/>
            <w:r>
              <w:rPr>
                <w:rFonts w:ascii="Arial" w:eastAsia="Times New Roman" w:hAnsi="Arial" w:cs="Arial"/>
                <w:sz w:val="18"/>
                <w:szCs w:val="18"/>
              </w:rPr>
              <w:t>nízkopodlažné</w:t>
            </w:r>
            <w:proofErr w:type="spellEnd"/>
          </w:p>
        </w:tc>
        <w:tc>
          <w:tcPr>
            <w:tcW w:w="2551" w:type="dxa"/>
            <w:vMerge w:val="restart"/>
            <w:shd w:val="clear" w:color="auto" w:fill="auto"/>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pPr>
              <w:spacing w:after="0" w:line="240" w:lineRule="auto"/>
              <w:jc w:val="both"/>
              <w:rPr>
                <w:rFonts w:ascii="Arial" w:hAnsi="Arial" w:cs="Arial"/>
                <w:sz w:val="18"/>
                <w:szCs w:val="18"/>
              </w:rPr>
            </w:pPr>
          </w:p>
        </w:tc>
        <w:tc>
          <w:tcPr>
            <w:tcW w:w="1155"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551"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55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55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TNSK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55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55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55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55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pPr>
        <w:jc w:val="both"/>
        <w:rPr>
          <w:rFonts w:ascii="Arial" w:hAnsi="Arial" w:cs="Arial"/>
          <w:sz w:val="20"/>
        </w:rPr>
      </w:pPr>
      <w:r>
        <w:rPr>
          <w:rFonts w:ascii="Arial" w:hAnsi="Arial" w:cs="Arial"/>
          <w:sz w:val="20"/>
        </w:rPr>
        <w:t>Zdroj: Stratégia rozvoja verejnej osobnej a nemotorovej dopravy SR do roku 2020</w:t>
      </w:r>
    </w:p>
    <w:p>
      <w:pPr>
        <w:spacing w:line="240" w:lineRule="auto"/>
        <w:rPr>
          <w:rFonts w:ascii="Arial" w:hAnsi="Arial" w:cs="Arial"/>
          <w:b/>
        </w:rPr>
      </w:pPr>
    </w:p>
    <w:p>
      <w:pPr>
        <w:jc w:val="both"/>
        <w:rPr>
          <w:rFonts w:ascii="Arial" w:hAnsi="Arial" w:cs="Arial"/>
          <w:b/>
        </w:rPr>
      </w:pPr>
      <w:r>
        <w:rPr>
          <w:rFonts w:ascii="Arial" w:hAnsi="Arial" w:cs="Arial"/>
          <w:b/>
        </w:rPr>
        <w:t>Príloha č. 12.13</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pPr>
              <w:spacing w:after="0" w:line="240" w:lineRule="auto"/>
              <w:jc w:val="both"/>
              <w:rPr>
                <w:rFonts w:ascii="Arial" w:hAnsi="Arial" w:cs="Arial"/>
                <w:sz w:val="18"/>
                <w:szCs w:val="18"/>
              </w:rPr>
            </w:pPr>
            <w:r>
              <w:rPr>
                <w:rFonts w:ascii="Arial" w:hAnsi="Arial" w:cs="Arial"/>
                <w:sz w:val="18"/>
                <w:szCs w:val="18"/>
              </w:rPr>
              <w:t>Mesto</w:t>
            </w:r>
          </w:p>
        </w:tc>
        <w:tc>
          <w:tcPr>
            <w:tcW w:w="7512" w:type="dxa"/>
            <w:gridSpan w:val="4"/>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pPr>
              <w:spacing w:after="0" w:line="240" w:lineRule="auto"/>
              <w:jc w:val="both"/>
              <w:rPr>
                <w:rFonts w:ascii="Arial" w:hAnsi="Arial" w:cs="Arial"/>
                <w:sz w:val="18"/>
                <w:szCs w:val="18"/>
              </w:rPr>
            </w:pPr>
          </w:p>
        </w:tc>
        <w:tc>
          <w:tcPr>
            <w:tcW w:w="1041" w:type="dxa"/>
            <w:vMerge w:val="restart"/>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z toho </w:t>
            </w:r>
            <w:proofErr w:type="spellStart"/>
            <w:r>
              <w:rPr>
                <w:rFonts w:ascii="Arial" w:eastAsia="Times New Roman" w:hAnsi="Arial" w:cs="Arial"/>
                <w:sz w:val="18"/>
                <w:szCs w:val="18"/>
              </w:rPr>
              <w:t>nízkopodlažné</w:t>
            </w:r>
            <w:proofErr w:type="spellEnd"/>
          </w:p>
        </w:tc>
        <w:tc>
          <w:tcPr>
            <w:tcW w:w="2644" w:type="dxa"/>
            <w:vMerge w:val="restart"/>
            <w:shd w:val="clear" w:color="auto" w:fill="auto"/>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pPr>
              <w:spacing w:after="0" w:line="240" w:lineRule="auto"/>
              <w:jc w:val="both"/>
              <w:rPr>
                <w:rFonts w:ascii="Arial" w:hAnsi="Arial" w:cs="Arial"/>
                <w:sz w:val="18"/>
                <w:szCs w:val="18"/>
              </w:rPr>
            </w:pPr>
          </w:p>
        </w:tc>
        <w:tc>
          <w:tcPr>
            <w:tcW w:w="1041"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644" w:type="dxa"/>
            <w:vMerge/>
            <w:shd w:val="clear" w:color="auto" w:fill="auto"/>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644"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644"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644"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644"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644"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644" w:type="dxa"/>
            <w:shd w:val="clear" w:color="auto" w:fill="auto"/>
            <w:noWrap/>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644" w:type="dxa"/>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pPr>
        <w:spacing w:line="240" w:lineRule="auto"/>
        <w:rPr>
          <w:rFonts w:ascii="Arial" w:hAnsi="Arial" w:cs="Arial"/>
          <w:b/>
        </w:rPr>
      </w:pPr>
      <w:r>
        <w:rPr>
          <w:rFonts w:ascii="Arial" w:hAnsi="Arial" w:cs="Arial"/>
          <w:sz w:val="20"/>
        </w:rPr>
        <w:t>Zdroj: Stratégia rozvoja verejnej osobnej a nemotorovej dopravy SR do roku 2020</w:t>
      </w: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
        </w:rPr>
      </w:pPr>
    </w:p>
    <w:p>
      <w:pPr>
        <w:spacing w:line="240" w:lineRule="auto"/>
        <w:rPr>
          <w:rFonts w:ascii="Arial" w:hAnsi="Arial" w:cs="Arial"/>
          <w:bCs/>
          <w:i/>
          <w:iCs/>
        </w:rPr>
      </w:pPr>
      <w:r>
        <w:rPr>
          <w:rFonts w:ascii="Arial" w:hAnsi="Arial" w:cs="Arial"/>
          <w:b/>
        </w:rPr>
        <w:lastRenderedPageBreak/>
        <w:t xml:space="preserve">Príloha č. 12.14: </w:t>
      </w:r>
      <w:r>
        <w:rPr>
          <w:rFonts w:ascii="Arial" w:hAnsi="Arial" w:cs="Arial"/>
          <w:i/>
        </w:rPr>
        <w:t>Vývoj počtu prepravených osôb autobusovou dopravou v jednotlivých VÚC [tis. os.]</w:t>
      </w:r>
    </w:p>
    <w:p>
      <w:pPr>
        <w:spacing w:after="0" w:line="240" w:lineRule="auto"/>
        <w:rPr>
          <w:rFonts w:ascii="Arial" w:hAnsi="Arial" w:cs="Arial"/>
          <w:bCs/>
          <w:i/>
          <w:iCs/>
        </w:rPr>
      </w:pPr>
      <w:r>
        <w:rPr>
          <w:rFonts w:ascii="Arial" w:hAnsi="Arial" w:cs="Arial"/>
          <w:bCs/>
          <w:i/>
          <w:iCs/>
          <w:noProof/>
          <w:lang w:eastAsia="sk-SK"/>
        </w:rPr>
        <w:drawing>
          <wp:inline distT="0" distB="0" distL="0" distR="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pPr>
        <w:spacing w:after="0" w:line="240" w:lineRule="auto"/>
        <w:rPr>
          <w:rFonts w:ascii="Arial" w:hAnsi="Arial" w:cs="Arial"/>
          <w:i/>
        </w:rPr>
      </w:pPr>
      <w:r>
        <w:rPr>
          <w:rFonts w:ascii="Arial" w:hAnsi="Arial" w:cs="Arial"/>
          <w:i/>
        </w:rPr>
        <w:t>Zdroj: MDVRR SR, BSK, BBSK, KSK, NSK, TSK, TTSK, ŽSK</w:t>
      </w:r>
    </w:p>
    <w:p>
      <w:pPr>
        <w:spacing w:after="0" w:line="240" w:lineRule="auto"/>
        <w:rPr>
          <w:rFonts w:ascii="Arial" w:hAnsi="Arial" w:cs="Arial"/>
        </w:rPr>
      </w:pPr>
    </w:p>
    <w:p>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lastRenderedPageBreak/>
        <w:t>Príloha č. 12.15:</w:t>
      </w:r>
      <w:r>
        <w:t xml:space="preserve"> </w:t>
      </w:r>
      <w:r>
        <w:rPr>
          <w:rFonts w:ascii="Arial" w:hAnsi="Arial" w:cs="Arial"/>
          <w:b w:val="0"/>
          <w:bCs w:val="0"/>
          <w:iCs w:val="0"/>
          <w:color w:val="auto"/>
          <w:sz w:val="22"/>
          <w:szCs w:val="22"/>
          <w:lang w:eastAsia="en-US"/>
        </w:rPr>
        <w:t>Dĺžka cyklistických komunikácií vo vybraných mestách SR</w:t>
      </w:r>
    </w:p>
    <w:p>
      <w:pPr>
        <w:spacing w:after="0" w:line="240" w:lineRule="auto"/>
        <w:rPr>
          <w:rFonts w:ascii="Arial" w:hAnsi="Arial" w:cs="Arial"/>
          <w:b/>
        </w:rPr>
      </w:pPr>
    </w:p>
    <w:p>
      <w:pPr>
        <w:spacing w:after="0" w:line="240" w:lineRule="auto"/>
        <w:rPr>
          <w:rFonts w:ascii="Arial" w:hAnsi="Arial" w:cs="Arial"/>
          <w:b/>
        </w:rPr>
      </w:pPr>
      <w:r>
        <w:rPr>
          <w:noProof/>
          <w:lang w:eastAsia="sk-SK"/>
        </w:rPr>
        <w:drawing>
          <wp:inline distT="0" distB="0" distL="0" distR="0">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pPr>
        <w:spacing w:after="0" w:line="240" w:lineRule="auto"/>
        <w:rPr>
          <w:rFonts w:ascii="Arial" w:hAnsi="Arial" w:cs="Arial"/>
          <w:b/>
        </w:rPr>
      </w:pPr>
      <w:r>
        <w:rPr>
          <w:rFonts w:ascii="Arial" w:hAnsi="Arial" w:cs="Arial"/>
          <w:i/>
        </w:rPr>
        <w:t>Zdroj: VÚD, dotazníkový prieskum v mestách realizovaný v roku 2012; </w:t>
      </w:r>
      <w:proofErr w:type="spellStart"/>
      <w:r>
        <w:rPr>
          <w:rFonts w:ascii="Arial" w:hAnsi="Arial" w:cs="Arial"/>
          <w:i/>
        </w:rPr>
        <w:t>STaRZ</w:t>
      </w:r>
      <w:proofErr w:type="spellEnd"/>
      <w:r>
        <w:rPr>
          <w:rFonts w:ascii="Arial" w:hAnsi="Arial" w:cs="Arial"/>
          <w:i/>
        </w:rPr>
        <w:t xml:space="preserve"> Bratislava (3/2013); Banská Bystrica (3/2013)</w:t>
      </w:r>
      <w:r>
        <w:rPr>
          <w:rFonts w:ascii="Arial" w:hAnsi="Arial" w:cs="Arial"/>
          <w:b/>
        </w:rPr>
        <w:br w:type="page"/>
      </w:r>
    </w:p>
    <w:p>
      <w:pPr>
        <w:rPr>
          <w:rFonts w:ascii="Arial" w:hAnsi="Arial" w:cs="Arial"/>
        </w:rPr>
      </w:pPr>
      <w:r>
        <w:rPr>
          <w:rFonts w:ascii="Arial" w:hAnsi="Arial" w:cs="Arial"/>
          <w:b/>
        </w:rPr>
        <w:lastRenderedPageBreak/>
        <w:t>Príloha č. 12.16</w:t>
      </w:r>
      <w:r>
        <w:rPr>
          <w:rFonts w:ascii="Arial" w:hAnsi="Arial" w:cs="Arial"/>
        </w:rPr>
        <w:t xml:space="preserve">: </w:t>
      </w:r>
      <w:r>
        <w:rPr>
          <w:rFonts w:ascii="Arial" w:hAnsi="Arial" w:cs="Arial"/>
          <w:i/>
        </w:rPr>
        <w:t xml:space="preserve">Funkčné regióny SR vo vzťahu k verejnej osobnej doprave (špecifický cieľ č. 1.2.1) </w:t>
      </w:r>
    </w:p>
    <w:p>
      <w:pPr>
        <w:rPr>
          <w:rFonts w:ascii="Arial" w:hAnsi="Arial" w:cs="Arial"/>
        </w:rPr>
      </w:pPr>
      <w:r>
        <w:rPr>
          <w:noProof/>
          <w:lang w:eastAsia="sk-SK"/>
        </w:rPr>
        <w:drawing>
          <wp:inline distT="0" distB="0" distL="0" distR="0">
            <wp:extent cx="5620285" cy="2690037"/>
            <wp:effectExtent l="0" t="0" r="0" b="0"/>
            <wp:docPr id="1" name="Obrázok 1" descr="C:\Users\pavol.kristel\AppData\Local\Microsoft\Windows\Temporary Internet Files\Content.Word\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ol.kristel\AppData\Local\Microsoft\Windows\Temporary Internet Files\Content.Word\sk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20247" cy="2690019"/>
                    </a:xfrm>
                    <a:prstGeom prst="rect">
                      <a:avLst/>
                    </a:prstGeom>
                    <a:noFill/>
                    <a:ln>
                      <a:noFill/>
                    </a:ln>
                  </pic:spPr>
                </pic:pic>
              </a:graphicData>
            </a:graphic>
          </wp:inline>
        </w:drawing>
      </w:r>
    </w:p>
    <w:p>
      <w:pPr>
        <w:rPr>
          <w:rFonts w:ascii="Arial" w:hAnsi="Arial" w:cs="Arial"/>
        </w:rPr>
      </w:pPr>
      <w:r>
        <w:rPr>
          <w:rFonts w:ascii="Arial" w:hAnsi="Arial" w:cs="Arial"/>
        </w:rPr>
        <w:t>Zdroj: Stratégia rozvoja verejnej osobnej a nemotorovej dopravy SR do roku 2020.</w:t>
      </w:r>
    </w:p>
    <w:p>
      <w:pPr>
        <w:jc w:val="both"/>
        <w:rPr>
          <w:rFonts w:ascii="Arial" w:hAnsi="Arial" w:cs="Arial"/>
          <w:b/>
        </w:rPr>
        <w:sectPr>
          <w:pgSz w:w="11906" w:h="16838"/>
          <w:pgMar w:top="1417" w:right="1417" w:bottom="1417" w:left="1417" w:header="708" w:footer="708" w:gutter="0"/>
          <w:cols w:space="708"/>
          <w:docGrid w:linePitch="360"/>
        </w:sectPr>
      </w:pPr>
    </w:p>
    <w:p>
      <w:pPr>
        <w:jc w:val="both"/>
        <w:rPr>
          <w:rFonts w:ascii="Arial" w:hAnsi="Arial" w:cs="Arial"/>
          <w:i/>
        </w:rPr>
      </w:pPr>
      <w:r>
        <w:rPr>
          <w:rFonts w:ascii="Arial" w:hAnsi="Arial" w:cs="Arial"/>
          <w:b/>
        </w:rPr>
        <w:lastRenderedPageBreak/>
        <w:t>Príloha č. 12.17</w:t>
      </w:r>
      <w:r>
        <w:rPr>
          <w:rFonts w:ascii="Arial" w:hAnsi="Arial" w:cs="Arial"/>
        </w:rPr>
        <w:t xml:space="preserve">: </w:t>
      </w:r>
      <w:r>
        <w:rPr>
          <w:rFonts w:ascii="Arial" w:hAnsi="Arial" w:cs="Arial"/>
          <w:i/>
        </w:rPr>
        <w:t>Príklad komplementárnych aktivít financovaných z OPII a IROP v oblasti verejnej osobnej dopravy.</w:t>
      </w:r>
    </w:p>
    <w:p>
      <w:pPr>
        <w:rPr>
          <w:rFonts w:ascii="Arial" w:hAnsi="Arial" w:cs="Arial"/>
        </w:rPr>
      </w:pPr>
      <w:r>
        <w:rPr>
          <w:noProof/>
          <w:lang w:eastAsia="sk-SK"/>
        </w:rPr>
        <mc:AlternateContent>
          <mc:Choice Requires="wps">
            <w:drawing>
              <wp:anchor distT="0" distB="0" distL="114300" distR="114300" simplePos="0" relativeHeight="251659264" behindDoc="0" locked="0" layoutInCell="1" allowOverlap="1">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Prvky upokojenia dopravy</w:t>
                      </w:r>
                    </w:p>
                  </w:txbxContent>
                </v:textbox>
              </v:shape>
            </w:pict>
          </mc:Fallback>
        </mc:AlternateContent>
      </w:r>
      <w:r>
        <w:rPr>
          <w:noProof/>
          <w:lang w:eastAsia="sk-SK"/>
        </w:rPr>
        <mc:AlternateContent>
          <mc:Choice Requires="wps">
            <w:drawing>
              <wp:anchor distT="0" distB="0" distL="114300" distR="114300" simplePos="0" relativeHeight="251682816" behindDoc="0" locked="0" layoutInCell="1" allowOverlap="1">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85888" behindDoc="0" locked="0" layoutInCell="1" allowOverlap="1">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mc:AlternateContent>
          <mc:Choice Requires="wps">
            <w:drawing>
              <wp:anchor distT="0" distB="0" distL="114300" distR="114300" simplePos="0" relativeHeight="251684864" behindDoc="0" locked="0" layoutInCell="1" allowOverlap="1">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 II</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Pr>
          <w:noProof/>
          <w:lang w:eastAsia="sk-SK"/>
        </w:rPr>
        <mc:AlternateContent>
          <mc:Choice Requires="wps">
            <w:drawing>
              <wp:anchor distT="0" distB="0" distL="114300" distR="114300" simplePos="0" relativeHeight="251683840" behindDoc="0" locked="0" layoutInCell="1" allowOverlap="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Električková trať</w:t>
                      </w:r>
                    </w:p>
                  </w:txbxContent>
                </v:textbox>
              </v:shape>
            </w:pict>
          </mc:Fallback>
        </mc:AlternateContent>
      </w:r>
      <w:r>
        <w:rPr>
          <w:noProof/>
          <w:lang w:eastAsia="sk-SK"/>
        </w:rPr>
        <mc:AlternateContent>
          <mc:Choice Requires="wps">
            <w:drawing>
              <wp:anchor distT="0" distB="0" distL="114300" distR="114300" simplePos="0" relativeHeight="251667456" behindDoc="0" locked="0" layoutInCell="1" allowOverlap="1">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Prestupný terminál</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Električky</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pPr>
                        <w:jc w:val="center"/>
                        <w:rPr>
                          <w:rFonts w:ascii="Arial" w:hAnsi="Arial" w:cs="Arial"/>
                          <w:sz w:val="20"/>
                        </w:rPr>
                      </w:pPr>
                      <w:r>
                        <w:rPr>
                          <w:rFonts w:ascii="Arial" w:hAnsi="Arial" w:cs="Arial"/>
                          <w:sz w:val="20"/>
                        </w:rPr>
                        <w:t>Trolejové vedenie</w:t>
                      </w:r>
                    </w:p>
                  </w:txbxContent>
                </v:textbox>
              </v:shape>
            </w:pict>
          </mc:Fallback>
        </mc:AlternateContent>
      </w:r>
      <w:r>
        <w:rPr>
          <w:noProof/>
          <w:lang w:eastAsia="sk-SK"/>
        </w:rPr>
        <mc:AlternateContent>
          <mc:Choice Requires="wps">
            <w:drawing>
              <wp:anchor distT="0" distB="0" distL="114300" distR="114300" simplePos="0" relativeHeight="251661312" behindDoc="0" locked="0" layoutInCell="1" allowOverlap="1">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Autobusy</w:t>
                      </w:r>
                    </w:p>
                  </w:txbxContent>
                </v:textbox>
              </v:shape>
            </w:pict>
          </mc:Fallback>
        </mc:AlternateContent>
      </w:r>
      <w:r>
        <w:rPr>
          <w:noProof/>
          <w:lang w:eastAsia="sk-SK"/>
        </w:rPr>
        <mc:AlternateContent>
          <mc:Choice Requires="wps">
            <w:drawing>
              <wp:anchor distT="0" distB="0" distL="114300" distR="114300" simplePos="0" relativeHeight="251671552" behindDoc="0" locked="0" layoutInCell="1" allowOverlap="1">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3600" behindDoc="0" locked="0" layoutInCell="1" allowOverlap="1">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5648" behindDoc="0" locked="0" layoutInCell="1" allowOverlap="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7696" behindDoc="0" locked="0" layoutInCell="1" allowOverlap="1">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79744" behindDoc="0" locked="0" layoutInCell="1" allowOverlap="1">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81792" behindDoc="0" locked="0" layoutInCell="1" allowOverlap="1">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w:drawing>
          <wp:inline distT="0" distB="0" distL="0" distR="0">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pPr>
        <w:spacing w:after="0" w:line="240" w:lineRule="auto"/>
        <w:rPr>
          <w:rFonts w:ascii="Arial" w:hAnsi="Arial" w:cs="Arial"/>
        </w:rPr>
      </w:pPr>
      <w:r>
        <w:rPr>
          <w:rFonts w:ascii="Arial" w:hAnsi="Arial" w:cs="Arial"/>
        </w:rPr>
        <w:br w:type="page"/>
      </w:r>
    </w:p>
    <w:p>
      <w:pPr>
        <w:rPr>
          <w:rFonts w:ascii="Arial" w:hAnsi="Arial" w:cs="Arial"/>
          <w:b/>
        </w:rPr>
        <w:sectPr>
          <w:pgSz w:w="16838" w:h="11906" w:orient="landscape"/>
          <w:pgMar w:top="1418" w:right="1418" w:bottom="1418" w:left="1418" w:header="709" w:footer="709" w:gutter="0"/>
          <w:cols w:space="708"/>
          <w:docGrid w:linePitch="360"/>
        </w:sectPr>
      </w:pPr>
    </w:p>
    <w:p>
      <w:pPr>
        <w:spacing w:after="0"/>
        <w:jc w:val="both"/>
        <w:rPr>
          <w:rFonts w:ascii="Arial" w:hAnsi="Arial" w:cs="Arial"/>
          <w:b/>
        </w:rPr>
      </w:pPr>
      <w:r>
        <w:rPr>
          <w:rFonts w:ascii="Arial" w:hAnsi="Arial" w:cs="Arial"/>
          <w:b/>
        </w:rPr>
        <w:lastRenderedPageBreak/>
        <w:t xml:space="preserve">Príloha č. 12.18: </w:t>
      </w:r>
      <w:r>
        <w:rPr>
          <w:rFonts w:ascii="Arial" w:hAnsi="Arial" w:cs="Arial"/>
          <w:i/>
        </w:rPr>
        <w:t>Regionálne delenie resocializačných a krízových stredísk</w:t>
      </w:r>
    </w:p>
    <w:p>
      <w:pPr>
        <w:spacing w:after="0"/>
        <w:jc w:val="both"/>
        <w:rPr>
          <w:rFonts w:ascii="Arial" w:hAnsi="Arial" w:cs="Arial"/>
          <w:b/>
        </w:rPr>
      </w:pPr>
    </w:p>
    <w:tbl>
      <w:tblPr>
        <w:tblStyle w:val="Svetlmriekazvraznenie111"/>
        <w:tblW w:w="7561" w:type="dxa"/>
        <w:tblLook w:val="04A0" w:firstRow="1" w:lastRow="0" w:firstColumn="1" w:lastColumn="0" w:noHBand="0" w:noVBand="1"/>
      </w:tblPr>
      <w:tblGrid>
        <w:gridCol w:w="3500"/>
        <w:gridCol w:w="1651"/>
        <w:gridCol w:w="2410"/>
      </w:tblGrid>
      <w:tr>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51"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Resocializačné stredisko</w:t>
            </w:r>
          </w:p>
        </w:tc>
        <w:tc>
          <w:tcPr>
            <w:tcW w:w="2410"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Krízové stredisko</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8</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19</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37</w:t>
            </w:r>
          </w:p>
        </w:tc>
      </w:tr>
    </w:tbl>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sectPr>
          <w:pgSz w:w="11906" w:h="16838"/>
          <w:pgMar w:top="1418" w:right="1418" w:bottom="1418" w:left="1418" w:header="709" w:footer="709" w:gutter="0"/>
          <w:cols w:space="708"/>
          <w:docGrid w:linePitch="360"/>
        </w:sectPr>
      </w:pPr>
    </w:p>
    <w:p>
      <w:pPr>
        <w:spacing w:after="0"/>
        <w:jc w:val="both"/>
        <w:rPr>
          <w:rFonts w:ascii="Arial" w:hAnsi="Arial" w:cs="Arial"/>
          <w:b/>
        </w:rPr>
      </w:pPr>
      <w:r>
        <w:rPr>
          <w:rFonts w:ascii="Arial" w:hAnsi="Arial" w:cs="Arial"/>
          <w:b/>
        </w:rPr>
        <w:lastRenderedPageBreak/>
        <w:t xml:space="preserve">Príloha č. 12.19: </w:t>
      </w:r>
      <w:r>
        <w:rPr>
          <w:rFonts w:ascii="Arial" w:hAnsi="Arial" w:cs="Arial"/>
          <w:i/>
        </w:rPr>
        <w:t>Počet nevybavených žiadostí a potreba tried MŠ k 15.9.2013 podľa regiónov</w:t>
      </w:r>
    </w:p>
    <w:p>
      <w:pPr>
        <w:spacing w:after="0"/>
        <w:jc w:val="both"/>
        <w:rPr>
          <w:rFonts w:ascii="Arial" w:hAnsi="Arial" w:cs="Arial"/>
          <w:b/>
        </w:rPr>
      </w:pPr>
    </w:p>
    <w:p>
      <w:pPr>
        <w:spacing w:after="0"/>
        <w:jc w:val="both"/>
        <w:rPr>
          <w:rFonts w:ascii="Arial" w:hAnsi="Arial" w:cs="Arial"/>
          <w:b/>
        </w:rPr>
      </w:pPr>
      <w:r>
        <w:rPr>
          <w:rFonts w:ascii="Arial" w:hAnsi="Arial" w:cs="Arial"/>
          <w:b/>
          <w:noProof/>
          <w:lang w:eastAsia="sk-SK"/>
        </w:rPr>
        <w:drawing>
          <wp:inline distT="0" distB="0" distL="0" distR="0">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pPr>
        <w:spacing w:after="0"/>
        <w:jc w:val="both"/>
        <w:rPr>
          <w:rFonts w:ascii="Arial" w:hAnsi="Arial" w:cs="Arial"/>
          <w:b/>
        </w:rPr>
      </w:pPr>
    </w:p>
    <w:p>
      <w:pPr>
        <w:spacing w:line="240" w:lineRule="auto"/>
        <w:jc w:val="both"/>
        <w:rPr>
          <w:rFonts w:ascii="Arial" w:hAnsi="Arial" w:cs="Arial"/>
          <w:b/>
        </w:rPr>
        <w:sectPr>
          <w:pgSz w:w="16838" w:h="11906" w:orient="landscape"/>
          <w:pgMar w:top="1418" w:right="1418" w:bottom="1418" w:left="1418" w:header="709" w:footer="709" w:gutter="0"/>
          <w:cols w:space="708"/>
          <w:docGrid w:linePitch="360"/>
        </w:sectPr>
      </w:pPr>
    </w:p>
    <w:p>
      <w:pPr>
        <w:spacing w:line="240" w:lineRule="auto"/>
        <w:jc w:val="both"/>
        <w:rPr>
          <w:rFonts w:ascii="Arial" w:hAnsi="Arial" w:cs="Arial"/>
        </w:rPr>
      </w:pPr>
      <w:r>
        <w:rPr>
          <w:rFonts w:ascii="Arial" w:hAnsi="Arial" w:cs="Arial"/>
          <w:b/>
        </w:rPr>
        <w:lastRenderedPageBreak/>
        <w:t>Príloha č. 12.20:</w:t>
      </w:r>
      <w:r>
        <w:rPr>
          <w:rFonts w:ascii="Arial" w:hAnsi="Arial" w:cs="Arial"/>
        </w:rPr>
        <w:t xml:space="preserve"> </w:t>
      </w:r>
      <w:r>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134" w:type="dxa"/>
            <w:shd w:val="clear" w:color="auto" w:fill="auto"/>
          </w:tcPr>
          <w:p>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hAnsi="Arial" w:cs="Arial"/>
                <w:sz w:val="18"/>
                <w:szCs w:val="18"/>
              </w:rPr>
            </w:pPr>
            <w:r>
              <w:rPr>
                <w:rFonts w:ascii="Arial" w:hAnsi="Arial" w:cs="Arial"/>
                <w:sz w:val="18"/>
                <w:szCs w:val="18"/>
              </w:rPr>
              <w:t>Bratislavský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hAnsi="Arial" w:cs="Arial"/>
                <w:sz w:val="18"/>
                <w:szCs w:val="18"/>
              </w:rPr>
            </w:pPr>
            <w:r>
              <w:rPr>
                <w:rFonts w:ascii="Arial" w:hAnsi="Arial" w:cs="Arial"/>
                <w:sz w:val="18"/>
                <w:szCs w:val="18"/>
              </w:rPr>
              <w:t>Trnavský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134" w:type="dxa"/>
            <w:shd w:val="clear" w:color="auto" w:fill="auto"/>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134" w:type="dxa"/>
            <w:shd w:val="clear" w:color="auto" w:fill="auto"/>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pPr>
        <w:spacing w:after="0"/>
        <w:jc w:val="both"/>
        <w:rPr>
          <w:rFonts w:ascii="Arial" w:hAnsi="Arial" w:cs="Arial"/>
          <w:b/>
        </w:rPr>
      </w:pPr>
    </w:p>
    <w:p>
      <w:pPr>
        <w:spacing w:after="0"/>
        <w:jc w:val="both"/>
        <w:rPr>
          <w:rFonts w:ascii="Arial" w:hAnsi="Arial" w:cs="Arial"/>
          <w:b/>
        </w:rPr>
      </w:pPr>
    </w:p>
    <w:p>
      <w:pPr>
        <w:pStyle w:val="Style38"/>
        <w:widowControl/>
        <w:tabs>
          <w:tab w:val="left" w:pos="826"/>
        </w:tabs>
        <w:spacing w:before="134" w:line="276" w:lineRule="auto"/>
        <w:ind w:firstLine="0"/>
        <w:rPr>
          <w:sz w:val="22"/>
          <w:szCs w:val="22"/>
        </w:rPr>
      </w:pPr>
      <w:r>
        <w:rPr>
          <w:b/>
          <w:sz w:val="22"/>
          <w:szCs w:val="22"/>
        </w:rPr>
        <w:t>Príloha č. 12.21:</w:t>
      </w:r>
      <w:r>
        <w:rPr>
          <w:sz w:val="22"/>
          <w:szCs w:val="22"/>
        </w:rPr>
        <w:t xml:space="preserve"> </w:t>
      </w:r>
      <w:r>
        <w:rPr>
          <w:i/>
          <w:sz w:val="22"/>
          <w:szCs w:val="22"/>
        </w:rPr>
        <w:t>Regionálne rozdelenie počtu základných škôl, tried a žiakov k 15. 09. 2013</w:t>
      </w:r>
      <w:r>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pPr>
        <w:spacing w:after="0"/>
        <w:jc w:val="both"/>
        <w:rPr>
          <w:rFonts w:ascii="Arial" w:hAnsi="Arial" w:cs="Arial"/>
          <w:sz w:val="18"/>
          <w:szCs w:val="18"/>
        </w:rPr>
      </w:pPr>
      <w:r>
        <w:rPr>
          <w:rFonts w:ascii="Arial" w:hAnsi="Arial" w:cs="Arial"/>
          <w:sz w:val="18"/>
          <w:szCs w:val="18"/>
        </w:rPr>
        <w:t>Zdroj: Centrum vedecko-technických informácií SR</w:t>
      </w: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spacing w:after="0" w:line="240" w:lineRule="auto"/>
        <w:jc w:val="both"/>
        <w:rPr>
          <w:rFonts w:ascii="Arial" w:hAnsi="Arial" w:cs="Arial"/>
          <w:i/>
          <w:lang w:eastAsia="sk-SK"/>
        </w:rPr>
      </w:pPr>
      <w:r>
        <w:rPr>
          <w:rFonts w:ascii="Arial" w:hAnsi="Arial" w:cs="Arial"/>
          <w:b/>
        </w:rPr>
        <w:lastRenderedPageBreak/>
        <w:t>Príloha č. 12.22:</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652" w:type="dxa"/>
            <w:shd w:val="clear" w:color="auto" w:fill="auto"/>
            <w:noWrap/>
            <w:hideMark/>
          </w:tcPr>
          <w:p>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652" w:type="dxa"/>
            <w:shd w:val="clear" w:color="auto" w:fill="auto"/>
            <w:noWrap/>
            <w:hideMark/>
          </w:tcPr>
          <w:p>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pPr>
        <w:spacing w:after="0"/>
        <w:jc w:val="both"/>
        <w:rPr>
          <w:rFonts w:ascii="Arial" w:hAnsi="Arial" w:cs="Arial"/>
          <w:sz w:val="18"/>
          <w:szCs w:val="18"/>
        </w:rPr>
      </w:pPr>
      <w:r>
        <w:rPr>
          <w:rFonts w:ascii="Arial" w:hAnsi="Arial" w:cs="Arial"/>
          <w:sz w:val="18"/>
          <w:szCs w:val="18"/>
        </w:rPr>
        <w:t>Zdroj: Centrum vedecko-technických informácií SR</w:t>
      </w:r>
    </w:p>
    <w:p>
      <w:pPr>
        <w:spacing w:after="0"/>
        <w:jc w:val="both"/>
        <w:rPr>
          <w:rFonts w:ascii="Arial" w:hAnsi="Arial" w:cs="Arial"/>
          <w:sz w:val="18"/>
          <w:szCs w:val="18"/>
        </w:rPr>
      </w:pPr>
    </w:p>
    <w:p>
      <w:pPr>
        <w:spacing w:after="0"/>
        <w:jc w:val="both"/>
        <w:rPr>
          <w:rFonts w:ascii="Arial" w:hAnsi="Arial" w:cs="Arial"/>
          <w:sz w:val="18"/>
          <w:szCs w:val="18"/>
        </w:rPr>
      </w:pPr>
    </w:p>
    <w:p>
      <w:pPr>
        <w:spacing w:after="0"/>
        <w:jc w:val="both"/>
        <w:rPr>
          <w:rFonts w:ascii="Arial" w:hAnsi="Arial" w:cs="Arial"/>
          <w:sz w:val="18"/>
          <w:szCs w:val="18"/>
        </w:rPr>
      </w:pPr>
    </w:p>
    <w:p>
      <w:pPr>
        <w:jc w:val="both"/>
        <w:rPr>
          <w:rFonts w:ascii="Arial" w:hAnsi="Arial" w:cs="Arial"/>
          <w:lang w:eastAsia="sk-SK"/>
        </w:rPr>
      </w:pPr>
      <w:r>
        <w:rPr>
          <w:rFonts w:ascii="Arial" w:hAnsi="Arial" w:cs="Arial"/>
          <w:b/>
        </w:rPr>
        <w:t>Príloha č. 12.23</w:t>
      </w:r>
      <w:r>
        <w:rPr>
          <w:rFonts w:ascii="Arial" w:hAnsi="Arial" w:cs="Arial"/>
          <w:b/>
          <w:color w:val="000000"/>
          <w:lang w:eastAsia="sk-SK"/>
        </w:rPr>
        <w:t xml:space="preserve">: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451"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234"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985"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850"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451"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234"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985"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850"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451"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234"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985"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850"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451"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234"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985"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850"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Žilinský kraj</w:t>
            </w:r>
          </w:p>
        </w:tc>
        <w:tc>
          <w:tcPr>
            <w:tcW w:w="1451"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234"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985"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850"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451"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234"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985"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850"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451"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234"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985"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850"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451"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234"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985" w:type="dxa"/>
            <w:shd w:val="clear" w:color="auto" w:fill="auto"/>
            <w:noWrap/>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850" w:type="dxa"/>
            <w:shd w:val="clear" w:color="auto" w:fill="auto"/>
            <w:hideMark/>
          </w:tcPr>
          <w:p>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451"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234"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985" w:type="dxa"/>
            <w:shd w:val="clear" w:color="auto" w:fill="auto"/>
            <w:noWrap/>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850" w:type="dxa"/>
            <w:shd w:val="clear" w:color="auto" w:fill="auto"/>
            <w:hideMark/>
          </w:tcPr>
          <w:p>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pPr>
        <w:jc w:val="both"/>
        <w:rPr>
          <w:rFonts w:ascii="Arial" w:hAnsi="Arial" w:cs="Arial"/>
          <w:lang w:eastAsia="sk-SK"/>
        </w:rPr>
      </w:pPr>
      <w:r>
        <w:rPr>
          <w:rFonts w:ascii="Arial" w:hAnsi="Arial" w:cs="Arial"/>
          <w:sz w:val="20"/>
          <w:szCs w:val="20"/>
        </w:rPr>
        <w:t>Zdroj: Centrum vedecko-technických informácií SR</w:t>
      </w: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spacing w:after="0"/>
        <w:jc w:val="both"/>
        <w:rPr>
          <w:rFonts w:ascii="Arial" w:hAnsi="Arial" w:cs="Arial"/>
          <w:b/>
        </w:rPr>
      </w:pPr>
    </w:p>
    <w:p>
      <w:pPr>
        <w:jc w:val="both"/>
        <w:rPr>
          <w:rFonts w:ascii="Arial" w:hAnsi="Arial" w:cs="Arial"/>
          <w:b/>
        </w:rPr>
      </w:pPr>
      <w:r>
        <w:rPr>
          <w:rFonts w:ascii="Arial" w:hAnsi="Arial" w:cs="Arial"/>
          <w:b/>
        </w:rPr>
        <w:lastRenderedPageBreak/>
        <w:t>Príloha č. 12.24</w:t>
      </w:r>
      <w:r>
        <w:rPr>
          <w:rFonts w:ascii="Arial" w:hAnsi="Arial" w:cs="Arial"/>
          <w:b/>
          <w:color w:val="000000"/>
          <w:lang w:eastAsia="sk-SK"/>
        </w:rPr>
        <w:t xml:space="preserve">: </w:t>
      </w:r>
      <w:r>
        <w:rPr>
          <w:rFonts w:ascii="Arial" w:hAnsi="Arial" w:cs="Arial"/>
          <w:i/>
        </w:rPr>
        <w:t>Počty absolventov škôl kreatívnych odvetví</w:t>
      </w:r>
      <w:r>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trPr>
          <w:trHeight w:val="808"/>
        </w:trPr>
        <w:tc>
          <w:tcPr>
            <w:tcW w:w="1149" w:type="dxa"/>
            <w:tcBorders>
              <w:right w:val="single" w:sz="12" w:space="0" w:color="auto"/>
            </w:tcBorders>
            <w:shd w:val="clear" w:color="auto" w:fill="auto"/>
            <w:noWrap/>
            <w:vAlign w:val="bottom"/>
            <w:hideMark/>
          </w:tcPr>
          <w:p>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sz w:val="18"/>
                <w:szCs w:val="18"/>
                <w:lang w:eastAsia="sk-SK"/>
              </w:rPr>
              <w:t>Počet študentov</w:t>
            </w:r>
            <w:r>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pPr>
              <w:spacing w:after="0" w:line="240" w:lineRule="auto"/>
              <w:jc w:val="center"/>
              <w:rPr>
                <w:rFonts w:ascii="Arial" w:eastAsia="Times New Roman" w:hAnsi="Arial" w:cs="Arial"/>
                <w:b/>
                <w:sz w:val="18"/>
                <w:szCs w:val="18"/>
                <w:lang w:eastAsia="sk-SK"/>
              </w:rPr>
            </w:pPr>
            <w:r>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color w:val="000000"/>
                <w:sz w:val="18"/>
                <w:szCs w:val="18"/>
                <w:lang w:eastAsia="sk-SK"/>
              </w:rPr>
              <w:t>Počet študentov súkromných SUŠ</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354</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287</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5476</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3703</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120</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111</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9905</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48</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232</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3773</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107</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393</w:t>
            </w:r>
          </w:p>
        </w:tc>
      </w:tr>
      <w:tr>
        <w:trPr>
          <w:trHeight w:val="115"/>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w:t>
            </w:r>
          </w:p>
        </w:tc>
        <w:tc>
          <w:tcPr>
            <w:tcW w:w="1791"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5936</w:t>
            </w:r>
          </w:p>
        </w:tc>
        <w:tc>
          <w:tcPr>
            <w:tcW w:w="1559"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trPr>
          <w:trHeight w:val="256"/>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169</w:t>
            </w:r>
          </w:p>
        </w:tc>
      </w:tr>
      <w:tr>
        <w:trPr>
          <w:trHeight w:val="127"/>
        </w:trPr>
        <w:tc>
          <w:tcPr>
            <w:tcW w:w="1149" w:type="dxa"/>
            <w:tcBorders>
              <w:right w:val="single" w:sz="12" w:space="0" w:color="auto"/>
            </w:tcBorders>
            <w:shd w:val="clear" w:color="auto" w:fill="auto"/>
            <w:noWrap/>
            <w:vAlign w:val="bottom"/>
            <w:hideMark/>
          </w:tcPr>
          <w:p>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 xml:space="preserve">Počet študentov </w:t>
            </w:r>
            <w:r>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SUŠ</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573</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759</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12547</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11787</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653</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2604</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8974</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773</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15828</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305</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2104</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11106</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219</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trPr>
          <w:trHeight w:val="127"/>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805</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18072</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344</w:t>
            </w:r>
          </w:p>
        </w:tc>
      </w:tr>
      <w:tr>
        <w:trPr>
          <w:trHeight w:val="121"/>
        </w:trPr>
        <w:tc>
          <w:tcPr>
            <w:tcW w:w="1149" w:type="dxa"/>
            <w:shd w:val="clear" w:color="auto" w:fill="auto"/>
            <w:noWrap/>
            <w:vAlign w:val="bottom"/>
            <w:hideMark/>
          </w:tcPr>
          <w:p>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301</w:t>
            </w:r>
          </w:p>
        </w:tc>
        <w:tc>
          <w:tcPr>
            <w:tcW w:w="1791" w:type="dxa"/>
            <w:shd w:val="clear" w:color="000000" w:fill="FFFFFF"/>
            <w:noWrap/>
            <w:vAlign w:val="bottom"/>
          </w:tcPr>
          <w:p>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13507</w:t>
            </w:r>
          </w:p>
        </w:tc>
        <w:tc>
          <w:tcPr>
            <w:tcW w:w="1559" w:type="dxa"/>
            <w:shd w:val="clear" w:color="000000" w:fill="FFFFFF"/>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661</w:t>
            </w:r>
          </w:p>
        </w:tc>
        <w:tc>
          <w:tcPr>
            <w:tcW w:w="1484" w:type="dxa"/>
            <w:shd w:val="clear" w:color="auto" w:fill="auto"/>
            <w:noWrap/>
            <w:vAlign w:val="bottom"/>
          </w:tcPr>
          <w:p>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334</w:t>
            </w:r>
          </w:p>
        </w:tc>
      </w:tr>
    </w:tbl>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r>
        <w:rPr>
          <w:rFonts w:ascii="Arial" w:hAnsi="Arial" w:cs="Arial"/>
          <w:b/>
        </w:rPr>
        <w:t xml:space="preserve">Príloha č. 12.25: </w:t>
      </w:r>
      <w:r>
        <w:rPr>
          <w:rFonts w:ascii="Arial" w:hAnsi="Arial" w:cs="Arial"/>
          <w:i/>
        </w:rPr>
        <w:t>Zoznam vysokých a stredných škôl s kreatívne zameranými  študijnými programami</w:t>
      </w:r>
      <w:r>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2"/>
        <w:gridCol w:w="5194"/>
      </w:tblGrid>
      <w:tr>
        <w:tc>
          <w:tcPr>
            <w:tcW w:w="0" w:type="auto"/>
            <w:gridSpan w:val="2"/>
          </w:tcPr>
          <w:p>
            <w:pPr>
              <w:ind w:left="142"/>
              <w:contextualSpacing/>
              <w:jc w:val="center"/>
              <w:rPr>
                <w:rFonts w:ascii="Arial" w:hAnsi="Arial" w:cs="Arial"/>
                <w:b/>
                <w:sz w:val="20"/>
                <w:szCs w:val="20"/>
              </w:rPr>
            </w:pPr>
            <w:r>
              <w:rPr>
                <w:rFonts w:ascii="Arial" w:hAnsi="Arial" w:cs="Arial"/>
                <w:b/>
                <w:sz w:val="20"/>
                <w:szCs w:val="20"/>
              </w:rPr>
              <w:t>Bratislavský samosprávny kraj</w:t>
            </w:r>
          </w:p>
        </w:tc>
      </w:tr>
      <w:tr>
        <w:trPr>
          <w:trHeight w:val="148"/>
        </w:trPr>
        <w:tc>
          <w:tcPr>
            <w:tcW w:w="0" w:type="auto"/>
            <w:shd w:val="clear" w:color="auto" w:fill="BFBFBF"/>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BFBFBF"/>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Akadémia médií</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Ekonomická univerzita v Bratislave</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Paneurópska vysoká škola</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 xml:space="preserve">Goethe </w:t>
            </w:r>
            <w:proofErr w:type="spellStart"/>
            <w:r>
              <w:rPr>
                <w:rFonts w:ascii="Arial" w:hAnsi="Arial" w:cs="Arial"/>
                <w:sz w:val="20"/>
                <w:szCs w:val="20"/>
              </w:rPr>
              <w:t>Uni</w:t>
            </w:r>
            <w:proofErr w:type="spellEnd"/>
            <w:r>
              <w:rPr>
                <w:rFonts w:ascii="Arial" w:hAnsi="Arial" w:cs="Arial"/>
                <w:sz w:val="20"/>
                <w:szCs w:val="20"/>
              </w:rPr>
              <w:t xml:space="preserve"> Bratislava</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Slovenská technická univerzita v Bratislave</w:t>
            </w:r>
          </w:p>
        </w:tc>
        <w:tc>
          <w:tcPr>
            <w:tcW w:w="0" w:type="auto"/>
          </w:tcPr>
          <w:p>
            <w:pPr>
              <w:ind w:left="142"/>
              <w:contextualSpacing/>
              <w:rPr>
                <w:rFonts w:ascii="Arial" w:hAnsi="Arial" w:cs="Arial"/>
                <w:sz w:val="20"/>
                <w:szCs w:val="20"/>
              </w:rPr>
            </w:pPr>
            <w:r>
              <w:rPr>
                <w:rFonts w:ascii="Arial" w:hAnsi="Arial" w:cs="Arial"/>
                <w:sz w:val="20"/>
                <w:szCs w:val="20"/>
              </w:rPr>
              <w:t>Architektúra, Dizajn, 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Vysoká škola múzických umení v Bratislave</w:t>
            </w:r>
          </w:p>
        </w:tc>
        <w:tc>
          <w:tcPr>
            <w:tcW w:w="0" w:type="auto"/>
          </w:tcPr>
          <w:p>
            <w:pPr>
              <w:ind w:left="142"/>
              <w:contextualSpacing/>
              <w:rPr>
                <w:rFonts w:ascii="Arial" w:hAnsi="Arial" w:cs="Arial"/>
                <w:sz w:val="20"/>
                <w:szCs w:val="20"/>
              </w:rPr>
            </w:pPr>
            <w:r>
              <w:rPr>
                <w:rFonts w:ascii="Arial" w:hAnsi="Arial" w:cs="Arial"/>
                <w:sz w:val="20"/>
                <w:szCs w:val="20"/>
              </w:rPr>
              <w:t xml:space="preserve">Hudba a scénické  umenie, Film, </w:t>
            </w:r>
            <w:proofErr w:type="spellStart"/>
            <w:r>
              <w:rPr>
                <w:rFonts w:ascii="Arial" w:hAnsi="Arial" w:cs="Arial"/>
                <w:sz w:val="20"/>
                <w:szCs w:val="20"/>
              </w:rPr>
              <w:t>tv</w:t>
            </w:r>
            <w:proofErr w:type="spellEnd"/>
            <w:r>
              <w:rPr>
                <w:rFonts w:ascii="Arial" w:hAnsi="Arial" w:cs="Arial"/>
                <w:sz w:val="20"/>
                <w:szCs w:val="20"/>
              </w:rPr>
              <w:t>, video, rádio a fotografia</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Vysoká škola výtvarných umení  v Bratislave</w:t>
            </w:r>
          </w:p>
        </w:tc>
        <w:tc>
          <w:tcPr>
            <w:tcW w:w="0" w:type="auto"/>
          </w:tcPr>
          <w:p>
            <w:pPr>
              <w:ind w:left="142"/>
              <w:contextualSpacing/>
              <w:rPr>
                <w:rFonts w:ascii="Arial" w:hAnsi="Arial" w:cs="Arial"/>
                <w:sz w:val="20"/>
                <w:szCs w:val="20"/>
              </w:rPr>
            </w:pPr>
            <w:r>
              <w:rPr>
                <w:rFonts w:ascii="Arial" w:hAnsi="Arial" w:cs="Arial"/>
                <w:sz w:val="20"/>
                <w:szCs w:val="20"/>
              </w:rPr>
              <w:t xml:space="preserve">Reklama a marketing, Dizajn, Módny Dizajn, Umelecké vizuálne umenie, Film, </w:t>
            </w:r>
            <w:proofErr w:type="spellStart"/>
            <w:r>
              <w:rPr>
                <w:rFonts w:ascii="Arial" w:hAnsi="Arial" w:cs="Arial"/>
                <w:sz w:val="20"/>
                <w:szCs w:val="20"/>
              </w:rPr>
              <w:t>tv</w:t>
            </w:r>
            <w:proofErr w:type="spellEnd"/>
            <w:r>
              <w:rPr>
                <w:rFonts w:ascii="Arial" w:hAnsi="Arial" w:cs="Arial"/>
                <w:sz w:val="20"/>
                <w:szCs w:val="20"/>
              </w:rPr>
              <w:t>, video, rádio a fotografia</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Univerzita Komenského v Bratislave</w:t>
            </w:r>
          </w:p>
        </w:tc>
        <w:tc>
          <w:tcPr>
            <w:tcW w:w="0" w:type="auto"/>
          </w:tcPr>
          <w:p>
            <w:pPr>
              <w:ind w:left="142"/>
              <w:contextualSpacing/>
              <w:rPr>
                <w:rFonts w:ascii="Arial" w:hAnsi="Arial" w:cs="Arial"/>
                <w:sz w:val="20"/>
                <w:szCs w:val="20"/>
              </w:rPr>
            </w:pPr>
            <w:r>
              <w:rPr>
                <w:rFonts w:ascii="Arial" w:hAnsi="Arial" w:cs="Arial"/>
                <w:sz w:val="20"/>
                <w:szCs w:val="20"/>
              </w:rPr>
              <w:t>Vydavateľstvo, literatúra a knižný trh</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 xml:space="preserve">Škola úžitkového výtvarníctva </w:t>
            </w:r>
            <w:proofErr w:type="spellStart"/>
            <w:r>
              <w:rPr>
                <w:rFonts w:ascii="Arial" w:hAnsi="Arial" w:cs="Arial"/>
                <w:sz w:val="20"/>
                <w:szCs w:val="20"/>
              </w:rPr>
              <w:t>Josefa</w:t>
            </w:r>
            <w:proofErr w:type="spellEnd"/>
            <w:r>
              <w:rPr>
                <w:rFonts w:ascii="Arial" w:hAnsi="Arial" w:cs="Arial"/>
                <w:sz w:val="20"/>
                <w:szCs w:val="20"/>
              </w:rPr>
              <w:t xml:space="preserve"> Vydru v Bratislave</w:t>
            </w:r>
          </w:p>
        </w:tc>
        <w:tc>
          <w:tcPr>
            <w:tcW w:w="0" w:type="auto"/>
          </w:tcPr>
          <w:p>
            <w:pPr>
              <w:ind w:left="142"/>
              <w:contextualSpacing/>
              <w:rPr>
                <w:rFonts w:ascii="Arial" w:hAnsi="Arial" w:cs="Arial"/>
                <w:sz w:val="20"/>
                <w:szCs w:val="20"/>
              </w:rPr>
            </w:pPr>
            <w:r>
              <w:rPr>
                <w:rFonts w:ascii="Arial" w:hAnsi="Arial" w:cs="Arial"/>
                <w:sz w:val="20"/>
                <w:szCs w:val="20"/>
              </w:rPr>
              <w:t>Reklama a marketing , Dizajn, Módny Dizajn, 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Stredná umelecká škola scénického výtvarníctva v Bratislave</w:t>
            </w:r>
          </w:p>
          <w:p>
            <w:pPr>
              <w:ind w:left="142"/>
              <w:contextualSpacing/>
              <w:rPr>
                <w:rFonts w:ascii="Arial" w:hAnsi="Arial" w:cs="Arial"/>
                <w:sz w:val="20"/>
                <w:szCs w:val="20"/>
              </w:rPr>
            </w:pPr>
          </w:p>
        </w:tc>
        <w:tc>
          <w:tcPr>
            <w:tcW w:w="0" w:type="auto"/>
          </w:tcPr>
          <w:p>
            <w:pPr>
              <w:ind w:left="142"/>
              <w:contextualSpacing/>
              <w:rPr>
                <w:rFonts w:ascii="Arial" w:hAnsi="Arial" w:cs="Arial"/>
                <w:sz w:val="20"/>
                <w:szCs w:val="20"/>
              </w:rPr>
            </w:pPr>
            <w:r>
              <w:rPr>
                <w:rFonts w:ascii="Arial" w:hAnsi="Arial" w:cs="Arial"/>
                <w:sz w:val="20"/>
                <w:szCs w:val="20"/>
              </w:rPr>
              <w:t>Umelecké vizuálne umenie, Hudba a scénické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animovanej tvorby v Bratislave</w:t>
            </w:r>
          </w:p>
        </w:tc>
        <w:tc>
          <w:tcPr>
            <w:tcW w:w="0" w:type="auto"/>
          </w:tcPr>
          <w:p>
            <w:pPr>
              <w:ind w:left="142"/>
              <w:contextualSpacing/>
              <w:rPr>
                <w:rFonts w:ascii="Arial" w:hAnsi="Arial" w:cs="Arial"/>
                <w:sz w:val="20"/>
                <w:szCs w:val="20"/>
              </w:rPr>
            </w:pPr>
            <w:r>
              <w:rPr>
                <w:rFonts w:ascii="Arial" w:hAnsi="Arial" w:cs="Arial"/>
                <w:sz w:val="20"/>
                <w:szCs w:val="20"/>
              </w:rPr>
              <w:t xml:space="preserve">Dizajn, Módny Dizajn, Film, </w:t>
            </w:r>
            <w:proofErr w:type="spellStart"/>
            <w:r>
              <w:rPr>
                <w:rFonts w:ascii="Arial" w:hAnsi="Arial" w:cs="Arial"/>
                <w:sz w:val="20"/>
                <w:szCs w:val="20"/>
              </w:rPr>
              <w:t>tv</w:t>
            </w:r>
            <w:proofErr w:type="spellEnd"/>
            <w:r>
              <w:rPr>
                <w:rFonts w:ascii="Arial" w:hAnsi="Arial" w:cs="Arial"/>
                <w:sz w:val="20"/>
                <w:szCs w:val="20"/>
              </w:rPr>
              <w:t>, video, rádio a fotografia</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dizajnu v Bratislave</w:t>
            </w:r>
          </w:p>
        </w:tc>
        <w:tc>
          <w:tcPr>
            <w:tcW w:w="0" w:type="auto"/>
          </w:tcPr>
          <w:p>
            <w:pPr>
              <w:ind w:left="142"/>
              <w:contextualSpacing/>
              <w:rPr>
                <w:rFonts w:ascii="Arial" w:hAnsi="Arial" w:cs="Arial"/>
                <w:sz w:val="20"/>
                <w:szCs w:val="20"/>
              </w:rPr>
            </w:pPr>
            <w:r>
              <w:rPr>
                <w:rFonts w:ascii="Arial" w:hAnsi="Arial" w:cs="Arial"/>
                <w:sz w:val="20"/>
                <w:szCs w:val="20"/>
              </w:rPr>
              <w:t>Dizajn, Módny Dizajn</w:t>
            </w:r>
          </w:p>
        </w:tc>
      </w:tr>
      <w:tr>
        <w:trPr>
          <w:trHeight w:hRule="exact" w:val="284"/>
        </w:trPr>
        <w:tc>
          <w:tcPr>
            <w:tcW w:w="0" w:type="auto"/>
            <w:gridSpan w:val="2"/>
          </w:tcPr>
          <w:p>
            <w:pPr>
              <w:ind w:left="142"/>
              <w:contextualSpacing/>
              <w:jc w:val="center"/>
              <w:rPr>
                <w:rFonts w:ascii="Arial" w:hAnsi="Arial" w:cs="Arial"/>
                <w:sz w:val="20"/>
                <w:szCs w:val="20"/>
              </w:rPr>
            </w:pPr>
            <w:r>
              <w:rPr>
                <w:rFonts w:ascii="Arial" w:hAnsi="Arial" w:cs="Arial"/>
                <w:b/>
                <w:sz w:val="20"/>
                <w:szCs w:val="20"/>
              </w:rPr>
              <w:t>Trnavský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Univerzita sv. Cyrila a Metoda v Trnave</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 xml:space="preserve">STU BA, </w:t>
            </w:r>
            <w:proofErr w:type="spellStart"/>
            <w:r>
              <w:rPr>
                <w:rFonts w:ascii="Arial" w:hAnsi="Arial" w:cs="Arial"/>
                <w:sz w:val="20"/>
                <w:szCs w:val="20"/>
              </w:rPr>
              <w:t>Materiálovotechnologická</w:t>
            </w:r>
            <w:proofErr w:type="spellEnd"/>
            <w:r>
              <w:rPr>
                <w:rFonts w:ascii="Arial" w:hAnsi="Arial" w:cs="Arial"/>
                <w:sz w:val="20"/>
                <w:szCs w:val="20"/>
              </w:rPr>
              <w:t xml:space="preserve"> fakulta v Trnave</w:t>
            </w:r>
          </w:p>
        </w:tc>
        <w:tc>
          <w:tcPr>
            <w:tcW w:w="0" w:type="auto"/>
          </w:tcPr>
          <w:p>
            <w:pPr>
              <w:ind w:left="142"/>
              <w:contextualSpacing/>
              <w:rPr>
                <w:rFonts w:ascii="Arial" w:hAnsi="Arial" w:cs="Arial"/>
                <w:sz w:val="20"/>
                <w:szCs w:val="20"/>
              </w:rPr>
            </w:pPr>
            <w:r>
              <w:rPr>
                <w:rFonts w:ascii="Arial" w:hAnsi="Arial" w:cs="Arial"/>
                <w:sz w:val="20"/>
                <w:szCs w:val="20"/>
              </w:rPr>
              <w:t>Dizajn</w:t>
            </w:r>
          </w:p>
        </w:tc>
      </w:tr>
      <w:tr>
        <w:trPr>
          <w:trHeight w:hRule="exact" w:val="284"/>
        </w:trPr>
        <w:tc>
          <w:tcPr>
            <w:tcW w:w="0" w:type="auto"/>
            <w:gridSpan w:val="2"/>
          </w:tcPr>
          <w:p>
            <w:pPr>
              <w:ind w:left="142"/>
              <w:contextualSpacing/>
              <w:jc w:val="center"/>
              <w:rPr>
                <w:rFonts w:ascii="Arial" w:hAnsi="Arial" w:cs="Arial"/>
                <w:sz w:val="20"/>
                <w:szCs w:val="20"/>
              </w:rPr>
            </w:pPr>
            <w:r>
              <w:rPr>
                <w:rFonts w:ascii="Arial" w:hAnsi="Arial" w:cs="Arial"/>
                <w:b/>
                <w:sz w:val="20"/>
                <w:szCs w:val="20"/>
              </w:rPr>
              <w:lastRenderedPageBreak/>
              <w:t>Nitriansky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615"/>
        </w:trPr>
        <w:tc>
          <w:tcPr>
            <w:tcW w:w="0" w:type="auto"/>
          </w:tcPr>
          <w:p>
            <w:pPr>
              <w:ind w:left="142"/>
              <w:contextualSpacing/>
              <w:rPr>
                <w:rFonts w:ascii="Arial" w:hAnsi="Arial" w:cs="Arial"/>
                <w:sz w:val="20"/>
                <w:szCs w:val="20"/>
              </w:rPr>
            </w:pPr>
            <w:r>
              <w:rPr>
                <w:rFonts w:ascii="Arial" w:hAnsi="Arial" w:cs="Arial"/>
                <w:sz w:val="20"/>
                <w:szCs w:val="20"/>
              </w:rPr>
              <w:t>Slovenská poľnohospodárska univerzita v Nitre</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Univerzita Konštantína Filozofa v Nitre</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558"/>
        </w:trPr>
        <w:tc>
          <w:tcPr>
            <w:tcW w:w="0" w:type="auto"/>
          </w:tcPr>
          <w:p>
            <w:pPr>
              <w:ind w:left="142"/>
              <w:contextualSpacing/>
              <w:rPr>
                <w:rFonts w:ascii="Arial" w:hAnsi="Arial" w:cs="Arial"/>
                <w:sz w:val="20"/>
                <w:szCs w:val="20"/>
              </w:rPr>
            </w:pPr>
            <w:r>
              <w:rPr>
                <w:rFonts w:ascii="Arial" w:hAnsi="Arial" w:cs="Arial"/>
                <w:sz w:val="20"/>
                <w:szCs w:val="20"/>
              </w:rPr>
              <w:t>Cirkevná škola úžitkového výtvarníctva sv. Lukáša, Topoľčany</w:t>
            </w:r>
          </w:p>
        </w:tc>
        <w:tc>
          <w:tcPr>
            <w:tcW w:w="0" w:type="auto"/>
          </w:tcPr>
          <w:p>
            <w:pPr>
              <w:ind w:left="142"/>
              <w:contextualSpacing/>
              <w:rPr>
                <w:rFonts w:ascii="Arial" w:hAnsi="Arial" w:cs="Arial"/>
                <w:sz w:val="20"/>
                <w:szCs w:val="20"/>
              </w:rPr>
            </w:pPr>
            <w:r>
              <w:rPr>
                <w:rFonts w:ascii="Arial" w:hAnsi="Arial" w:cs="Arial"/>
                <w:sz w:val="20"/>
                <w:szCs w:val="20"/>
              </w:rPr>
              <w:t>Umelecké vizuálne umenie</w:t>
            </w:r>
          </w:p>
        </w:tc>
      </w:tr>
      <w:tr>
        <w:trPr>
          <w:trHeight w:hRule="exact" w:val="566"/>
        </w:trPr>
        <w:tc>
          <w:tcPr>
            <w:tcW w:w="0" w:type="auto"/>
          </w:tcPr>
          <w:p>
            <w:pPr>
              <w:ind w:left="142"/>
              <w:contextualSpacing/>
              <w:rPr>
                <w:rFonts w:ascii="Arial" w:hAnsi="Arial" w:cs="Arial"/>
                <w:sz w:val="20"/>
                <w:szCs w:val="20"/>
              </w:rPr>
            </w:pPr>
            <w:r>
              <w:rPr>
                <w:rFonts w:ascii="Arial" w:hAnsi="Arial" w:cs="Arial"/>
                <w:sz w:val="20"/>
                <w:szCs w:val="20"/>
              </w:rPr>
              <w:t>Stredná umelecká škola Ladislava Bielika, Levice </w:t>
            </w:r>
          </w:p>
        </w:tc>
        <w:tc>
          <w:tcPr>
            <w:tcW w:w="0" w:type="auto"/>
          </w:tcPr>
          <w:p>
            <w:pPr>
              <w:ind w:left="142"/>
              <w:contextualSpacing/>
              <w:rPr>
                <w:rFonts w:ascii="Arial" w:hAnsi="Arial" w:cs="Arial"/>
                <w:sz w:val="20"/>
                <w:szCs w:val="20"/>
              </w:rPr>
            </w:pPr>
            <w:r>
              <w:rPr>
                <w:rFonts w:ascii="Arial" w:hAnsi="Arial" w:cs="Arial"/>
                <w:sz w:val="20"/>
                <w:szCs w:val="20"/>
              </w:rPr>
              <w:t>Dizajn,  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Nitra</w:t>
            </w:r>
          </w:p>
        </w:tc>
        <w:tc>
          <w:tcPr>
            <w:tcW w:w="0" w:type="auto"/>
          </w:tcPr>
          <w:p>
            <w:pPr>
              <w:ind w:left="142"/>
              <w:contextualSpacing/>
              <w:rPr>
                <w:rFonts w:ascii="Arial" w:hAnsi="Arial" w:cs="Arial"/>
                <w:sz w:val="20"/>
                <w:szCs w:val="20"/>
              </w:rPr>
            </w:pPr>
            <w:r>
              <w:rPr>
                <w:rFonts w:ascii="Arial" w:hAnsi="Arial" w:cs="Arial"/>
                <w:sz w:val="20"/>
                <w:szCs w:val="20"/>
              </w:rPr>
              <w:t>Dizajn,  Umelecké vizuálne umenie</w:t>
            </w:r>
          </w:p>
        </w:tc>
      </w:tr>
      <w:tr>
        <w:trPr>
          <w:trHeight w:hRule="exact" w:val="563"/>
        </w:trPr>
        <w:tc>
          <w:tcPr>
            <w:tcW w:w="0" w:type="auto"/>
          </w:tcPr>
          <w:p>
            <w:pPr>
              <w:ind w:left="142"/>
              <w:contextualSpacing/>
              <w:rPr>
                <w:rFonts w:ascii="Arial" w:hAnsi="Arial" w:cs="Arial"/>
                <w:sz w:val="20"/>
                <w:szCs w:val="20"/>
              </w:rPr>
            </w:pPr>
            <w:r>
              <w:rPr>
                <w:rFonts w:ascii="Arial" w:hAnsi="Arial" w:cs="Arial"/>
                <w:sz w:val="20"/>
                <w:szCs w:val="20"/>
              </w:rPr>
              <w:t>Súkromná škola úžitkového výtvarníctva,  Topoľčany</w:t>
            </w:r>
          </w:p>
        </w:tc>
        <w:tc>
          <w:tcPr>
            <w:tcW w:w="0" w:type="auto"/>
          </w:tcPr>
          <w:p>
            <w:pPr>
              <w:ind w:left="142"/>
              <w:contextualSpacing/>
              <w:rPr>
                <w:rFonts w:ascii="Arial" w:hAnsi="Arial" w:cs="Arial"/>
                <w:sz w:val="20"/>
                <w:szCs w:val="20"/>
              </w:rPr>
            </w:pPr>
            <w:r>
              <w:rPr>
                <w:rFonts w:ascii="Arial" w:hAnsi="Arial" w:cs="Arial"/>
                <w:sz w:val="20"/>
                <w:szCs w:val="20"/>
              </w:rPr>
              <w:t>Dizajn, Módny Dizajn, Umelecké vizuálne umenie</w:t>
            </w:r>
          </w:p>
        </w:tc>
      </w:tr>
      <w:tr>
        <w:trPr>
          <w:trHeight w:hRule="exact" w:val="284"/>
        </w:trPr>
        <w:tc>
          <w:tcPr>
            <w:tcW w:w="0" w:type="auto"/>
            <w:gridSpan w:val="2"/>
          </w:tcPr>
          <w:p>
            <w:pPr>
              <w:ind w:left="142"/>
              <w:contextualSpacing/>
              <w:jc w:val="center"/>
              <w:rPr>
                <w:rFonts w:ascii="Arial" w:hAnsi="Arial" w:cs="Arial"/>
                <w:sz w:val="20"/>
                <w:szCs w:val="20"/>
              </w:rPr>
            </w:pPr>
            <w:r>
              <w:rPr>
                <w:rFonts w:ascii="Arial" w:hAnsi="Arial" w:cs="Arial"/>
                <w:b/>
                <w:sz w:val="20"/>
                <w:szCs w:val="20"/>
              </w:rPr>
              <w:t>Trenčiansky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Stredná umelecká škola Trenčín</w:t>
            </w:r>
          </w:p>
        </w:tc>
        <w:tc>
          <w:tcPr>
            <w:tcW w:w="0" w:type="auto"/>
          </w:tcPr>
          <w:p>
            <w:pPr>
              <w:ind w:left="142"/>
              <w:contextualSpacing/>
              <w:rPr>
                <w:rFonts w:ascii="Arial" w:hAnsi="Arial" w:cs="Arial"/>
                <w:sz w:val="20"/>
                <w:szCs w:val="20"/>
              </w:rPr>
            </w:pPr>
            <w:r>
              <w:rPr>
                <w:rFonts w:ascii="Arial" w:hAnsi="Arial" w:cs="Arial"/>
                <w:sz w:val="20"/>
                <w:szCs w:val="20"/>
              </w:rPr>
              <w:t>Dizajn, Módny Dizajn, Umelecké vizuálne umenie</w:t>
            </w:r>
          </w:p>
        </w:tc>
      </w:tr>
      <w:tr>
        <w:trPr>
          <w:trHeight w:hRule="exact" w:val="284"/>
        </w:trPr>
        <w:tc>
          <w:tcPr>
            <w:tcW w:w="0" w:type="auto"/>
            <w:gridSpan w:val="2"/>
          </w:tcPr>
          <w:p>
            <w:pPr>
              <w:ind w:left="142"/>
              <w:contextualSpacing/>
              <w:jc w:val="center"/>
              <w:rPr>
                <w:rFonts w:ascii="Arial" w:hAnsi="Arial" w:cs="Arial"/>
                <w:b/>
                <w:sz w:val="20"/>
                <w:szCs w:val="20"/>
              </w:rPr>
            </w:pPr>
            <w:r>
              <w:rPr>
                <w:rFonts w:ascii="Arial" w:hAnsi="Arial" w:cs="Arial"/>
                <w:b/>
                <w:sz w:val="20"/>
                <w:szCs w:val="20"/>
              </w:rPr>
              <w:t>Žilinský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Žilinská univerzita v Žiline</w:t>
            </w:r>
          </w:p>
        </w:tc>
        <w:tc>
          <w:tcPr>
            <w:tcW w:w="0" w:type="auto"/>
          </w:tcPr>
          <w:p>
            <w:pPr>
              <w:ind w:left="142"/>
              <w:contextualSpacing/>
              <w:rPr>
                <w:rFonts w:ascii="Arial" w:hAnsi="Arial" w:cs="Arial"/>
                <w:sz w:val="20"/>
                <w:szCs w:val="20"/>
              </w:rPr>
            </w:pPr>
            <w:r>
              <w:rPr>
                <w:rFonts w:ascii="Arial" w:hAnsi="Arial" w:cs="Arial"/>
                <w:sz w:val="20"/>
                <w:szCs w:val="20"/>
              </w:rPr>
              <w:t>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Katolícka univerzita v Ružomberku</w:t>
            </w:r>
          </w:p>
        </w:tc>
        <w:tc>
          <w:tcPr>
            <w:tcW w:w="0" w:type="auto"/>
          </w:tcPr>
          <w:p>
            <w:pPr>
              <w:ind w:left="142"/>
              <w:contextualSpacing/>
              <w:rPr>
                <w:rFonts w:ascii="Arial" w:hAnsi="Arial" w:cs="Arial"/>
                <w:sz w:val="20"/>
                <w:szCs w:val="20"/>
              </w:rPr>
            </w:pPr>
            <w:r>
              <w:rPr>
                <w:rFonts w:ascii="Arial" w:hAnsi="Arial" w:cs="Arial"/>
                <w:sz w:val="20"/>
                <w:szCs w:val="20"/>
              </w:rPr>
              <w:t>Vydavateľstvo, literatúra a knižný trh</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Žilina </w:t>
            </w:r>
          </w:p>
        </w:tc>
        <w:tc>
          <w:tcPr>
            <w:tcW w:w="0" w:type="auto"/>
          </w:tcPr>
          <w:p>
            <w:pPr>
              <w:ind w:left="142"/>
              <w:contextualSpacing/>
              <w:rPr>
                <w:rFonts w:ascii="Arial" w:hAnsi="Arial" w:cs="Arial"/>
                <w:sz w:val="20"/>
                <w:szCs w:val="20"/>
              </w:rPr>
            </w:pPr>
            <w:r>
              <w:rPr>
                <w:rFonts w:ascii="Arial" w:hAnsi="Arial" w:cs="Arial"/>
                <w:sz w:val="20"/>
                <w:szCs w:val="20"/>
              </w:rPr>
              <w:t>Reklama a marketing , Dizajn</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Škola úžitkového výtvarníctva, Ružomberok </w:t>
            </w:r>
          </w:p>
        </w:tc>
        <w:tc>
          <w:tcPr>
            <w:tcW w:w="0" w:type="auto"/>
          </w:tcPr>
          <w:p>
            <w:pPr>
              <w:ind w:left="142"/>
              <w:contextualSpacing/>
              <w:rPr>
                <w:rFonts w:ascii="Arial" w:hAnsi="Arial" w:cs="Arial"/>
                <w:sz w:val="20"/>
                <w:szCs w:val="20"/>
              </w:rPr>
            </w:pPr>
            <w:r>
              <w:rPr>
                <w:rFonts w:ascii="Arial" w:hAnsi="Arial" w:cs="Arial"/>
                <w:sz w:val="20"/>
                <w:szCs w:val="20"/>
              </w:rPr>
              <w:t>Reklama a marketing, Dizajn, Módny Dizajn</w:t>
            </w:r>
          </w:p>
        </w:tc>
      </w:tr>
      <w:tr>
        <w:trPr>
          <w:trHeight w:hRule="exact" w:val="284"/>
        </w:trPr>
        <w:tc>
          <w:tcPr>
            <w:tcW w:w="0" w:type="auto"/>
            <w:gridSpan w:val="2"/>
          </w:tcPr>
          <w:p>
            <w:pPr>
              <w:ind w:left="142"/>
              <w:contextualSpacing/>
              <w:jc w:val="center"/>
              <w:rPr>
                <w:rFonts w:ascii="Arial" w:hAnsi="Arial" w:cs="Arial"/>
                <w:b/>
                <w:sz w:val="20"/>
                <w:szCs w:val="20"/>
              </w:rPr>
            </w:pPr>
            <w:r>
              <w:rPr>
                <w:rFonts w:ascii="Arial" w:hAnsi="Arial" w:cs="Arial"/>
                <w:b/>
                <w:sz w:val="20"/>
                <w:szCs w:val="20"/>
              </w:rPr>
              <w:t>Banskobystrický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Akadémia umení v Banskej Bystrici</w:t>
            </w:r>
          </w:p>
        </w:tc>
        <w:tc>
          <w:tcPr>
            <w:tcW w:w="0" w:type="auto"/>
          </w:tcPr>
          <w:p>
            <w:pPr>
              <w:ind w:left="142"/>
              <w:contextualSpacing/>
              <w:rPr>
                <w:rFonts w:ascii="Arial" w:hAnsi="Arial" w:cs="Arial"/>
                <w:sz w:val="20"/>
                <w:szCs w:val="20"/>
              </w:rPr>
            </w:pPr>
            <w:r>
              <w:rPr>
                <w:rFonts w:ascii="Arial" w:hAnsi="Arial" w:cs="Arial"/>
                <w:sz w:val="20"/>
                <w:szCs w:val="20"/>
              </w:rPr>
              <w:t xml:space="preserve">Hudba a scénické  umenie, Film, </w:t>
            </w:r>
            <w:proofErr w:type="spellStart"/>
            <w:r>
              <w:rPr>
                <w:rFonts w:ascii="Arial" w:hAnsi="Arial" w:cs="Arial"/>
                <w:sz w:val="20"/>
                <w:szCs w:val="20"/>
              </w:rPr>
              <w:t>tv</w:t>
            </w:r>
            <w:proofErr w:type="spellEnd"/>
            <w:r>
              <w:rPr>
                <w:rFonts w:ascii="Arial" w:hAnsi="Arial" w:cs="Arial"/>
                <w:sz w:val="20"/>
                <w:szCs w:val="20"/>
              </w:rPr>
              <w:t>, video, rádio a fotografia, Umelecké vizuálne umenie, 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Univerzity Mateja Bela v Banskej Bystrici</w:t>
            </w:r>
          </w:p>
        </w:tc>
        <w:tc>
          <w:tcPr>
            <w:tcW w:w="0" w:type="auto"/>
          </w:tcPr>
          <w:p>
            <w:pPr>
              <w:ind w:left="142"/>
              <w:contextualSpacing/>
              <w:rPr>
                <w:rFonts w:ascii="Arial" w:hAnsi="Arial" w:cs="Arial"/>
                <w:sz w:val="20"/>
                <w:szCs w:val="20"/>
              </w:rPr>
            </w:pPr>
            <w:r>
              <w:rPr>
                <w:rFonts w:ascii="Arial" w:hAnsi="Arial" w:cs="Arial"/>
                <w:sz w:val="20"/>
                <w:szCs w:val="20"/>
              </w:rPr>
              <w:t>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Hudobná a umelecká akadémia Jána Albrechta v Banskej Štiavnici</w:t>
            </w:r>
          </w:p>
        </w:tc>
        <w:tc>
          <w:tcPr>
            <w:tcW w:w="0" w:type="auto"/>
          </w:tcPr>
          <w:p>
            <w:pPr>
              <w:ind w:left="142"/>
              <w:contextualSpacing/>
              <w:rPr>
                <w:rFonts w:ascii="Arial" w:hAnsi="Arial" w:cs="Arial"/>
                <w:sz w:val="20"/>
                <w:szCs w:val="20"/>
              </w:rPr>
            </w:pPr>
            <w:r>
              <w:rPr>
                <w:rFonts w:ascii="Arial" w:hAnsi="Arial" w:cs="Arial"/>
                <w:sz w:val="20"/>
                <w:szCs w:val="20"/>
              </w:rPr>
              <w:t>Hudba a scénické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Technická univerzita vo Zvolene</w:t>
            </w:r>
          </w:p>
        </w:tc>
        <w:tc>
          <w:tcPr>
            <w:tcW w:w="0" w:type="auto"/>
          </w:tcPr>
          <w:p>
            <w:pPr>
              <w:ind w:left="142"/>
              <w:contextualSpacing/>
              <w:rPr>
                <w:rFonts w:ascii="Arial" w:hAnsi="Arial" w:cs="Arial"/>
                <w:sz w:val="20"/>
                <w:szCs w:val="20"/>
              </w:rPr>
            </w:pPr>
            <w:r>
              <w:rPr>
                <w:rFonts w:ascii="Arial" w:hAnsi="Arial" w:cs="Arial"/>
                <w:sz w:val="20"/>
                <w:szCs w:val="20"/>
              </w:rPr>
              <w:t>Dizajn</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Zvolen </w:t>
            </w:r>
          </w:p>
        </w:tc>
        <w:tc>
          <w:tcPr>
            <w:tcW w:w="0" w:type="auto"/>
          </w:tcPr>
          <w:p>
            <w:pPr>
              <w:ind w:left="142"/>
              <w:contextualSpacing/>
              <w:rPr>
                <w:rFonts w:ascii="Arial" w:hAnsi="Arial" w:cs="Arial"/>
                <w:sz w:val="20"/>
                <w:szCs w:val="20"/>
              </w:rPr>
            </w:pPr>
            <w:r>
              <w:rPr>
                <w:rFonts w:ascii="Arial" w:hAnsi="Arial" w:cs="Arial"/>
                <w:sz w:val="20"/>
                <w:szCs w:val="20"/>
              </w:rPr>
              <w:t>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Hodruša-Hámre </w:t>
            </w:r>
          </w:p>
        </w:tc>
        <w:tc>
          <w:tcPr>
            <w:tcW w:w="0" w:type="auto"/>
          </w:tcPr>
          <w:p>
            <w:pPr>
              <w:ind w:left="142"/>
              <w:contextualSpacing/>
              <w:rPr>
                <w:rFonts w:ascii="Arial" w:hAnsi="Arial" w:cs="Arial"/>
                <w:sz w:val="20"/>
                <w:szCs w:val="20"/>
              </w:rPr>
            </w:pPr>
            <w:r>
              <w:rPr>
                <w:rFonts w:ascii="Arial" w:hAnsi="Arial" w:cs="Arial"/>
                <w:sz w:val="20"/>
                <w:szCs w:val="20"/>
              </w:rPr>
              <w:t>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Škola úžitkového výtvarníctva, Kremnica </w:t>
            </w:r>
          </w:p>
        </w:tc>
        <w:tc>
          <w:tcPr>
            <w:tcW w:w="0" w:type="auto"/>
          </w:tcPr>
          <w:p>
            <w:pPr>
              <w:ind w:left="142"/>
              <w:contextualSpacing/>
              <w:rPr>
                <w:rFonts w:ascii="Arial" w:hAnsi="Arial" w:cs="Arial"/>
                <w:sz w:val="20"/>
                <w:szCs w:val="20"/>
              </w:rPr>
            </w:pPr>
            <w:r>
              <w:rPr>
                <w:rFonts w:ascii="Arial" w:hAnsi="Arial" w:cs="Arial"/>
                <w:sz w:val="20"/>
                <w:szCs w:val="20"/>
              </w:rPr>
              <w:t>Reklama a marketing, Dizajn, Módny Dizajn, Umelecké vizuálne umenie</w:t>
            </w:r>
          </w:p>
        </w:tc>
      </w:tr>
      <w:tr>
        <w:trPr>
          <w:trHeight w:hRule="exact" w:val="284"/>
        </w:trPr>
        <w:tc>
          <w:tcPr>
            <w:tcW w:w="0" w:type="auto"/>
            <w:gridSpan w:val="2"/>
          </w:tcPr>
          <w:p>
            <w:pPr>
              <w:ind w:left="142"/>
              <w:contextualSpacing/>
              <w:jc w:val="center"/>
              <w:rPr>
                <w:rFonts w:ascii="Arial" w:hAnsi="Arial" w:cs="Arial"/>
                <w:sz w:val="20"/>
                <w:szCs w:val="20"/>
              </w:rPr>
            </w:pPr>
            <w:r>
              <w:rPr>
                <w:rFonts w:ascii="Arial" w:hAnsi="Arial" w:cs="Arial"/>
                <w:b/>
                <w:sz w:val="20"/>
                <w:szCs w:val="20"/>
              </w:rPr>
              <w:t>Prešovský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Prešovská univerzita v Prešove</w:t>
            </w:r>
          </w:p>
        </w:tc>
        <w:tc>
          <w:tcPr>
            <w:tcW w:w="0" w:type="auto"/>
          </w:tcPr>
          <w:p>
            <w:pPr>
              <w:ind w:left="142"/>
              <w:contextualSpacing/>
              <w:rPr>
                <w:rFonts w:ascii="Arial" w:hAnsi="Arial" w:cs="Arial"/>
                <w:sz w:val="20"/>
                <w:szCs w:val="20"/>
              </w:rPr>
            </w:pPr>
            <w:r>
              <w:rPr>
                <w:rFonts w:ascii="Arial" w:hAnsi="Arial" w:cs="Arial"/>
                <w:sz w:val="20"/>
                <w:szCs w:val="20"/>
              </w:rPr>
              <w:t>Reklama a marketing</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Vysoká škola medzinárodného podnikania ISM Slovakia v Prešove</w:t>
            </w:r>
          </w:p>
        </w:tc>
        <w:tc>
          <w:tcPr>
            <w:tcW w:w="0" w:type="auto"/>
          </w:tcPr>
          <w:p>
            <w:pPr>
              <w:ind w:left="142"/>
              <w:contextualSpacing/>
              <w:rPr>
                <w:rFonts w:ascii="Arial" w:hAnsi="Arial" w:cs="Arial"/>
                <w:sz w:val="20"/>
                <w:szCs w:val="20"/>
              </w:rPr>
            </w:pPr>
            <w:r>
              <w:rPr>
                <w:rFonts w:ascii="Arial" w:hAnsi="Arial" w:cs="Arial"/>
                <w:sz w:val="20"/>
                <w:szCs w:val="20"/>
              </w:rPr>
              <w:t>Trh s umením</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Stredná umelecká škola v Kežmarku</w:t>
            </w:r>
          </w:p>
        </w:tc>
        <w:tc>
          <w:tcPr>
            <w:tcW w:w="0" w:type="auto"/>
          </w:tcPr>
          <w:p>
            <w:pPr>
              <w:ind w:left="142"/>
              <w:contextualSpacing/>
              <w:rPr>
                <w:rFonts w:ascii="Arial" w:hAnsi="Arial" w:cs="Arial"/>
                <w:sz w:val="20"/>
                <w:szCs w:val="20"/>
              </w:rPr>
            </w:pPr>
            <w:r>
              <w:rPr>
                <w:rFonts w:ascii="Arial" w:hAnsi="Arial" w:cs="Arial"/>
                <w:sz w:val="20"/>
                <w:szCs w:val="20"/>
              </w:rPr>
              <w:t>Reklama a marketing, 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Stredná umelecká škola v Prešove</w:t>
            </w:r>
          </w:p>
        </w:tc>
        <w:tc>
          <w:tcPr>
            <w:tcW w:w="0" w:type="auto"/>
          </w:tcPr>
          <w:p>
            <w:pPr>
              <w:ind w:left="142"/>
              <w:contextualSpacing/>
              <w:rPr>
                <w:rFonts w:ascii="Arial" w:hAnsi="Arial" w:cs="Arial"/>
                <w:sz w:val="20"/>
                <w:szCs w:val="20"/>
              </w:rPr>
            </w:pPr>
            <w:r>
              <w:rPr>
                <w:rFonts w:ascii="Arial" w:hAnsi="Arial" w:cs="Arial"/>
                <w:sz w:val="20"/>
                <w:szCs w:val="20"/>
              </w:rPr>
              <w:t>Reklama a marketing, Umelecké vizuálne umenie</w:t>
            </w:r>
          </w:p>
        </w:tc>
      </w:tr>
      <w:tr>
        <w:trPr>
          <w:trHeight w:hRule="exact" w:val="284"/>
        </w:trPr>
        <w:tc>
          <w:tcPr>
            <w:tcW w:w="0" w:type="auto"/>
            <w:gridSpan w:val="2"/>
          </w:tcPr>
          <w:p>
            <w:pPr>
              <w:ind w:left="142"/>
              <w:contextualSpacing/>
              <w:jc w:val="center"/>
              <w:rPr>
                <w:rFonts w:ascii="Arial" w:hAnsi="Arial" w:cs="Arial"/>
                <w:sz w:val="20"/>
                <w:szCs w:val="20"/>
              </w:rPr>
            </w:pPr>
            <w:r>
              <w:rPr>
                <w:rFonts w:ascii="Arial" w:hAnsi="Arial" w:cs="Arial"/>
                <w:b/>
                <w:sz w:val="20"/>
                <w:szCs w:val="20"/>
              </w:rPr>
              <w:t>Košický samosprávny kraj</w:t>
            </w:r>
          </w:p>
        </w:tc>
      </w:tr>
      <w:tr>
        <w:trPr>
          <w:trHeight w:hRule="exact" w:val="284"/>
        </w:trPr>
        <w:tc>
          <w:tcPr>
            <w:tcW w:w="0" w:type="auto"/>
            <w:shd w:val="clear" w:color="auto" w:fill="A6A6A6"/>
          </w:tcPr>
          <w:p>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pPr>
              <w:ind w:left="142"/>
              <w:contextualSpacing/>
              <w:rPr>
                <w:rFonts w:ascii="Arial" w:hAnsi="Arial" w:cs="Arial"/>
                <w:sz w:val="20"/>
                <w:szCs w:val="20"/>
              </w:rPr>
            </w:pPr>
            <w:r>
              <w:rPr>
                <w:rFonts w:ascii="Arial" w:hAnsi="Arial" w:cs="Arial"/>
                <w:sz w:val="20"/>
                <w:szCs w:val="20"/>
              </w:rPr>
              <w:t>Kreatívne odvetvie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Technická univerzita v Košiciach</w:t>
            </w:r>
          </w:p>
        </w:tc>
        <w:tc>
          <w:tcPr>
            <w:tcW w:w="0" w:type="auto"/>
          </w:tcPr>
          <w:p>
            <w:pPr>
              <w:ind w:left="142"/>
              <w:contextualSpacing/>
              <w:rPr>
                <w:rFonts w:ascii="Arial" w:hAnsi="Arial" w:cs="Arial"/>
                <w:sz w:val="20"/>
                <w:szCs w:val="20"/>
              </w:rPr>
            </w:pPr>
            <w:r>
              <w:rPr>
                <w:rFonts w:ascii="Arial" w:hAnsi="Arial" w:cs="Arial"/>
                <w:sz w:val="20"/>
                <w:szCs w:val="20"/>
              </w:rPr>
              <w:t>Architektúra, Dizajn, 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Univerzita Pavla Jozefa Šafárika v Košiciach</w:t>
            </w:r>
          </w:p>
        </w:tc>
        <w:tc>
          <w:tcPr>
            <w:tcW w:w="0" w:type="auto"/>
          </w:tcPr>
          <w:p>
            <w:pPr>
              <w:ind w:left="142"/>
              <w:contextualSpacing/>
              <w:rPr>
                <w:rFonts w:ascii="Arial" w:hAnsi="Arial" w:cs="Arial"/>
                <w:sz w:val="20"/>
                <w:szCs w:val="20"/>
              </w:rPr>
            </w:pPr>
            <w:r>
              <w:rPr>
                <w:rFonts w:ascii="Arial" w:hAnsi="Arial" w:cs="Arial"/>
                <w:sz w:val="20"/>
                <w:szCs w:val="20"/>
              </w:rPr>
              <w:t>Multimediálny priemysel</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Škola úžitkového výtvarníctva v Košiciach</w:t>
            </w:r>
          </w:p>
        </w:tc>
        <w:tc>
          <w:tcPr>
            <w:tcW w:w="0" w:type="auto"/>
          </w:tcPr>
          <w:p>
            <w:pPr>
              <w:ind w:left="142"/>
              <w:contextualSpacing/>
              <w:rPr>
                <w:rFonts w:ascii="Arial" w:hAnsi="Arial" w:cs="Arial"/>
                <w:sz w:val="20"/>
                <w:szCs w:val="20"/>
              </w:rPr>
            </w:pPr>
            <w:r>
              <w:rPr>
                <w:rFonts w:ascii="Arial" w:hAnsi="Arial" w:cs="Arial"/>
                <w:sz w:val="20"/>
                <w:szCs w:val="20"/>
              </w:rPr>
              <w:t>Reklama a marketing, Dizajn, Umelecké vizuálne umenie</w:t>
            </w:r>
          </w:p>
        </w:tc>
      </w:tr>
      <w:tr>
        <w:trPr>
          <w:trHeight w:hRule="exact" w:val="284"/>
        </w:trPr>
        <w:tc>
          <w:tcPr>
            <w:tcW w:w="0" w:type="auto"/>
          </w:tcPr>
          <w:p>
            <w:pPr>
              <w:ind w:left="142"/>
              <w:contextualSpacing/>
              <w:rPr>
                <w:rFonts w:ascii="Arial" w:hAnsi="Arial" w:cs="Arial"/>
                <w:sz w:val="20"/>
                <w:szCs w:val="20"/>
              </w:rPr>
            </w:pPr>
            <w:r>
              <w:rPr>
                <w:rFonts w:ascii="Arial" w:hAnsi="Arial" w:cs="Arial"/>
                <w:sz w:val="20"/>
                <w:szCs w:val="20"/>
              </w:rPr>
              <w:t>Súkromná stredná umelecká škola filmová, Košice </w:t>
            </w:r>
          </w:p>
        </w:tc>
        <w:tc>
          <w:tcPr>
            <w:tcW w:w="0" w:type="auto"/>
          </w:tcPr>
          <w:p>
            <w:pPr>
              <w:ind w:left="142"/>
              <w:contextualSpacing/>
              <w:rPr>
                <w:rFonts w:ascii="Arial" w:hAnsi="Arial" w:cs="Arial"/>
                <w:sz w:val="20"/>
                <w:szCs w:val="20"/>
              </w:rPr>
            </w:pPr>
            <w:r>
              <w:rPr>
                <w:rFonts w:ascii="Arial" w:hAnsi="Arial" w:cs="Arial"/>
                <w:sz w:val="20"/>
                <w:szCs w:val="20"/>
              </w:rPr>
              <w:t xml:space="preserve">Film, </w:t>
            </w:r>
            <w:proofErr w:type="spellStart"/>
            <w:r>
              <w:rPr>
                <w:rFonts w:ascii="Arial" w:hAnsi="Arial" w:cs="Arial"/>
                <w:sz w:val="20"/>
                <w:szCs w:val="20"/>
              </w:rPr>
              <w:t>tv</w:t>
            </w:r>
            <w:proofErr w:type="spellEnd"/>
            <w:r>
              <w:rPr>
                <w:rFonts w:ascii="Arial" w:hAnsi="Arial" w:cs="Arial"/>
                <w:sz w:val="20"/>
                <w:szCs w:val="20"/>
              </w:rPr>
              <w:t>, video, rádio a fotografia, Multimediálny priemysel</w:t>
            </w:r>
          </w:p>
        </w:tc>
      </w:tr>
    </w:tbl>
    <w:p>
      <w:pPr>
        <w:spacing w:after="0"/>
        <w:jc w:val="both"/>
        <w:rPr>
          <w:rFonts w:ascii="Arial" w:hAnsi="Arial" w:cs="Arial"/>
          <w:b/>
        </w:rPr>
      </w:pPr>
    </w:p>
    <w:p>
      <w:pPr>
        <w:spacing w:after="0"/>
        <w:jc w:val="both"/>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rPr>
      </w:pPr>
      <w:r>
        <w:rPr>
          <w:rFonts w:ascii="Arial" w:hAnsi="Arial" w:cs="Arial"/>
          <w:b/>
        </w:rPr>
        <w:lastRenderedPageBreak/>
        <w:t>Príloha č. 12.26</w:t>
      </w:r>
      <w:r>
        <w:rPr>
          <w:rFonts w:ascii="Arial" w:hAnsi="Arial" w:cs="Arial"/>
        </w:rPr>
        <w:t xml:space="preserve">: </w:t>
      </w:r>
      <w:r>
        <w:rPr>
          <w:rFonts w:ascii="Arial" w:hAnsi="Arial" w:cs="Arial"/>
          <w:i/>
        </w:rPr>
        <w:t>Počet bytov na území krajov SR na základe výsledkov Sčítania obyvateľov, domov a bytov 2011</w:t>
      </w:r>
    </w:p>
    <w:p>
      <w:pPr>
        <w:rPr>
          <w:rFonts w:ascii="Arial" w:hAnsi="Arial" w:cs="Arial"/>
        </w:rPr>
      </w:pPr>
      <w:r>
        <w:rPr>
          <w:noProof/>
          <w:lang w:eastAsia="sk-SK"/>
        </w:rPr>
        <w:drawing>
          <wp:inline distT="0" distB="0" distL="0" distR="0">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pPr>
        <w:rPr>
          <w:rFonts w:ascii="Arial" w:hAnsi="Arial" w:cs="Arial"/>
          <w:i/>
        </w:rPr>
      </w:pPr>
      <w:r>
        <w:rPr>
          <w:rFonts w:ascii="Arial" w:hAnsi="Arial" w:cs="Arial"/>
          <w:i/>
        </w:rPr>
        <w:t>Zdroj: Sčítanie obyvateľov, domov a bytov 2011</w:t>
      </w: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i/>
          <w:shd w:val="clear" w:color="auto" w:fill="FFFFFF"/>
        </w:rPr>
      </w:pPr>
      <w:r>
        <w:rPr>
          <w:rFonts w:ascii="Arial" w:hAnsi="Arial" w:cs="Arial"/>
          <w:b/>
        </w:rPr>
        <w:t xml:space="preserve">Príloha č. 12.27: </w:t>
      </w:r>
      <w:r>
        <w:rPr>
          <w:rFonts w:ascii="Arial" w:hAnsi="Arial" w:cs="Arial"/>
          <w:i/>
        </w:rPr>
        <w:t xml:space="preserve">Počet </w:t>
      </w:r>
      <w:proofErr w:type="spellStart"/>
      <w:r>
        <w:rPr>
          <w:rFonts w:ascii="Arial" w:hAnsi="Arial" w:cs="Arial"/>
          <w:i/>
        </w:rPr>
        <w:t>brownfieldov</w:t>
      </w:r>
      <w:proofErr w:type="spellEnd"/>
      <w:r>
        <w:rPr>
          <w:rFonts w:ascii="Arial" w:hAnsi="Arial" w:cs="Arial"/>
          <w:i/>
        </w:rPr>
        <w:t xml:space="preserve"> a ich rozloha na základe výsledkov mapovania</w:t>
      </w:r>
      <w:r>
        <w:rPr>
          <w:rFonts w:ascii="Arial" w:hAnsi="Arial" w:cs="Arial"/>
          <w:i/>
          <w:shd w:val="clear" w:color="auto" w:fill="FFFFFF"/>
        </w:rPr>
        <w:t xml:space="preserve"> </w:t>
      </w:r>
    </w:p>
    <w:tbl>
      <w:tblPr>
        <w:tblStyle w:val="Svetlmriekazvraznenie11"/>
        <w:tblW w:w="8341" w:type="dxa"/>
        <w:tblInd w:w="108" w:type="dxa"/>
        <w:tblLook w:val="04A0" w:firstRow="1" w:lastRow="0" w:firstColumn="1" w:lastColumn="0" w:noHBand="0" w:noVBand="1"/>
      </w:tblPr>
      <w:tblGrid>
        <w:gridCol w:w="2614"/>
        <w:gridCol w:w="1618"/>
        <w:gridCol w:w="1992"/>
        <w:gridCol w:w="2117"/>
      </w:tblGrid>
      <w:tr>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auto"/>
            <w:hideMark/>
          </w:tcPr>
          <w:p>
            <w:pPr>
              <w:spacing w:after="0" w:line="240" w:lineRule="auto"/>
              <w:jc w:val="both"/>
              <w:rPr>
                <w:rFonts w:ascii="Arial" w:hAnsi="Arial" w:cs="Arial"/>
                <w:lang w:eastAsia="sk-SK"/>
              </w:rPr>
            </w:pPr>
            <w:r>
              <w:rPr>
                <w:rFonts w:ascii="Arial" w:hAnsi="Arial" w:cs="Arial"/>
                <w:lang w:eastAsia="sk-SK"/>
              </w:rPr>
              <w:t>SAMOSPRÁVNY KRAJ</w:t>
            </w:r>
          </w:p>
        </w:tc>
        <w:tc>
          <w:tcPr>
            <w:tcW w:w="5727" w:type="dxa"/>
            <w:gridSpan w:val="3"/>
            <w:shd w:val="clear" w:color="auto" w:fill="auto"/>
            <w:noWrap/>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sk-SK"/>
              </w:rPr>
            </w:pPr>
            <w:r>
              <w:rPr>
                <w:rFonts w:ascii="Arial" w:hAnsi="Arial" w:cs="Arial"/>
                <w:lang w:eastAsia="sk-SK"/>
              </w:rPr>
              <w:t>spolu</w:t>
            </w:r>
          </w:p>
        </w:tc>
      </w:tr>
      <w:tr>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4" w:type="dxa"/>
            <w:vMerge/>
            <w:shd w:val="clear" w:color="auto" w:fill="auto"/>
            <w:hideMark/>
          </w:tcPr>
          <w:p>
            <w:pPr>
              <w:spacing w:after="0" w:line="240" w:lineRule="auto"/>
              <w:jc w:val="both"/>
              <w:rPr>
                <w:rFonts w:ascii="Arial" w:hAnsi="Arial" w:cs="Arial"/>
                <w:lang w:eastAsia="sk-SK"/>
              </w:rPr>
            </w:pPr>
          </w:p>
        </w:tc>
        <w:tc>
          <w:tcPr>
            <w:tcW w:w="1618" w:type="dxa"/>
            <w:vMerge w:val="restart"/>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sk-SK"/>
              </w:rPr>
            </w:pPr>
            <w:r>
              <w:rPr>
                <w:rFonts w:ascii="Arial" w:eastAsia="Times New Roman" w:hAnsi="Arial" w:cs="Arial"/>
                <w:b/>
                <w:lang w:eastAsia="sk-SK"/>
              </w:rPr>
              <w:t>počet</w:t>
            </w:r>
          </w:p>
        </w:tc>
        <w:tc>
          <w:tcPr>
            <w:tcW w:w="4108" w:type="dxa"/>
            <w:gridSpan w:val="2"/>
            <w:shd w:val="clear" w:color="auto" w:fill="auto"/>
            <w:noWrap/>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sk-SK"/>
              </w:rPr>
            </w:pPr>
            <w:r>
              <w:rPr>
                <w:rFonts w:ascii="Arial" w:eastAsia="Times New Roman" w:hAnsi="Arial" w:cs="Arial"/>
                <w:b/>
                <w:lang w:eastAsia="sk-SK"/>
              </w:rPr>
              <w:t>rozloha</w:t>
            </w:r>
          </w:p>
        </w:tc>
      </w:tr>
      <w:tr>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614" w:type="dxa"/>
            <w:vMerge/>
            <w:shd w:val="clear" w:color="auto" w:fill="auto"/>
            <w:hideMark/>
          </w:tcPr>
          <w:p>
            <w:pPr>
              <w:spacing w:after="0" w:line="240" w:lineRule="auto"/>
              <w:jc w:val="both"/>
              <w:rPr>
                <w:rFonts w:ascii="Arial" w:hAnsi="Arial" w:cs="Arial"/>
                <w:lang w:eastAsia="sk-SK"/>
              </w:rPr>
            </w:pPr>
          </w:p>
        </w:tc>
        <w:tc>
          <w:tcPr>
            <w:tcW w:w="1618" w:type="dxa"/>
            <w:vMerge/>
            <w:shd w:val="clear" w:color="auto" w:fill="auto"/>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sk-SK"/>
              </w:rPr>
            </w:pPr>
          </w:p>
        </w:tc>
        <w:tc>
          <w:tcPr>
            <w:tcW w:w="1992"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sk-SK"/>
              </w:rPr>
            </w:pPr>
            <w:r>
              <w:rPr>
                <w:rFonts w:ascii="Arial" w:eastAsia="Times New Roman" w:hAnsi="Arial" w:cs="Arial"/>
                <w:b/>
                <w:lang w:eastAsia="sk-SK"/>
              </w:rPr>
              <w:t>ha</w:t>
            </w:r>
          </w:p>
        </w:tc>
        <w:tc>
          <w:tcPr>
            <w:tcW w:w="2116"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sk-SK"/>
              </w:rPr>
            </w:pPr>
            <w:r>
              <w:rPr>
                <w:rFonts w:ascii="Arial" w:eastAsia="Times New Roman" w:hAnsi="Arial" w:cs="Arial"/>
                <w:b/>
                <w:lang w:eastAsia="sk-SK"/>
              </w:rPr>
              <w:t>%</w:t>
            </w:r>
          </w:p>
        </w:tc>
      </w:tr>
      <w:tr>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Bratislavský</w:t>
            </w:r>
          </w:p>
        </w:tc>
        <w:tc>
          <w:tcPr>
            <w:tcW w:w="161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3</w:t>
            </w:r>
          </w:p>
        </w:tc>
        <w:tc>
          <w:tcPr>
            <w:tcW w:w="1992"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7,8</w:t>
            </w:r>
          </w:p>
        </w:tc>
        <w:tc>
          <w:tcPr>
            <w:tcW w:w="2116"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0,4</w:t>
            </w:r>
          </w:p>
        </w:tc>
      </w:tr>
      <w:tr>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Trnavský</w:t>
            </w:r>
          </w:p>
        </w:tc>
        <w:tc>
          <w:tcPr>
            <w:tcW w:w="161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28</w:t>
            </w:r>
          </w:p>
        </w:tc>
        <w:tc>
          <w:tcPr>
            <w:tcW w:w="1992"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138,7</w:t>
            </w:r>
          </w:p>
        </w:tc>
        <w:tc>
          <w:tcPr>
            <w:tcW w:w="2116"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8,0</w:t>
            </w:r>
          </w:p>
        </w:tc>
      </w:tr>
      <w:tr>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Nitriansky</w:t>
            </w:r>
          </w:p>
        </w:tc>
        <w:tc>
          <w:tcPr>
            <w:tcW w:w="161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89</w:t>
            </w:r>
          </w:p>
        </w:tc>
        <w:tc>
          <w:tcPr>
            <w:tcW w:w="1992"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244,7</w:t>
            </w:r>
          </w:p>
        </w:tc>
        <w:tc>
          <w:tcPr>
            <w:tcW w:w="2116"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14,1</w:t>
            </w:r>
          </w:p>
        </w:tc>
      </w:tr>
      <w:tr>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Trenčiansky</w:t>
            </w:r>
          </w:p>
        </w:tc>
        <w:tc>
          <w:tcPr>
            <w:tcW w:w="161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77</w:t>
            </w:r>
          </w:p>
        </w:tc>
        <w:tc>
          <w:tcPr>
            <w:tcW w:w="1992"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150,8</w:t>
            </w:r>
          </w:p>
        </w:tc>
        <w:tc>
          <w:tcPr>
            <w:tcW w:w="2116"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8,7</w:t>
            </w:r>
          </w:p>
        </w:tc>
      </w:tr>
      <w:tr>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Žilinský</w:t>
            </w:r>
          </w:p>
        </w:tc>
        <w:tc>
          <w:tcPr>
            <w:tcW w:w="161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187</w:t>
            </w:r>
          </w:p>
        </w:tc>
        <w:tc>
          <w:tcPr>
            <w:tcW w:w="1992"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297,8</w:t>
            </w:r>
          </w:p>
        </w:tc>
        <w:tc>
          <w:tcPr>
            <w:tcW w:w="2116"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17,2</w:t>
            </w:r>
          </w:p>
        </w:tc>
      </w:tr>
      <w:tr>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Banskobystrický</w:t>
            </w:r>
          </w:p>
        </w:tc>
        <w:tc>
          <w:tcPr>
            <w:tcW w:w="161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86</w:t>
            </w:r>
          </w:p>
        </w:tc>
        <w:tc>
          <w:tcPr>
            <w:tcW w:w="1992"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255,2</w:t>
            </w:r>
          </w:p>
        </w:tc>
        <w:tc>
          <w:tcPr>
            <w:tcW w:w="2116"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14,7</w:t>
            </w:r>
          </w:p>
        </w:tc>
      </w:tr>
      <w:tr>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Prešovský</w:t>
            </w:r>
          </w:p>
        </w:tc>
        <w:tc>
          <w:tcPr>
            <w:tcW w:w="161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89</w:t>
            </w:r>
          </w:p>
        </w:tc>
        <w:tc>
          <w:tcPr>
            <w:tcW w:w="1992"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254,6</w:t>
            </w:r>
          </w:p>
        </w:tc>
        <w:tc>
          <w:tcPr>
            <w:tcW w:w="2116"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14,7</w:t>
            </w:r>
          </w:p>
        </w:tc>
      </w:tr>
      <w:tr>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lang w:eastAsia="sk-SK"/>
              </w:rPr>
            </w:pPr>
            <w:r>
              <w:rPr>
                <w:rFonts w:ascii="Arial" w:hAnsi="Arial" w:cs="Arial"/>
                <w:lang w:eastAsia="sk-SK"/>
              </w:rPr>
              <w:t>Košický</w:t>
            </w:r>
          </w:p>
        </w:tc>
        <w:tc>
          <w:tcPr>
            <w:tcW w:w="1618"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104</w:t>
            </w:r>
          </w:p>
        </w:tc>
        <w:tc>
          <w:tcPr>
            <w:tcW w:w="1992"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386,8</w:t>
            </w:r>
          </w:p>
        </w:tc>
        <w:tc>
          <w:tcPr>
            <w:tcW w:w="2116" w:type="dxa"/>
            <w:shd w:val="clear" w:color="auto" w:fill="auto"/>
            <w:noWrap/>
            <w:hideMark/>
          </w:tcPr>
          <w:p>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sk-SK"/>
              </w:rPr>
            </w:pPr>
            <w:r>
              <w:rPr>
                <w:rFonts w:ascii="Arial" w:eastAsia="Times New Roman" w:hAnsi="Arial" w:cs="Arial"/>
                <w:lang w:eastAsia="sk-SK"/>
              </w:rPr>
              <w:t>22,3</w:t>
            </w:r>
          </w:p>
        </w:tc>
      </w:tr>
      <w:tr>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14" w:type="dxa"/>
            <w:shd w:val="clear" w:color="auto" w:fill="auto"/>
            <w:noWrap/>
            <w:hideMark/>
          </w:tcPr>
          <w:p>
            <w:pPr>
              <w:spacing w:after="0" w:line="240" w:lineRule="auto"/>
              <w:jc w:val="both"/>
              <w:rPr>
                <w:rFonts w:ascii="Arial" w:hAnsi="Arial" w:cs="Arial"/>
                <w:b w:val="0"/>
                <w:bCs w:val="0"/>
                <w:lang w:eastAsia="sk-SK"/>
              </w:rPr>
            </w:pPr>
            <w:r>
              <w:rPr>
                <w:rFonts w:ascii="Arial" w:hAnsi="Arial" w:cs="Arial"/>
                <w:lang w:eastAsia="sk-SK"/>
              </w:rPr>
              <w:t>SPOLU</w:t>
            </w:r>
          </w:p>
        </w:tc>
        <w:tc>
          <w:tcPr>
            <w:tcW w:w="1618"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sk-SK"/>
              </w:rPr>
            </w:pPr>
            <w:r>
              <w:rPr>
                <w:rFonts w:ascii="Arial" w:eastAsia="Times New Roman" w:hAnsi="Arial" w:cs="Arial"/>
                <w:b/>
                <w:bCs/>
                <w:lang w:eastAsia="sk-SK"/>
              </w:rPr>
              <w:t>663</w:t>
            </w:r>
          </w:p>
        </w:tc>
        <w:tc>
          <w:tcPr>
            <w:tcW w:w="1992"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sk-SK"/>
              </w:rPr>
            </w:pPr>
            <w:r>
              <w:rPr>
                <w:rFonts w:ascii="Arial" w:eastAsia="Times New Roman" w:hAnsi="Arial" w:cs="Arial"/>
                <w:b/>
                <w:bCs/>
                <w:lang w:eastAsia="sk-SK"/>
              </w:rPr>
              <w:t>1 736,3</w:t>
            </w:r>
          </w:p>
        </w:tc>
        <w:tc>
          <w:tcPr>
            <w:tcW w:w="2116" w:type="dxa"/>
            <w:shd w:val="clear" w:color="auto" w:fill="auto"/>
            <w:noWrap/>
            <w:hideMark/>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sk-SK"/>
              </w:rPr>
            </w:pPr>
            <w:r>
              <w:rPr>
                <w:rFonts w:ascii="Arial" w:eastAsia="Times New Roman" w:hAnsi="Arial" w:cs="Arial"/>
                <w:b/>
                <w:bCs/>
                <w:lang w:eastAsia="sk-SK"/>
              </w:rPr>
              <w:t>100,0</w:t>
            </w:r>
          </w:p>
        </w:tc>
      </w:tr>
    </w:tbl>
    <w:p>
      <w:pPr>
        <w:spacing w:before="120" w:after="0"/>
        <w:rPr>
          <w:rFonts w:ascii="Arial" w:hAnsi="Arial" w:cs="Arial"/>
          <w:i/>
          <w:sz w:val="20"/>
          <w:szCs w:val="20"/>
          <w:shd w:val="clear" w:color="auto" w:fill="FFFFFF"/>
        </w:rPr>
      </w:pPr>
      <w:r>
        <w:rPr>
          <w:rFonts w:ascii="Arial" w:hAnsi="Arial" w:cs="Arial"/>
          <w:i/>
          <w:sz w:val="20"/>
          <w:szCs w:val="20"/>
          <w:shd w:val="clear" w:color="auto" w:fill="FFFFFF"/>
        </w:rPr>
        <w:t>Zdroj: SARIO, 2009</w:t>
      </w:r>
    </w:p>
    <w:p>
      <w:pPr>
        <w:jc w:val="both"/>
        <w:rPr>
          <w:rFonts w:ascii="Arial" w:hAnsi="Arial" w:cs="Arial"/>
        </w:rPr>
      </w:pPr>
      <w:r>
        <w:rPr>
          <w:rFonts w:ascii="Arial" w:hAnsi="Arial" w:cs="Arial"/>
        </w:rPr>
        <w:t xml:space="preserve"> </w:t>
      </w: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p>
    <w:p>
      <w:pPr>
        <w:spacing w:after="0"/>
        <w:jc w:val="both"/>
        <w:rPr>
          <w:rFonts w:ascii="Arial" w:hAnsi="Arial" w:cs="Arial"/>
          <w:b/>
        </w:rPr>
      </w:pPr>
    </w:p>
    <w:p>
      <w:pPr>
        <w:spacing w:after="0" w:line="360" w:lineRule="auto"/>
        <w:jc w:val="both"/>
        <w:rPr>
          <w:rFonts w:ascii="Arial" w:hAnsi="Arial" w:cs="Arial"/>
          <w:b/>
        </w:rPr>
      </w:pPr>
      <w:r>
        <w:rPr>
          <w:rFonts w:ascii="Arial" w:hAnsi="Arial" w:cs="Arial"/>
          <w:b/>
        </w:rPr>
        <w:lastRenderedPageBreak/>
        <w:t xml:space="preserve">Príloha č. 12.28 </w:t>
      </w:r>
      <w:r>
        <w:rPr>
          <w:rFonts w:ascii="Arial" w:hAnsi="Arial" w:cs="Arial"/>
          <w:i/>
        </w:rPr>
        <w:t>Skúsenosti z programového obdobia 2007 - 2013</w:t>
      </w:r>
    </w:p>
    <w:p>
      <w:pPr>
        <w:spacing w:after="0" w:line="360" w:lineRule="auto"/>
        <w:jc w:val="both"/>
        <w:rPr>
          <w:rFonts w:ascii="Arial" w:hAnsi="Arial" w:cs="Arial"/>
        </w:rPr>
      </w:pPr>
    </w:p>
    <w:p>
      <w:pPr>
        <w:spacing w:after="0"/>
        <w:jc w:val="center"/>
        <w:rPr>
          <w:rFonts w:ascii="Arial" w:hAnsi="Arial" w:cs="Arial"/>
          <w:b/>
        </w:rPr>
      </w:pPr>
      <w:r>
        <w:rPr>
          <w:rFonts w:ascii="Arial" w:hAnsi="Arial" w:cs="Arial"/>
          <w:b/>
          <w:i/>
        </w:rPr>
        <w:t>Skúsenosti z programového obdobia 2007 - 2013</w:t>
      </w:r>
    </w:p>
    <w:p>
      <w:pPr>
        <w:spacing w:before="240"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pPr>
        <w:spacing w:after="0"/>
        <w:jc w:val="both"/>
        <w:rPr>
          <w:rFonts w:ascii="Arial" w:hAnsi="Arial" w:cs="Arial"/>
        </w:rPr>
      </w:pPr>
    </w:p>
    <w:p>
      <w:pPr>
        <w:spacing w:after="0"/>
        <w:jc w:val="both"/>
        <w:rPr>
          <w:rFonts w:ascii="Arial" w:hAnsi="Arial" w:cs="Arial"/>
        </w:rPr>
      </w:pPr>
      <w:r>
        <w:rPr>
          <w:rFonts w:ascii="Arial" w:hAnsi="Arial" w:cs="Arial"/>
        </w:rPr>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pPr>
        <w:spacing w:after="0"/>
        <w:jc w:val="both"/>
        <w:rPr>
          <w:rFonts w:ascii="Arial" w:hAnsi="Arial" w:cs="Arial"/>
        </w:rPr>
      </w:pPr>
    </w:p>
    <w:p>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pPr>
        <w:spacing w:after="0"/>
        <w:jc w:val="both"/>
        <w:rPr>
          <w:rFonts w:ascii="Arial" w:hAnsi="Arial" w:cs="Arial"/>
        </w:rPr>
      </w:pPr>
    </w:p>
    <w:p>
      <w:pPr>
        <w:spacing w:after="0"/>
        <w:jc w:val="both"/>
        <w:rPr>
          <w:rFonts w:ascii="Arial" w:hAnsi="Arial" w:cs="Arial"/>
        </w:rPr>
      </w:pPr>
      <w:r>
        <w:rPr>
          <w:rFonts w:ascii="Arial" w:hAnsi="Arial" w:cs="Arial"/>
        </w:rPr>
        <w:t>Realizáciu ROP však ovplyvnil aj rad faktorov, a to najmä:</w:t>
      </w:r>
    </w:p>
    <w:p>
      <w:pPr>
        <w:spacing w:after="0"/>
        <w:jc w:val="both"/>
        <w:rPr>
          <w:rFonts w:ascii="Arial" w:hAnsi="Arial" w:cs="Arial"/>
        </w:rPr>
      </w:pPr>
      <w:r>
        <w:rPr>
          <w:rFonts w:ascii="Arial" w:hAnsi="Arial" w:cs="Arial"/>
        </w:rPr>
        <w:t>Externé faktory:</w:t>
      </w:r>
    </w:p>
    <w:p>
      <w:pPr>
        <w:numPr>
          <w:ilvl w:val="0"/>
          <w:numId w:val="75"/>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pPr>
        <w:numPr>
          <w:ilvl w:val="0"/>
          <w:numId w:val="75"/>
        </w:numPr>
        <w:spacing w:after="0"/>
        <w:jc w:val="both"/>
        <w:rPr>
          <w:rFonts w:ascii="Arial" w:hAnsi="Arial" w:cs="Arial"/>
        </w:rPr>
      </w:pPr>
      <w:r>
        <w:rPr>
          <w:rFonts w:ascii="Arial" w:hAnsi="Arial" w:cs="Arial"/>
        </w:rPr>
        <w:t xml:space="preserve">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vyhlásené zákonom č. 27/2009 Z. z., zmeny  v oblasti poskytovania sociálnych </w:t>
      </w:r>
      <w:r>
        <w:rPr>
          <w:rFonts w:ascii="Arial" w:hAnsi="Arial" w:cs="Arial"/>
        </w:rPr>
        <w:lastRenderedPageBreak/>
        <w:t>služieb v </w:t>
      </w:r>
      <w:proofErr w:type="spellStart"/>
      <w:r>
        <w:rPr>
          <w:rFonts w:ascii="Arial" w:hAnsi="Arial" w:cs="Arial"/>
        </w:rPr>
        <w:t>nadvänosti</w:t>
      </w:r>
      <w:proofErr w:type="spellEnd"/>
      <w:r>
        <w:rPr>
          <w:rFonts w:ascii="Arial" w:hAnsi="Arial" w:cs="Arial"/>
        </w:rPr>
        <w:t xml:space="preserve"> na  zákon č. 448/2008 </w:t>
      </w:r>
      <w:proofErr w:type="spellStart"/>
      <w:r>
        <w:rPr>
          <w:rFonts w:ascii="Arial" w:hAnsi="Arial" w:cs="Arial"/>
        </w:rPr>
        <w:t>Z.z</w:t>
      </w:r>
      <w:proofErr w:type="spellEnd"/>
      <w:r>
        <w:rPr>
          <w:rFonts w:ascii="Arial" w:hAnsi="Arial" w:cs="Arial"/>
        </w:rPr>
        <w:t xml:space="preserve">. o sociálnych službách a o zmene a doplnení zákona č. 455/1991 Zb. o živnostenskom podnikaní (živnostenský zákon) v znení neskorších predpisov, ktorý nahradil  zákon č. 195/1998 </w:t>
      </w:r>
      <w:proofErr w:type="spellStart"/>
      <w:r>
        <w:rPr>
          <w:rFonts w:ascii="Arial" w:hAnsi="Arial" w:cs="Arial"/>
        </w:rPr>
        <w:t>Z.z</w:t>
      </w:r>
      <w:proofErr w:type="spellEnd"/>
      <w:r>
        <w:rPr>
          <w:rFonts w:ascii="Arial" w:hAnsi="Arial" w:cs="Arial"/>
        </w:rPr>
        <w:t xml:space="preserve">. o sociálnej pomoci apod. </w:t>
      </w:r>
    </w:p>
    <w:p>
      <w:pPr>
        <w:spacing w:after="0"/>
        <w:jc w:val="both"/>
        <w:rPr>
          <w:rFonts w:ascii="Arial" w:hAnsi="Arial" w:cs="Arial"/>
        </w:rPr>
      </w:pPr>
    </w:p>
    <w:p>
      <w:pPr>
        <w:spacing w:after="0"/>
        <w:jc w:val="both"/>
        <w:rPr>
          <w:rFonts w:ascii="Arial" w:hAnsi="Arial" w:cs="Arial"/>
        </w:rPr>
      </w:pPr>
      <w:r>
        <w:rPr>
          <w:rFonts w:ascii="Arial" w:hAnsi="Arial" w:cs="Arial"/>
        </w:rPr>
        <w:t>Interné faktory:</w:t>
      </w:r>
    </w:p>
    <w:p>
      <w:pPr>
        <w:numPr>
          <w:ilvl w:val="0"/>
          <w:numId w:val="75"/>
        </w:numPr>
        <w:spacing w:after="0"/>
        <w:jc w:val="both"/>
        <w:rPr>
          <w:rFonts w:ascii="Arial" w:hAnsi="Arial" w:cs="Arial"/>
        </w:rPr>
      </w:pPr>
      <w:proofErr w:type="spellStart"/>
      <w:r>
        <w:rPr>
          <w:rFonts w:ascii="Arial" w:hAnsi="Arial" w:cs="Arial"/>
        </w:rPr>
        <w:t>Nadschválenie</w:t>
      </w:r>
      <w:proofErr w:type="spellEnd"/>
      <w:r>
        <w:rPr>
          <w:rFonts w:ascii="Arial" w:hAnsi="Arial" w:cs="Arial"/>
        </w:rPr>
        <w:t xml:space="preserve"> finančných prostriedkov v niektorých oblastiach podpory ROP - v priebehu roka 2009 (vzhľadom na zmenu priorít v dôsledku dopadov globálnej krízy) RO pre ROP umožnil „</w:t>
      </w:r>
      <w:proofErr w:type="spellStart"/>
      <w:r>
        <w:rPr>
          <w:rFonts w:ascii="Arial" w:hAnsi="Arial" w:cs="Arial"/>
        </w:rPr>
        <w:t>nadschválenie</w:t>
      </w:r>
      <w:proofErr w:type="spellEnd"/>
      <w:r>
        <w:rPr>
          <w:rFonts w:ascii="Arial" w:hAnsi="Arial" w:cs="Arial"/>
        </w:rPr>
        <w:t xml:space="preserv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pPr>
        <w:numPr>
          <w:ilvl w:val="0"/>
          <w:numId w:val="75"/>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pPr>
        <w:spacing w:after="0"/>
        <w:ind w:left="720"/>
        <w:jc w:val="both"/>
        <w:rPr>
          <w:rFonts w:ascii="Arial" w:hAnsi="Arial" w:cs="Arial"/>
        </w:rPr>
      </w:pPr>
    </w:p>
    <w:p>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pPr>
        <w:spacing w:after="0"/>
        <w:jc w:val="both"/>
        <w:rPr>
          <w:rFonts w:ascii="Arial" w:hAnsi="Arial" w:cs="Arial"/>
        </w:rPr>
      </w:pPr>
    </w:p>
    <w:p>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w:t>
      </w:r>
      <w:proofErr w:type="spellStart"/>
      <w:r>
        <w:rPr>
          <w:rFonts w:ascii="Arial" w:hAnsi="Arial" w:cs="Arial"/>
        </w:rPr>
        <w:t>mld</w:t>
      </w:r>
      <w:proofErr w:type="spellEnd"/>
      <w:r>
        <w:rPr>
          <w:rFonts w:ascii="Arial" w:hAnsi="Arial" w:cs="Arial"/>
        </w:rPr>
        <w:t xml:space="preserve"> Eur (výška </w:t>
      </w:r>
      <w:r>
        <w:rPr>
          <w:rFonts w:ascii="Arial" w:hAnsi="Arial" w:cs="Arial"/>
        </w:rPr>
        <w:lastRenderedPageBreak/>
        <w:t xml:space="preserve">žiadaného príspevku) a </w:t>
      </w:r>
      <w:proofErr w:type="spellStart"/>
      <w:r>
        <w:rPr>
          <w:rFonts w:ascii="Arial" w:hAnsi="Arial" w:cs="Arial"/>
        </w:rPr>
        <w:t>zazmluvnených</w:t>
      </w:r>
      <w:proofErr w:type="spellEnd"/>
      <w:r>
        <w:rPr>
          <w:rFonts w:ascii="Arial" w:hAnsi="Arial" w:cs="Arial"/>
        </w:rPr>
        <w:t xml:space="preserve">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pPr>
        <w:pStyle w:val="Odsekzoznamu"/>
        <w:numPr>
          <w:ilvl w:val="0"/>
          <w:numId w:val="76"/>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pPr>
        <w:pStyle w:val="Default"/>
        <w:spacing w:line="276" w:lineRule="auto"/>
        <w:jc w:val="both"/>
        <w:rPr>
          <w:rFonts w:ascii="Arial" w:hAnsi="Arial" w:cs="Arial"/>
          <w:color w:val="auto"/>
          <w:sz w:val="22"/>
          <w:szCs w:val="22"/>
        </w:rPr>
      </w:pPr>
    </w:p>
    <w:p>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w:t>
      </w:r>
      <w:proofErr w:type="spellStart"/>
      <w:r>
        <w:rPr>
          <w:rFonts w:ascii="Arial" w:hAnsi="Arial" w:cs="Arial"/>
        </w:rPr>
        <w:t>zamestnateľnosti</w:t>
      </w:r>
      <w:proofErr w:type="spellEnd"/>
      <w:r>
        <w:rPr>
          <w:rFonts w:ascii="Arial" w:hAnsi="Arial" w:cs="Arial"/>
        </w:rPr>
        <w:t xml:space="preserve"> profesionálnych rodičov a Podpora deinštitucionalizácie náhradnej starostlivosti a niekoľkými cielenými </w:t>
      </w:r>
      <w:proofErr w:type="spellStart"/>
      <w:r>
        <w:rPr>
          <w:rFonts w:ascii="Arial" w:hAnsi="Arial" w:cs="Arial"/>
        </w:rPr>
        <w:t>dopytovo-orientovanými</w:t>
      </w:r>
      <w:proofErr w:type="spellEnd"/>
      <w:r>
        <w:rPr>
          <w:rFonts w:ascii="Arial" w:hAnsi="Arial" w:cs="Arial"/>
        </w:rPr>
        <w:t xml:space="preserve"> výzvami (OP Zamestnanosť a sociálna inklúzia). Realizáciou aktivít z uvedených projektov </w:t>
      </w:r>
      <w:r>
        <w:rPr>
          <w:rFonts w:ascii="Arial" w:hAnsi="Arial" w:cs="Arial"/>
        </w:rPr>
        <w:lastRenderedPageBreak/>
        <w:t xml:space="preserve">výraznou mierou prispeli k úspešnej príprave a realizácii projektov Ústredia práce, sociálnych vecí a rodiny z Regionálneho operačného programu v prospech Detského domova Kremnica, Detského domova Veľké Kapušany, Detského domova Ružomberok a pod. </w:t>
      </w:r>
    </w:p>
    <w:p>
      <w:pPr>
        <w:spacing w:after="0"/>
        <w:jc w:val="both"/>
        <w:rPr>
          <w:rFonts w:ascii="Arial" w:hAnsi="Arial" w:cs="Arial"/>
        </w:rPr>
      </w:pPr>
    </w:p>
    <w:p>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pPr>
        <w:spacing w:after="0"/>
        <w:jc w:val="both"/>
        <w:rPr>
          <w:rFonts w:ascii="Arial" w:hAnsi="Arial" w:cs="Arial"/>
        </w:rPr>
      </w:pPr>
    </w:p>
    <w:p>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w:t>
      </w:r>
      <w:proofErr w:type="spellStart"/>
      <w:r>
        <w:rPr>
          <w:rFonts w:ascii="Arial" w:hAnsi="Arial" w:cs="Arial"/>
          <w:color w:val="auto"/>
          <w:sz w:val="22"/>
          <w:szCs w:val="22"/>
        </w:rPr>
        <w:t>cyklopruhov</w:t>
      </w:r>
      <w:proofErr w:type="spellEnd"/>
      <w:r>
        <w:rPr>
          <w:rFonts w:ascii="Arial" w:hAnsi="Arial" w:cs="Arial"/>
          <w:color w:val="auto"/>
          <w:sz w:val="22"/>
          <w:szCs w:val="22"/>
        </w:rPr>
        <w:t>.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w:t>
      </w:r>
      <w:proofErr w:type="spellStart"/>
      <w:r>
        <w:rPr>
          <w:rFonts w:ascii="Arial" w:hAnsi="Arial" w:cs="Arial"/>
        </w:rPr>
        <w:t>Kulturpark</w:t>
      </w:r>
      <w:proofErr w:type="spellEnd"/>
      <w:r>
        <w:rPr>
          <w:rFonts w:ascii="Arial" w:hAnsi="Arial" w:cs="Arial"/>
        </w:rPr>
        <w:t>, ktorý predstavuje profesionálne multifunkčné kultúrne centrum, ktoré má potenciál stimulovania zamestnanosti v KKS. V podmienkach SR je to zatiaľ jediné kreatívne centrum takého typu.</w:t>
      </w:r>
    </w:p>
    <w:p>
      <w:pPr>
        <w:spacing w:after="0"/>
        <w:jc w:val="both"/>
        <w:rPr>
          <w:rFonts w:ascii="Arial" w:hAnsi="Arial" w:cs="Arial"/>
        </w:rPr>
      </w:pPr>
    </w:p>
    <w:p>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z najmenších OP programového obdobia 2007-2013, ide však o </w:t>
      </w:r>
      <w:proofErr w:type="spellStart"/>
      <w:r>
        <w:rPr>
          <w:rFonts w:ascii="Arial" w:hAnsi="Arial" w:cs="Arial"/>
          <w:color w:val="auto"/>
          <w:sz w:val="22"/>
          <w:szCs w:val="22"/>
        </w:rPr>
        <w:t>multi-sektorový</w:t>
      </w:r>
      <w:proofErr w:type="spellEnd"/>
      <w:r>
        <w:rPr>
          <w:rFonts w:ascii="Arial" w:hAnsi="Arial" w:cs="Arial"/>
          <w:color w:val="auto"/>
          <w:sz w:val="22"/>
          <w:szCs w:val="22"/>
        </w:rPr>
        <w:t xml:space="preserve"> program zameraný na podporu subjektov verejného aj súkromného sektora prostredníctvom realizácie v oblasti regionálnej infraštruktúry, vedomostnej ekonomiky, informatizácie verejnej správy a podpory </w:t>
      </w:r>
      <w:proofErr w:type="spellStart"/>
      <w:r>
        <w:rPr>
          <w:rFonts w:ascii="Arial" w:hAnsi="Arial" w:cs="Arial"/>
          <w:color w:val="auto"/>
          <w:sz w:val="22"/>
          <w:szCs w:val="22"/>
        </w:rPr>
        <w:t>mikro</w:t>
      </w:r>
      <w:proofErr w:type="spellEnd"/>
      <w:r>
        <w:rPr>
          <w:rFonts w:ascii="Arial" w:hAnsi="Arial" w:cs="Arial"/>
          <w:color w:val="auto"/>
          <w:sz w:val="22"/>
          <w:szCs w:val="22"/>
        </w:rPr>
        <w:t xml:space="preserve">,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w:t>
      </w:r>
      <w:r>
        <w:rPr>
          <w:rFonts w:ascii="Arial" w:hAnsi="Arial" w:cs="Arial"/>
          <w:color w:val="auto"/>
          <w:sz w:val="22"/>
          <w:szCs w:val="22"/>
        </w:rPr>
        <w:lastRenderedPageBreak/>
        <w:t xml:space="preserve">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pPr>
        <w:pStyle w:val="Default"/>
        <w:spacing w:line="276" w:lineRule="auto"/>
        <w:jc w:val="both"/>
        <w:rPr>
          <w:rFonts w:ascii="Arial" w:hAnsi="Arial" w:cs="Arial"/>
          <w:color w:val="auto"/>
          <w:sz w:val="22"/>
          <w:szCs w:val="22"/>
        </w:rPr>
      </w:pPr>
    </w:p>
    <w:p>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pPr>
        <w:pStyle w:val="Default"/>
        <w:spacing w:line="276" w:lineRule="auto"/>
        <w:jc w:val="both"/>
        <w:rPr>
          <w:rFonts w:ascii="Arial" w:hAnsi="Arial" w:cs="Arial"/>
          <w:color w:val="auto"/>
          <w:sz w:val="22"/>
          <w:szCs w:val="22"/>
        </w:rPr>
      </w:pPr>
    </w:p>
    <w:p>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 xml:space="preserve">V maximálnej možnej miere využívať princíp vyváženého partnerstva už od úrovne prípravy dokumentu, nakoľko IROP bude mať </w:t>
      </w:r>
      <w:proofErr w:type="spellStart"/>
      <w:r>
        <w:rPr>
          <w:rFonts w:ascii="Arial" w:hAnsi="Arial" w:cs="Arial"/>
          <w:color w:val="auto"/>
          <w:sz w:val="22"/>
          <w:szCs w:val="22"/>
        </w:rPr>
        <w:t>medzisektorové</w:t>
      </w:r>
      <w:proofErr w:type="spellEnd"/>
      <w:r>
        <w:rPr>
          <w:rFonts w:ascii="Arial" w:hAnsi="Arial" w:cs="Arial"/>
          <w:color w:val="auto"/>
          <w:sz w:val="22"/>
          <w:szCs w:val="22"/>
        </w:rPr>
        <w:t xml:space="preserve"> zameranie a bude aplikovať územný princíp.</w:t>
      </w:r>
    </w:p>
    <w:p>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w:t>
      </w:r>
      <w:proofErr w:type="spellStart"/>
      <w:r>
        <w:rPr>
          <w:rFonts w:ascii="Arial" w:hAnsi="Arial" w:cs="Arial"/>
          <w:color w:val="auto"/>
          <w:sz w:val="22"/>
          <w:szCs w:val="22"/>
        </w:rPr>
        <w:t>diapazón</w:t>
      </w:r>
      <w:proofErr w:type="spellEnd"/>
      <w:r>
        <w:rPr>
          <w:rFonts w:ascii="Arial" w:hAnsi="Arial" w:cs="Arial"/>
          <w:color w:val="auto"/>
          <w:sz w:val="22"/>
          <w:szCs w:val="22"/>
        </w:rPr>
        <w:t xml:space="preserve">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pPr>
        <w:pStyle w:val="Default"/>
        <w:numPr>
          <w:ilvl w:val="0"/>
          <w:numId w:val="75"/>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pPr>
        <w:pStyle w:val="Default"/>
        <w:spacing w:line="276" w:lineRule="auto"/>
        <w:jc w:val="both"/>
        <w:rPr>
          <w:rFonts w:ascii="Arial" w:hAnsi="Arial" w:cs="Arial"/>
          <w:color w:val="auto"/>
          <w:sz w:val="22"/>
          <w:szCs w:val="22"/>
        </w:rPr>
      </w:pPr>
    </w:p>
    <w:p>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pPr>
        <w:spacing w:after="0"/>
        <w:jc w:val="both"/>
        <w:rPr>
          <w:rFonts w:ascii="Arial" w:hAnsi="Arial" w:cs="Arial"/>
        </w:rPr>
      </w:pPr>
    </w:p>
    <w:p>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pPr>
        <w:pStyle w:val="Odsekzoznamu"/>
        <w:ind w:left="0"/>
        <w:jc w:val="both"/>
        <w:rPr>
          <w:rFonts w:ascii="Arial" w:hAnsi="Arial" w:cs="Arial"/>
        </w:rPr>
      </w:pPr>
      <w:r>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w:t>
      </w:r>
      <w:r>
        <w:rPr>
          <w:rFonts w:ascii="Arial" w:hAnsi="Arial" w:cs="Arial"/>
        </w:rPr>
        <w:lastRenderedPageBreak/>
        <w:t>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Pr>
          <w:rFonts w:ascii="Arial" w:hAnsi="Arial" w:cs="Arial"/>
          <w:vertAlign w:val="superscript"/>
        </w:rPr>
        <w:footnoteReference w:id="65"/>
      </w:r>
      <w:r>
        <w:rPr>
          <w:rFonts w:ascii="Arial" w:hAnsi="Arial" w:cs="Arial"/>
        </w:rPr>
        <w:t>.</w:t>
      </w:r>
    </w:p>
    <w:p>
      <w:pPr>
        <w:jc w:val="both"/>
        <w:rPr>
          <w:rFonts w:ascii="Arial" w:hAnsi="Arial" w:cs="Arial"/>
          <w:u w:val="single"/>
        </w:rPr>
      </w:pPr>
      <w:r>
        <w:rPr>
          <w:rFonts w:ascii="Arial" w:hAnsi="Arial" w:cs="Arial"/>
          <w:u w:val="single"/>
        </w:rPr>
        <w:t>Oblasť podpory kultúrneho a kreatívneho priemyslu</w:t>
      </w:r>
    </w:p>
    <w:p>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Pr>
          <w:rFonts w:ascii="Arial" w:hAnsi="Arial" w:cs="Arial"/>
          <w:b/>
        </w:rPr>
        <w:t>digitalizácie kultúrneho dedičstva</w:t>
      </w:r>
      <w:r>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pPr>
        <w:spacing w:after="0"/>
        <w:jc w:val="both"/>
        <w:rPr>
          <w:rFonts w:ascii="Arial" w:hAnsi="Arial" w:cs="Arial"/>
          <w:b/>
        </w:rPr>
      </w:pPr>
      <w:r>
        <w:rPr>
          <w:rFonts w:ascii="Arial" w:hAnsi="Arial" w:cs="Arial"/>
        </w:rPr>
        <w:t xml:space="preserve">Ďalšie významné opatrenia realizované v rámci PO 7 </w:t>
      </w:r>
      <w:r>
        <w:rPr>
          <w:rFonts w:ascii="Arial" w:hAnsi="Arial" w:cs="Arial"/>
          <w:b/>
        </w:rPr>
        <w:t>Košice – Európske hlavné mesto kultúry (EHMK)</w:t>
      </w:r>
      <w:r>
        <w:rPr>
          <w:rFonts w:ascii="Arial" w:hAnsi="Arial" w:cs="Arial"/>
        </w:rPr>
        <w:t xml:space="preserve"> umožnili vznik 20 projektov v oblasti kultúrnej infraštruktúry a  opatrení </w:t>
      </w:r>
      <w:r>
        <w:rPr>
          <w:rFonts w:ascii="Arial" w:hAnsi="Arial" w:cs="Arial"/>
        </w:rPr>
        <w:br/>
        <w:t xml:space="preserve">v  oblasti rozvoja kultúry a prístupu k nej. V období 2014 – 2020 je v Košickom kraji možné veľmi dobre nadviazať na tieto aktivity s cieľom zamestnanosti v KKS. Významný sa v tomto zmysle javí predovšetkým projekt Kasárne </w:t>
      </w:r>
      <w:proofErr w:type="spellStart"/>
      <w:r>
        <w:rPr>
          <w:rFonts w:ascii="Arial" w:hAnsi="Arial" w:cs="Arial"/>
        </w:rPr>
        <w:t>Kulturpark</w:t>
      </w:r>
      <w:proofErr w:type="spellEnd"/>
      <w:r>
        <w:rPr>
          <w:rFonts w:ascii="Arial" w:hAnsi="Arial" w:cs="Arial"/>
        </w:rPr>
        <w:t>,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sect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altName w:val="Century Gothic"/>
    <w:panose1 w:val="020B05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Helvetica">
    <w:panose1 w:val="020B060402020203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ta"/>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Content>
      <w:p>
        <w:pPr>
          <w:pStyle w:val="Pta"/>
          <w:jc w:val="right"/>
        </w:pPr>
        <w:r>
          <w:fldChar w:fldCharType="begin"/>
        </w:r>
        <w:r>
          <w:instrText>PAGE   \* MERGEFORMAT</w:instrText>
        </w:r>
        <w:r>
          <w:fldChar w:fldCharType="separate"/>
        </w:r>
        <w:r>
          <w:rPr>
            <w:noProof/>
          </w:rPr>
          <w:t>187</w:t>
        </w:r>
        <w:r>
          <w:rPr>
            <w:noProof/>
          </w:rPr>
          <w:fldChar w:fldCharType="end"/>
        </w:r>
      </w:p>
    </w:sdtContent>
  </w:sdt>
  <w:p>
    <w:r>
      <w:t>Verzia 1, 14. 05.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ta"/>
    </w:pPr>
    <w:r>
      <w:t>Verzia 1, 14. 05.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Textpoznmkypodiarou"/>
        <w:rPr>
          <w:rFonts w:ascii="Arial" w:hAnsi="Arial" w:cs="Arial"/>
        </w:rPr>
      </w:pPr>
      <w:r>
        <w:rPr>
          <w:rStyle w:val="Odkaznapoznmkupodiarou"/>
          <w:rFonts w:ascii="Arial" w:hAnsi="Arial" w:cs="Arial"/>
        </w:rPr>
        <w:footnoteRef/>
      </w:r>
      <w:r>
        <w:rPr>
          <w:rFonts w:ascii="Arial" w:hAnsi="Arial" w:cs="Arial"/>
        </w:rPr>
        <w:t xml:space="preserve"> Prehľad stavu ciest II. triedy v členení podľa samosprávnych krajov za rok 2012, SSC 2013</w:t>
      </w:r>
    </w:p>
  </w:footnote>
  <w:footnote w:id="2">
    <w:p>
      <w:pPr>
        <w:pStyle w:val="Textpoznmkypodiarou"/>
        <w:rPr>
          <w:rFonts w:ascii="Arial" w:hAnsi="Arial" w:cs="Arial"/>
        </w:rPr>
      </w:pPr>
      <w:r>
        <w:rPr>
          <w:rStyle w:val="Odkaznapoznmkupodiarou"/>
          <w:rFonts w:ascii="Arial" w:hAnsi="Arial" w:cs="Arial"/>
        </w:rPr>
        <w:footnoteRef/>
      </w:r>
      <w:r>
        <w:rPr>
          <w:rFonts w:ascii="Arial" w:hAnsi="Arial" w:cs="Arial"/>
        </w:rPr>
        <w:t xml:space="preserve"> </w:t>
      </w:r>
      <w:hyperlink r:id="rId1" w:history="1">
        <w:r>
          <w:rPr>
            <w:rStyle w:val="Hypertextovprepojenie"/>
            <w:rFonts w:ascii="Arial" w:hAnsi="Arial" w:cs="Arial"/>
            <w:color w:val="auto"/>
          </w:rPr>
          <w:t>http://www.telecom.gov.sk/index/index.php?ids=124582</w:t>
        </w:r>
      </w:hyperlink>
      <w:r>
        <w:rPr>
          <w:rFonts w:ascii="Arial" w:hAnsi="Arial" w:cs="Arial"/>
        </w:rPr>
        <w:t xml:space="preserve"> </w:t>
      </w:r>
    </w:p>
  </w:footnote>
  <w:footnote w:id="3">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http://www.cdb.sk/sk/Vystupy-CDB/Statisticke-prehlady/Cestne-objekty-pocty-a-stav.alej</w:t>
      </w:r>
    </w:p>
  </w:footnote>
  <w:footnote w:id="4">
    <w:p>
      <w:pPr>
        <w:pStyle w:val="Textpoznmkypodiarou"/>
        <w:rPr>
          <w:rFonts w:ascii="Arial" w:hAnsi="Arial" w:cs="Arial"/>
        </w:rPr>
      </w:pPr>
      <w:r>
        <w:rPr>
          <w:rStyle w:val="Odkaznapoznmkupodiarou"/>
          <w:rFonts w:ascii="Arial" w:hAnsi="Arial" w:cs="Arial"/>
        </w:rPr>
        <w:footnoteRef/>
      </w:r>
      <w:r>
        <w:rPr>
          <w:rFonts w:ascii="Arial" w:hAnsi="Arial" w:cs="Arial"/>
        </w:rPr>
        <w:t xml:space="preserve"> Biela kniha EK</w:t>
      </w:r>
    </w:p>
  </w:footnote>
  <w:footnote w:id="5">
    <w:p>
      <w:pPr>
        <w:pStyle w:val="Textpoznmkypodiarou"/>
        <w:rPr>
          <w:rFonts w:ascii="Arial" w:hAnsi="Arial" w:cs="Arial"/>
        </w:rPr>
      </w:pPr>
      <w:r>
        <w:rPr>
          <w:rStyle w:val="Odkaznapoznmkupodiarou"/>
          <w:rFonts w:ascii="Arial" w:hAnsi="Arial" w:cs="Arial"/>
        </w:rPr>
        <w:footnoteRef/>
      </w:r>
      <w:r>
        <w:rPr>
          <w:rFonts w:ascii="Arial" w:hAnsi="Arial" w:cs="Arial"/>
        </w:rPr>
        <w:t xml:space="preserve"> Pozn.: technická životnosť autobusov MHD je na úrovni 6 – 8 rokov v závislosti od typu a množstva výkonov.</w:t>
      </w:r>
    </w:p>
  </w:footnote>
  <w:footnote w:id="6">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http://estaticos.soitu.es/documentos/2008/08/survey_bus_fleet.pdf</w:t>
      </w:r>
    </w:p>
  </w:footnote>
  <w:footnote w:id="7">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 účely analýzy stavu </w:t>
      </w:r>
      <w:proofErr w:type="spellStart"/>
      <w:r>
        <w:rPr>
          <w:rFonts w:ascii="Arial" w:hAnsi="Arial" w:cs="Arial"/>
        </w:rPr>
        <w:t>cykloinfraštruktúry</w:t>
      </w:r>
      <w:proofErr w:type="spellEnd"/>
      <w:r>
        <w:rPr>
          <w:rFonts w:ascii="Arial" w:hAnsi="Arial" w:cs="Arial"/>
        </w:rPr>
        <w:t xml:space="preserve"> v mestách bol v roku 2012 vykonaný prieskum, v ktorom Výskumný ústav dopravný oslovil 138 slovenských miest. Prieskumu sa zúčastnilo 67 miest.</w:t>
      </w:r>
    </w:p>
  </w:footnote>
  <w:footnote w:id="8">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w:t>
      </w:r>
      <w:proofErr w:type="spellStart"/>
      <w:r>
        <w:rPr>
          <w:rFonts w:ascii="Arial" w:hAnsi="Arial" w:cs="Arial"/>
        </w:rPr>
        <w:t>Grieco</w:t>
      </w:r>
      <w:proofErr w:type="spellEnd"/>
      <w:r>
        <w:rPr>
          <w:rFonts w:ascii="Arial" w:hAnsi="Arial" w:cs="Arial"/>
        </w:rPr>
        <w:t xml:space="preserve">, S, </w:t>
      </w:r>
      <w:proofErr w:type="spellStart"/>
      <w:r>
        <w:rPr>
          <w:rFonts w:ascii="Arial" w:hAnsi="Arial" w:cs="Arial"/>
        </w:rPr>
        <w:t>Bulic</w:t>
      </w:r>
      <w:proofErr w:type="spellEnd"/>
      <w:r>
        <w:rPr>
          <w:rFonts w:ascii="Arial" w:hAnsi="Arial" w:cs="Arial"/>
        </w:rPr>
        <w:t xml:space="preserve">, S.: </w:t>
      </w:r>
      <w:r>
        <w:rPr>
          <w:rFonts w:ascii="Arial" w:hAnsi="Arial" w:cs="Arial"/>
          <w:i/>
        </w:rPr>
        <w:t xml:space="preserve">Manuál o využívaní európskych fondov pre prechod z inštitucionálnej na </w:t>
      </w:r>
      <w:proofErr w:type="spellStart"/>
      <w:r>
        <w:rPr>
          <w:rFonts w:ascii="Arial" w:hAnsi="Arial" w:cs="Arial"/>
          <w:i/>
        </w:rPr>
        <w:t>komunitnú</w:t>
      </w:r>
      <w:proofErr w:type="spellEnd"/>
      <w:r>
        <w:rPr>
          <w:rFonts w:ascii="Arial" w:hAnsi="Arial" w:cs="Arial"/>
          <w:i/>
        </w:rPr>
        <w:t xml:space="preserve"> starostlivosť.</w:t>
      </w:r>
      <w:r>
        <w:rPr>
          <w:rFonts w:ascii="Arial" w:hAnsi="Arial" w:cs="Arial"/>
        </w:rPr>
        <w:t xml:space="preserve"> (2012), s. 10 – 11.</w:t>
      </w:r>
    </w:p>
  </w:footnote>
  <w:footnote w:id="9">
    <w:p>
      <w:pPr>
        <w:pStyle w:val="Textpoznmkypodiarou"/>
        <w:rPr>
          <w:rFonts w:ascii="Arial" w:hAnsi="Arial" w:cs="Arial"/>
        </w:rPr>
      </w:pPr>
      <w:r>
        <w:rPr>
          <w:rStyle w:val="Odkaznapoznmkupodiarou"/>
        </w:rPr>
        <w:footnoteRef/>
      </w:r>
      <w:r>
        <w:t xml:space="preserve"> </w:t>
      </w:r>
      <w:r>
        <w:rPr>
          <w:rFonts w:ascii="Arial" w:hAnsi="Arial" w:cs="Arial"/>
        </w:rPr>
        <w:t>Zdroj MPSVR SR.</w:t>
      </w:r>
    </w:p>
  </w:footnote>
  <w:footnote w:id="10">
    <w:p>
      <w:pPr>
        <w:pStyle w:val="Textpoznmkypodiarou"/>
        <w:rPr>
          <w:rFonts w:ascii="Arial" w:eastAsia="Times New Roman" w:hAnsi="Arial" w:cs="Arial"/>
          <w:lang w:eastAsia="en-GB"/>
        </w:rPr>
      </w:pPr>
      <w:r>
        <w:rPr>
          <w:rStyle w:val="Odkaznapoznmkupodiarou"/>
          <w:rFonts w:ascii="Arial" w:hAnsi="Arial" w:cs="Arial"/>
        </w:rPr>
        <w:footnoteRef/>
      </w:r>
      <w:r>
        <w:rPr>
          <w:rFonts w:ascii="Arial" w:hAnsi="Arial" w:cs="Arial"/>
        </w:rPr>
        <w:t xml:space="preserve"> štatistické údaje EUROSTATU, rok 2011</w:t>
      </w:r>
    </w:p>
    <w:p>
      <w:pPr>
        <w:pStyle w:val="Textpoznmkypodiarou"/>
        <w:rPr>
          <w:rFonts w:ascii="Arial" w:hAnsi="Arial" w:cs="Arial"/>
        </w:rPr>
      </w:pPr>
      <w:r>
        <w:rPr>
          <w:rFonts w:ascii="Arial" w:hAnsi="Arial" w:cs="Arial"/>
        </w:rPr>
        <w:t>http://epp.eurostat.ec.europa.eu/statistics_explained/index.php/Healthy_life_years_statistics</w:t>
      </w:r>
    </w:p>
  </w:footnote>
  <w:footnote w:id="11">
    <w:p>
      <w:pPr>
        <w:spacing w:after="0"/>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footnote>
  <w:footnote w:id="12">
    <w:p>
      <w:pPr>
        <w:pStyle w:val="Textpoznmkypodiarou"/>
        <w:rPr>
          <w:rFonts w:ascii="Arial" w:hAnsi="Arial" w:cs="Arial"/>
        </w:rPr>
      </w:pPr>
      <w:r>
        <w:rPr>
          <w:rStyle w:val="Odkaznapoznmkupodiarou"/>
          <w:rFonts w:ascii="Arial" w:hAnsi="Arial" w:cs="Arial"/>
        </w:rPr>
        <w:footnoteRef/>
      </w:r>
      <w:r>
        <w:rPr>
          <w:rFonts w:ascii="Arial" w:hAnsi="Arial" w:cs="Arial"/>
        </w:rPr>
        <w:t xml:space="preserve"> OZNÁMENIE KOMISIE EURÓPA 2020, Stratégia na zabezpečenie inteligentného, udržateľného a </w:t>
      </w:r>
      <w:proofErr w:type="spellStart"/>
      <w:r>
        <w:rPr>
          <w:rFonts w:ascii="Arial" w:hAnsi="Arial" w:cs="Arial"/>
        </w:rPr>
        <w:t>inkluzívneho</w:t>
      </w:r>
      <w:proofErr w:type="spellEnd"/>
      <w:r>
        <w:rPr>
          <w:rFonts w:ascii="Arial" w:hAnsi="Arial" w:cs="Arial"/>
        </w:rPr>
        <w:t xml:space="preserve"> rastu, str. 10, </w:t>
      </w:r>
    </w:p>
    <w:p>
      <w:pPr>
        <w:pStyle w:val="Textpoznmkypodiarou"/>
        <w:rPr>
          <w:rFonts w:ascii="Arial" w:hAnsi="Arial" w:cs="Arial"/>
        </w:rPr>
      </w:pPr>
      <w:r>
        <w:rPr>
          <w:rFonts w:ascii="Arial" w:hAnsi="Arial" w:cs="Arial"/>
        </w:rPr>
        <w:t>http://eur-lex.europa.eu/LexUriServ/LexUriServ.do?uri=COM:2010:2020:FIN:SK:PDF</w:t>
      </w:r>
    </w:p>
  </w:footnote>
  <w:footnote w:id="13">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w:t>
      </w:r>
      <w:proofErr w:type="spellStart"/>
      <w:r>
        <w:rPr>
          <w:rFonts w:ascii="Arial" w:hAnsi="Arial" w:cs="Arial"/>
        </w:rPr>
        <w:t>Mutlidimenzionálny</w:t>
      </w:r>
      <w:proofErr w:type="spellEnd"/>
      <w:r>
        <w:rPr>
          <w:rFonts w:ascii="Arial" w:hAnsi="Arial" w:cs="Arial"/>
        </w:rPr>
        <w:t xml:space="preserve">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footnote>
  <w:footnote w:id="14">
    <w:p>
      <w:pPr>
        <w:pStyle w:val="Textpoznmkypodiarou"/>
        <w:rPr>
          <w:rFonts w:ascii="Arial" w:hAnsi="Arial" w:cs="Arial"/>
        </w:rPr>
      </w:pPr>
      <w:r>
        <w:rPr>
          <w:rStyle w:val="Odkaznapoznmkupodiarou"/>
          <w:rFonts w:ascii="Arial" w:hAnsi="Arial" w:cs="Arial"/>
        </w:rPr>
        <w:footnoteRef/>
      </w:r>
      <w:r>
        <w:rPr>
          <w:rFonts w:ascii="Arial" w:hAnsi="Arial" w:cs="Arial"/>
        </w:rPr>
        <w:t xml:space="preserve"> V sieti sú zaradené školy s počtom od 3 do 1 044 žiakov.</w:t>
      </w:r>
    </w:p>
  </w:footnote>
  <w:footnote w:id="15">
    <w:p>
      <w:pPr>
        <w:pStyle w:val="Textpoznmkypodiarou"/>
      </w:pPr>
      <w:r>
        <w:rPr>
          <w:rStyle w:val="Odkaznapoznmkupodiarou"/>
        </w:rPr>
        <w:footnoteRef/>
      </w:r>
      <w:r>
        <w:t xml:space="preserve"> Do jazykovej gramotnosti zahŕňame materinský jazyk, cudzie jazyky</w:t>
      </w:r>
    </w:p>
  </w:footnote>
  <w:footnote w:id="16">
    <w:p>
      <w:pPr>
        <w:pStyle w:val="Textpoznmkypodiarou"/>
        <w:rPr>
          <w:rFonts w:ascii="Arial" w:hAnsi="Arial" w:cs="Arial"/>
        </w:rPr>
      </w:pPr>
      <w:r>
        <w:rPr>
          <w:rStyle w:val="Odkaznapoznmkupodiarou"/>
          <w:rFonts w:ascii="Arial" w:hAnsi="Arial" w:cs="Arial"/>
        </w:rPr>
        <w:footnoteRef/>
      </w:r>
      <w:r>
        <w:rPr>
          <w:rFonts w:ascii="Arial" w:hAnsi="Arial" w:cs="Arial"/>
        </w:rPr>
        <w:t xml:space="preserve"> Uplatnenie absolventov stredných škôl v praxi, sezóna 2012 – 2013, ÚIPŠ, Bratislava 2013</w:t>
      </w:r>
    </w:p>
  </w:footnote>
  <w:footnote w:id="17">
    <w:p>
      <w:pPr>
        <w:pStyle w:val="Textpoznmkypodiarou"/>
        <w:rPr>
          <w:rFonts w:ascii="Arial" w:hAnsi="Arial" w:cs="Arial"/>
        </w:rPr>
      </w:pPr>
      <w:r>
        <w:rPr>
          <w:rStyle w:val="Odkaznapoznmkupodiarou"/>
          <w:rFonts w:ascii="Arial" w:hAnsi="Arial" w:cs="Arial"/>
        </w:rPr>
        <w:footnoteRef/>
      </w:r>
      <w:r>
        <w:rPr>
          <w:rFonts w:ascii="Arial" w:hAnsi="Arial" w:cs="Arial"/>
        </w:rPr>
        <w:t xml:space="preserve"> Nariadenie Európskeho parlamentu a Rady (</w:t>
      </w:r>
      <w:proofErr w:type="spellStart"/>
      <w:r>
        <w:rPr>
          <w:rFonts w:ascii="Arial" w:hAnsi="Arial" w:cs="Arial"/>
        </w:rPr>
        <w:t>eú</w:t>
      </w:r>
      <w:proofErr w:type="spellEnd"/>
      <w:r>
        <w:rPr>
          <w:rFonts w:ascii="Arial" w:hAnsi="Arial" w:cs="Arial"/>
        </w:rPr>
        <w:t>), PE-CONS 83/13 - 2011/0275(COD)</w:t>
      </w:r>
    </w:p>
  </w:footnote>
  <w:footnote w:id="18">
    <w:p>
      <w:pPr>
        <w:pStyle w:val="Textpoznmkypodiarou"/>
        <w:rPr>
          <w:rFonts w:ascii="Arial" w:hAnsi="Arial" w:cs="Arial"/>
        </w:rPr>
      </w:pPr>
      <w:r>
        <w:rPr>
          <w:rStyle w:val="Odkaznapoznmkupodiarou"/>
          <w:rFonts w:ascii="Arial" w:hAnsi="Arial" w:cs="Arial"/>
        </w:rPr>
        <w:footnoteRef/>
      </w:r>
      <w:proofErr w:type="spellStart"/>
      <w:r>
        <w:rPr>
          <w:rFonts w:ascii="Arial" w:hAnsi="Arial" w:cs="Arial"/>
          <w:lang w:val="cs-CZ"/>
        </w:rPr>
        <w:t>Promoting</w:t>
      </w:r>
      <w:proofErr w:type="spellEnd"/>
      <w:r>
        <w:rPr>
          <w:rFonts w:ascii="Arial" w:hAnsi="Arial" w:cs="Arial"/>
          <w:lang w:val="cs-CZ"/>
        </w:rPr>
        <w:t xml:space="preserve"> </w:t>
      </w:r>
      <w:proofErr w:type="spellStart"/>
      <w:r>
        <w:rPr>
          <w:rFonts w:ascii="Arial" w:hAnsi="Arial" w:cs="Arial"/>
          <w:lang w:val="cs-CZ"/>
        </w:rPr>
        <w:t>Cultural</w:t>
      </w:r>
      <w:proofErr w:type="spellEnd"/>
      <w:r>
        <w:rPr>
          <w:rFonts w:ascii="Arial" w:hAnsi="Arial" w:cs="Arial"/>
          <w:lang w:val="cs-CZ"/>
        </w:rPr>
        <w:t xml:space="preserve"> and </w:t>
      </w:r>
      <w:proofErr w:type="spellStart"/>
      <w:r>
        <w:rPr>
          <w:rFonts w:ascii="Arial" w:hAnsi="Arial" w:cs="Arial"/>
          <w:lang w:val="cs-CZ"/>
        </w:rPr>
        <w:t>Creative</w:t>
      </w:r>
      <w:proofErr w:type="spellEnd"/>
      <w:r>
        <w:rPr>
          <w:rFonts w:ascii="Arial" w:hAnsi="Arial" w:cs="Arial"/>
          <w:lang w:val="cs-CZ"/>
        </w:rPr>
        <w:t xml:space="preserve"> </w:t>
      </w:r>
      <w:proofErr w:type="spellStart"/>
      <w:r>
        <w:rPr>
          <w:rFonts w:ascii="Arial" w:hAnsi="Arial" w:cs="Arial"/>
          <w:lang w:val="cs-CZ"/>
        </w:rPr>
        <w:t>Sectors</w:t>
      </w:r>
      <w:proofErr w:type="spellEnd"/>
      <w:r>
        <w:rPr>
          <w:rFonts w:ascii="Arial" w:hAnsi="Arial" w:cs="Arial"/>
          <w:lang w:val="cs-CZ"/>
        </w:rPr>
        <w:t xml:space="preserve"> </w:t>
      </w:r>
      <w:proofErr w:type="spellStart"/>
      <w:r>
        <w:rPr>
          <w:rFonts w:ascii="Arial" w:hAnsi="Arial" w:cs="Arial"/>
          <w:lang w:val="cs-CZ"/>
        </w:rPr>
        <w:t>for</w:t>
      </w:r>
      <w:proofErr w:type="spellEnd"/>
      <w:r>
        <w:rPr>
          <w:rFonts w:ascii="Arial" w:hAnsi="Arial" w:cs="Arial"/>
          <w:lang w:val="cs-CZ"/>
        </w:rPr>
        <w:t xml:space="preserve"> </w:t>
      </w:r>
      <w:proofErr w:type="spellStart"/>
      <w:r>
        <w:rPr>
          <w:rFonts w:ascii="Arial" w:hAnsi="Arial" w:cs="Arial"/>
          <w:lang w:val="cs-CZ"/>
        </w:rPr>
        <w:t>Growth</w:t>
      </w:r>
      <w:proofErr w:type="spellEnd"/>
      <w:r>
        <w:rPr>
          <w:rFonts w:ascii="Arial" w:hAnsi="Arial" w:cs="Arial"/>
          <w:lang w:val="cs-CZ"/>
        </w:rPr>
        <w:t xml:space="preserve"> and </w:t>
      </w:r>
      <w:proofErr w:type="spellStart"/>
      <w:r>
        <w:rPr>
          <w:rFonts w:ascii="Arial" w:hAnsi="Arial" w:cs="Arial"/>
          <w:lang w:val="cs-CZ"/>
        </w:rPr>
        <w:t>Jobs</w:t>
      </w:r>
      <w:proofErr w:type="spellEnd"/>
      <w:r>
        <w:rPr>
          <w:rFonts w:ascii="Arial" w:hAnsi="Arial" w:cs="Arial"/>
          <w:lang w:val="cs-CZ"/>
        </w:rPr>
        <w:t xml:space="preserve"> in </w:t>
      </w:r>
      <w:proofErr w:type="spellStart"/>
      <w:r>
        <w:rPr>
          <w:rFonts w:ascii="Arial" w:hAnsi="Arial" w:cs="Arial"/>
          <w:lang w:val="cs-CZ"/>
        </w:rPr>
        <w:t>the</w:t>
      </w:r>
      <w:proofErr w:type="spellEnd"/>
      <w:r>
        <w:rPr>
          <w:rFonts w:ascii="Arial" w:hAnsi="Arial" w:cs="Arial"/>
          <w:lang w:val="cs-CZ"/>
        </w:rPr>
        <w:t xml:space="preserve"> EU COM (2012) 537</w:t>
      </w:r>
    </w:p>
  </w:footnote>
  <w:footnote w:id="19">
    <w:p>
      <w:pPr>
        <w:pStyle w:val="Textpoznmkypodiarou"/>
        <w:rPr>
          <w:rFonts w:ascii="Arial" w:hAnsi="Arial" w:cs="Arial"/>
        </w:rPr>
      </w:pPr>
      <w:r>
        <w:rPr>
          <w:rStyle w:val="Odkaznapoznmkupodiarou"/>
          <w:rFonts w:ascii="Arial" w:hAnsi="Arial" w:cs="Arial"/>
        </w:rPr>
        <w:footnoteRef/>
      </w:r>
      <w:r>
        <w:rPr>
          <w:rFonts w:ascii="Arial" w:hAnsi="Arial" w:cs="Arial"/>
        </w:rPr>
        <w:t>Správa o stave a potenciáli kreatívneho priemyslu na Slovensku, str. 42</w:t>
      </w:r>
    </w:p>
  </w:footnote>
  <w:footnote w:id="20">
    <w:p>
      <w:pPr>
        <w:pStyle w:val="Textpoznmkypodiarou"/>
        <w:rPr>
          <w:rFonts w:ascii="Arial" w:hAnsi="Arial" w:cs="Arial"/>
        </w:rPr>
      </w:pPr>
      <w:r>
        <w:rPr>
          <w:rStyle w:val="Odkaznapoznmkupodiarou"/>
          <w:rFonts w:ascii="Arial" w:hAnsi="Arial" w:cs="Arial"/>
        </w:rPr>
        <w:footnoteRef/>
      </w:r>
      <w:r>
        <w:rPr>
          <w:rFonts w:ascii="Arial" w:hAnsi="Arial" w:cs="Arial"/>
        </w:rPr>
        <w:t>Správa o stave a potenciáli kreatívneho priemyslu na Slovensku, str. 15</w:t>
      </w:r>
    </w:p>
  </w:footnote>
  <w:footnote w:id="21">
    <w:p>
      <w:pPr>
        <w:pStyle w:val="Textpoznmkypodiarou"/>
        <w:rPr>
          <w:rFonts w:ascii="Arial" w:hAnsi="Arial" w:cs="Arial"/>
        </w:rPr>
      </w:pPr>
      <w:r>
        <w:rPr>
          <w:rFonts w:ascii="Arial" w:hAnsi="Arial" w:cs="Arial"/>
          <w:vertAlign w:val="superscript"/>
        </w:rPr>
        <w:footnoteRef/>
      </w:r>
      <w:r>
        <w:rPr>
          <w:rFonts w:ascii="Arial" w:hAnsi="Arial" w:cs="Arial"/>
          <w:vertAlign w:val="superscript"/>
        </w:rPr>
        <w:t xml:space="preserve"> </w:t>
      </w:r>
      <w:r>
        <w:rPr>
          <w:rFonts w:ascii="Arial" w:hAnsi="Arial" w:cs="Arial"/>
        </w:rPr>
        <w:t>Energetická politika SR, MH SR, 2013</w:t>
      </w:r>
    </w:p>
  </w:footnote>
  <w:footnote w:id="22">
    <w:p>
      <w:pPr>
        <w:pStyle w:val="Textpoznmkypodiarou"/>
        <w:rPr>
          <w:rFonts w:ascii="Arial" w:hAnsi="Arial" w:cs="Arial"/>
        </w:rPr>
      </w:pPr>
      <w:r>
        <w:rPr>
          <w:rStyle w:val="Odkaznapoznmkupodiarou"/>
          <w:rFonts w:ascii="Arial" w:hAnsi="Arial" w:cs="Arial"/>
        </w:rPr>
        <w:footnoteRef/>
      </w:r>
      <w:r>
        <w:rPr>
          <w:rFonts w:ascii="Arial" w:hAnsi="Arial" w:cs="Arial"/>
        </w:rPr>
        <w:t xml:space="preserve"> Národný plán zameraný na zvyšovanie počtu budov s takmer nulovou potrebou energie</w:t>
      </w:r>
    </w:p>
  </w:footnote>
  <w:footnote w:id="23">
    <w:p>
      <w:pPr>
        <w:pStyle w:val="Textpoznmkypodiarou"/>
        <w:rPr>
          <w:rFonts w:ascii="Arial" w:hAnsi="Arial" w:cs="Arial"/>
        </w:rPr>
      </w:pPr>
      <w:r>
        <w:rPr>
          <w:rStyle w:val="Odkaznapoznmkupodiarou"/>
          <w:rFonts w:ascii="Arial" w:hAnsi="Arial" w:cs="Arial"/>
        </w:rPr>
        <w:footnoteRef/>
      </w:r>
      <w:r>
        <w:rPr>
          <w:rFonts w:ascii="Arial" w:hAnsi="Arial" w:cs="Arial"/>
        </w:rPr>
        <w:t>http://www.shmu.sk/File/projekty/Zaverecna%20Sprava%20projektu%20Klim.%20zmena%20a%20Adaptacie%202012.pdf</w:t>
      </w:r>
    </w:p>
  </w:footnote>
  <w:footnote w:id="24">
    <w:p>
      <w:pPr>
        <w:pStyle w:val="Textpoznmkypodiarou"/>
        <w:rPr>
          <w:rFonts w:ascii="Arial" w:hAnsi="Arial" w:cs="Arial"/>
        </w:rPr>
      </w:pPr>
      <w:r>
        <w:rPr>
          <w:rStyle w:val="Odkaznapoznmkupodiarou"/>
          <w:rFonts w:ascii="Arial" w:hAnsi="Arial" w:cs="Arial"/>
        </w:rPr>
        <w:footnoteRef/>
      </w:r>
      <w:r>
        <w:rPr>
          <w:rFonts w:ascii="Arial" w:hAnsi="Arial" w:cs="Arial"/>
        </w:rPr>
        <w:t xml:space="preserve"> Uznesenie vlády SR č. 148/2014</w:t>
      </w:r>
    </w:p>
  </w:footnote>
  <w:footnote w:id="25">
    <w:p>
      <w:pPr>
        <w:pStyle w:val="Textpoznmkypodiarou"/>
        <w:rPr>
          <w:rFonts w:ascii="Arial" w:hAnsi="Arial" w:cs="Arial"/>
        </w:rPr>
      </w:pPr>
      <w:r>
        <w:rPr>
          <w:rStyle w:val="Odkaznapoznmkupodiarou"/>
          <w:rFonts w:ascii="Arial" w:hAnsi="Arial" w:cs="Arial"/>
        </w:rPr>
        <w:footnoteRef/>
      </w:r>
      <w:r>
        <w:rPr>
          <w:rFonts w:ascii="Arial" w:hAnsi="Arial" w:cs="Arial"/>
        </w:rPr>
        <w:t xml:space="preserve">  Plán rozvoja verejných vodovodov a verejných kanalizácií pre územie SR.</w:t>
      </w:r>
    </w:p>
  </w:footnote>
  <w:footnote w:id="26">
    <w:p>
      <w:pPr>
        <w:pStyle w:val="Textpoznmkypodiarou"/>
        <w:rPr>
          <w:rFonts w:ascii="Arial" w:hAnsi="Arial" w:cs="Arial"/>
        </w:rPr>
      </w:pPr>
      <w:r>
        <w:rPr>
          <w:rStyle w:val="Odkaznapoznmkupodiarou"/>
          <w:rFonts w:ascii="Arial" w:hAnsi="Arial" w:cs="Arial"/>
        </w:rPr>
        <w:footnoteRef/>
      </w:r>
      <w:r>
        <w:rPr>
          <w:rFonts w:ascii="Arial" w:hAnsi="Arial" w:cs="Arial"/>
        </w:rPr>
        <w:t xml:space="preserve"> COM(2011) 571 v konečnom znení, Ú. v. EÚ C 37, 10.2.2012.</w:t>
      </w:r>
    </w:p>
  </w:footnote>
  <w:footnote w:id="27">
    <w:p>
      <w:pPr>
        <w:pStyle w:val="Textpoznmkypodiarou"/>
        <w:rPr>
          <w:rFonts w:ascii="Arial" w:hAnsi="Arial" w:cs="Arial"/>
        </w:rPr>
      </w:pPr>
      <w:r>
        <w:rPr>
          <w:rStyle w:val="Odkaznapoznmkupodiarou"/>
          <w:rFonts w:ascii="Arial" w:hAnsi="Arial" w:cs="Arial"/>
        </w:rPr>
        <w:footnoteRef/>
      </w:r>
      <w:r>
        <w:rPr>
          <w:rFonts w:ascii="Arial" w:hAnsi="Arial" w:cs="Arial"/>
        </w:rPr>
        <w:t xml:space="preserve"> COM(2011) 244 v konečnom znení, Ú. v. EÚ C 264, 8.9.2011.</w:t>
      </w:r>
    </w:p>
  </w:footnote>
  <w:footnote w:id="28">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footnote>
  <w:footnote w:id="29">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COM(2013) 249 </w:t>
      </w:r>
      <w:proofErr w:type="spellStart"/>
      <w:r>
        <w:rPr>
          <w:rFonts w:ascii="Arial" w:hAnsi="Arial" w:cs="Arial"/>
        </w:rPr>
        <w:t>final</w:t>
      </w:r>
      <w:proofErr w:type="spellEnd"/>
      <w:r>
        <w:rPr>
          <w:rFonts w:ascii="Arial" w:hAnsi="Arial" w:cs="Arial"/>
        </w:rPr>
        <w:t>. Oznámenie Komisie EP, Rade, Európskemu hospodárskemu a sociálnemu výboru a výboru regiónov. Zelená infraštruktúra – Zveľaďovanie prírodného kapitálu Európy</w:t>
      </w:r>
    </w:p>
  </w:footnote>
  <w:footnote w:id="30">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Mapovanie </w:t>
      </w:r>
      <w:proofErr w:type="spellStart"/>
      <w:r>
        <w:rPr>
          <w:rFonts w:ascii="Arial" w:hAnsi="Arial" w:cs="Arial"/>
        </w:rPr>
        <w:t>brownfieldov</w:t>
      </w:r>
      <w:proofErr w:type="spellEnd"/>
      <w:r>
        <w:rPr>
          <w:rFonts w:ascii="Arial" w:hAnsi="Arial" w:cs="Arial"/>
        </w:rPr>
        <w:t xml:space="preserve"> bolo realizované formou dotazníkov zaslaných na jednotlivé mestá a obce v SR. Následne bol realizovaný </w:t>
      </w:r>
      <w:proofErr w:type="spellStart"/>
      <w:r>
        <w:rPr>
          <w:rFonts w:ascii="Arial" w:hAnsi="Arial" w:cs="Arial"/>
        </w:rPr>
        <w:t>racalling</w:t>
      </w:r>
      <w:proofErr w:type="spellEnd"/>
      <w:r>
        <w:rPr>
          <w:rFonts w:ascii="Arial" w:hAnsi="Arial" w:cs="Arial"/>
        </w:rPr>
        <w:t xml:space="preserve"> zaevidovaných </w:t>
      </w:r>
      <w:proofErr w:type="spellStart"/>
      <w:r>
        <w:rPr>
          <w:rFonts w:ascii="Arial" w:hAnsi="Arial" w:cs="Arial"/>
        </w:rPr>
        <w:t>brownfieldov</w:t>
      </w:r>
      <w:proofErr w:type="spellEnd"/>
      <w:r>
        <w:rPr>
          <w:rFonts w:ascii="Arial" w:hAnsi="Arial" w:cs="Arial"/>
        </w:rPr>
        <w:t xml:space="preserve"> priamo na mieste a údaje boli doplnené o vybrané kvalitatívne a kvantitatívne ukazovatele.</w:t>
      </w:r>
    </w:p>
  </w:footnote>
  <w:footnote w:id="31">
    <w:p>
      <w:pPr>
        <w:pStyle w:val="Textpoznmkypodiarou"/>
        <w:rPr>
          <w:rFonts w:ascii="Arial" w:hAnsi="Arial" w:cs="Arial"/>
          <w:sz w:val="16"/>
          <w:szCs w:val="16"/>
        </w:rPr>
      </w:pPr>
      <w:r>
        <w:rPr>
          <w:rStyle w:val="Odkaznapoznmkupodiarou"/>
        </w:rPr>
        <w:footnoteRef/>
      </w:r>
      <w:r>
        <w:t xml:space="preserve"> </w:t>
      </w:r>
      <w:r>
        <w:rPr>
          <w:rFonts w:ascii="Arial" w:hAnsi="Arial" w:cs="Arial"/>
          <w:sz w:val="16"/>
          <w:szCs w:val="16"/>
        </w:rPr>
        <w:t xml:space="preserve">Kumulovaný cieľ pre obdobie rokov 2014 – 2020 je 130 690 TJ (3,12 </w:t>
      </w:r>
      <w:proofErr w:type="spellStart"/>
      <w:r>
        <w:rPr>
          <w:rFonts w:ascii="Arial" w:hAnsi="Arial" w:cs="Arial"/>
          <w:sz w:val="16"/>
          <w:szCs w:val="16"/>
        </w:rPr>
        <w:t>Mtoe</w:t>
      </w:r>
      <w:proofErr w:type="spellEnd"/>
      <w:r>
        <w:rPr>
          <w:rFonts w:ascii="Arial" w:hAnsi="Arial" w:cs="Arial"/>
          <w:sz w:val="16"/>
          <w:szCs w:val="16"/>
        </w:rPr>
        <w:t xml:space="preserve">), čo znamená úspory energie dosiahnuté v rokoch 2014 – 2020, o ktoré sa zníži aj konečná energetická spotreba v roku 2020 voči referenčnému scenáru PRIMES 2007. Cieľ bol vypočítaný na základe údajov konečnej energetickej spotreby od Štatistického úradu SR (ŠÚ SR). Keďže metodika ŠÚ SR sa líši od metodiky </w:t>
      </w:r>
      <w:proofErr w:type="spellStart"/>
      <w:r>
        <w:rPr>
          <w:rFonts w:ascii="Arial" w:hAnsi="Arial" w:cs="Arial"/>
          <w:sz w:val="16"/>
          <w:szCs w:val="16"/>
        </w:rPr>
        <w:t>Eurostatu</w:t>
      </w:r>
      <w:proofErr w:type="spellEnd"/>
      <w:r>
        <w:rPr>
          <w:rFonts w:ascii="Arial" w:hAnsi="Arial" w:cs="Arial"/>
          <w:sz w:val="16"/>
          <w:szCs w:val="16"/>
        </w:rPr>
        <w:t>, v budúcnosti bude cieľ prehodnotený aj z pohľadu spresnenia metodiky výpočtu konečnej energetickej spotreby.</w:t>
      </w:r>
    </w:p>
  </w:footnote>
  <w:footnote w:id="32">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http://www.telecom.gov.sk/index/index.php?ids=124582</w:t>
      </w:r>
    </w:p>
  </w:footnote>
  <w:footnote w:id="33">
    <w:p>
      <w:pPr>
        <w:pStyle w:val="Textpoznmkypodiarou"/>
      </w:pPr>
      <w:r>
        <w:rPr>
          <w:rStyle w:val="Odkaznapoznmkupodiarou"/>
        </w:rPr>
        <w:footnoteRef/>
      </w:r>
      <w:r>
        <w:t xml:space="preserve"> Návrh metodiky hodnotenia investičných projektov pre IROP. VÚD, MDVRR SR, 2014. </w:t>
      </w:r>
    </w:p>
  </w:footnote>
  <w:footnote w:id="34">
    <w:p>
      <w:pPr>
        <w:pStyle w:val="Textpoznmkypodiarou"/>
        <w:rPr>
          <w:rFonts w:ascii="Arial" w:hAnsi="Arial" w:cs="Arial"/>
        </w:rPr>
      </w:pPr>
      <w:r>
        <w:rPr>
          <w:rStyle w:val="Odkaznapoznmkupodiarou"/>
          <w:rFonts w:ascii="Arial" w:hAnsi="Arial" w:cs="Arial"/>
        </w:rPr>
        <w:footnoteRef/>
      </w:r>
      <w:r>
        <w:rPr>
          <w:rFonts w:ascii="Arial" w:hAnsi="Arial" w:cs="Arial"/>
        </w:rPr>
        <w:t xml:space="preserve"> Národná stratégia rozvoja cyklistickej dopravy a cykloturistiky v Slovenskej republike</w:t>
      </w:r>
    </w:p>
  </w:footnote>
  <w:footnote w:id="35">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Pod integrovaným dopravným systémom (IDS) sa z hľadiska podporovaných aktivít investičnej priority rozumie systém s dopravnou a tarifnou integráciou všetkých subsystémov mestskej a regionálnej verejnej osobnej dopravy.</w:t>
      </w:r>
    </w:p>
  </w:footnote>
  <w:footnote w:id="36">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http://ec.europa.eu/transport/themes/urban/doc/ump/com%282013%29913-annex_sk.pdf</w:t>
      </w:r>
    </w:p>
  </w:footnote>
  <w:footnote w:id="37">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Podporované budú projekty náhrady verejnej mestskej autobusovej dopravy na naftový pohon autobusmi na plynový pohon, hybridnými autobusmi alebo </w:t>
      </w:r>
      <w:proofErr w:type="spellStart"/>
      <w:r>
        <w:rPr>
          <w:rFonts w:ascii="Arial" w:hAnsi="Arial" w:cs="Arial"/>
        </w:rPr>
        <w:t>elektrobusmi</w:t>
      </w:r>
      <w:proofErr w:type="spellEnd"/>
      <w:r>
        <w:rPr>
          <w:rFonts w:ascii="Arial" w:hAnsi="Arial" w:cs="Arial"/>
        </w:rPr>
        <w:t>,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footnote>
  <w:footnote w:id="38">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štandardov terminálov bude súčasťou programového manuálu k OP.</w:t>
      </w:r>
    </w:p>
  </w:footnote>
  <w:footnote w:id="39">
    <w:p>
      <w:pPr>
        <w:pStyle w:val="Textpoznmkypodiarou"/>
        <w:rPr>
          <w:rFonts w:ascii="Arial" w:hAnsi="Arial" w:cs="Arial"/>
        </w:rPr>
      </w:pPr>
      <w:r>
        <w:rPr>
          <w:rStyle w:val="Odkaznapoznmkupodiarou"/>
          <w:rFonts w:ascii="Arial" w:hAnsi="Arial" w:cs="Arial"/>
        </w:rPr>
        <w:footnoteRef/>
      </w:r>
      <w:r>
        <w:rPr>
          <w:rFonts w:ascii="Arial" w:hAnsi="Arial" w:cs="Arial"/>
        </w:rPr>
        <w:t xml:space="preserve"> Terminály pri železničných staniciach sú predmetom aktivít v rámci investičnej priority 7c) OPII</w:t>
      </w:r>
    </w:p>
  </w:footnote>
  <w:footnote w:id="40">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footnote>
  <w:footnote w:id="41">
    <w:p>
      <w:pPr>
        <w:pStyle w:val="Textpoznmkypodiarou"/>
        <w:jc w:val="both"/>
        <w:rPr>
          <w:rFonts w:ascii="Arial" w:hAnsi="Arial" w:cs="Arial"/>
          <w:lang w:val="en-US"/>
        </w:rPr>
      </w:pPr>
      <w:r>
        <w:rPr>
          <w:rStyle w:val="Odkaznapoznmkupodiarou"/>
          <w:rFonts w:ascii="Arial" w:hAnsi="Arial" w:cs="Arial"/>
        </w:rPr>
        <w:footnoteRef/>
      </w:r>
      <w:r>
        <w:rPr>
          <w:rFonts w:ascii="Arial" w:hAnsi="Arial" w:cs="Arial"/>
        </w:rPr>
        <w:t xml:space="preserve"> Park and </w:t>
      </w:r>
      <w:proofErr w:type="spellStart"/>
      <w:r>
        <w:rPr>
          <w:rFonts w:ascii="Arial" w:hAnsi="Arial" w:cs="Arial"/>
        </w:rPr>
        <w:t>Ride</w:t>
      </w:r>
      <w:proofErr w:type="spellEnd"/>
      <w:r>
        <w:rPr>
          <w:rFonts w:ascii="Arial" w:hAnsi="Arial" w:cs="Arial"/>
        </w:rPr>
        <w:t xml:space="preserv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w:t>
      </w:r>
      <w:proofErr w:type="spellStart"/>
      <w:r>
        <w:rPr>
          <w:rFonts w:ascii="Arial" w:hAnsi="Arial" w:cs="Arial"/>
        </w:rPr>
        <w:t>Bike</w:t>
      </w:r>
      <w:proofErr w:type="spellEnd"/>
      <w:r>
        <w:rPr>
          <w:rFonts w:ascii="Arial" w:hAnsi="Arial" w:cs="Arial"/>
        </w:rPr>
        <w:t xml:space="preserve"> and </w:t>
      </w:r>
      <w:proofErr w:type="spellStart"/>
      <w:r>
        <w:rPr>
          <w:rFonts w:ascii="Arial" w:hAnsi="Arial" w:cs="Arial"/>
        </w:rPr>
        <w:t>Ride</w:t>
      </w:r>
      <w:proofErr w:type="spellEnd"/>
      <w:r>
        <w:rPr>
          <w:rFonts w:ascii="Arial" w:hAnsi="Arial" w:cs="Arial"/>
        </w:rPr>
        <w:t xml:space="preserve"> (B+R) je názov pre systém </w:t>
      </w:r>
      <w:proofErr w:type="spellStart"/>
      <w:r>
        <w:rPr>
          <w:rFonts w:ascii="Arial" w:hAnsi="Arial" w:cs="Arial"/>
        </w:rPr>
        <w:t>cyklostojanov</w:t>
      </w:r>
      <w:proofErr w:type="spellEnd"/>
      <w:r>
        <w:rPr>
          <w:rFonts w:ascii="Arial" w:hAnsi="Arial" w:cs="Arial"/>
        </w:rPr>
        <w:t xml:space="preserve"> pri termináloch verejnej dopravy. Kiss and </w:t>
      </w:r>
      <w:proofErr w:type="spellStart"/>
      <w:r>
        <w:rPr>
          <w:rFonts w:ascii="Arial" w:hAnsi="Arial" w:cs="Arial"/>
        </w:rPr>
        <w:t>Ride</w:t>
      </w:r>
      <w:proofErr w:type="spellEnd"/>
      <w:r>
        <w:rPr>
          <w:rFonts w:ascii="Arial" w:hAnsi="Arial" w:cs="Arial"/>
        </w:rPr>
        <w:t xml:space="preserve"> (K+R) predstavuje systém bezpečného prestupu spolucestujúcich z osobného automobilu na prostriedky verejnej osobnej dopravy v blízkosti prestupných uzlov.</w:t>
      </w:r>
    </w:p>
  </w:footnote>
  <w:footnote w:id="42">
    <w:p>
      <w:pPr>
        <w:pStyle w:val="Textpoznmkypodiarou"/>
        <w:rPr>
          <w:rFonts w:ascii="Arial" w:hAnsi="Arial" w:cs="Arial"/>
        </w:rPr>
      </w:pPr>
      <w:r>
        <w:rPr>
          <w:rStyle w:val="Odkaznapoznmkupodiarou"/>
          <w:rFonts w:ascii="Arial" w:hAnsi="Arial" w:cs="Arial"/>
        </w:rPr>
        <w:footnoteRef/>
      </w:r>
      <w:r>
        <w:rPr>
          <w:rFonts w:ascii="Arial" w:hAnsi="Arial" w:cs="Arial"/>
        </w:rPr>
        <w:t xml:space="preserve"> http://mobilityplans.eu/docs/file/SUMP_Guide_SK_print_final.pdf</w:t>
      </w:r>
    </w:p>
  </w:footnote>
  <w:footnote w:id="43">
    <w:p>
      <w:pPr>
        <w:pStyle w:val="Textpoznmkypodiarou"/>
      </w:pPr>
      <w:r>
        <w:rPr>
          <w:rStyle w:val="Odkaznapoznmkupodiarou"/>
        </w:rPr>
        <w:footnoteRef/>
      </w:r>
      <w:r>
        <w:t xml:space="preserve"> </w:t>
      </w:r>
      <w:proofErr w:type="spellStart"/>
      <w:r>
        <w:t>Shared</w:t>
      </w:r>
      <w:proofErr w:type="spellEnd"/>
      <w:r>
        <w:t xml:space="preserve"> </w:t>
      </w:r>
      <w:proofErr w:type="spellStart"/>
      <w:r>
        <w:t>space</w:t>
      </w:r>
      <w:proofErr w:type="spellEnd"/>
      <w:r>
        <w:t xml:space="preserve"> je druh prístupu k mestskému dizajnu, ktorý sa snaží minimalizovať predelenia medzi automobilovou dopravou a chodcami, často tým, že odstráni prvky, ako sú obrubníky, značenie vozovky, dopravné značenie a predpisy.</w:t>
      </w:r>
    </w:p>
  </w:footnote>
  <w:footnote w:id="44">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w:t>
      </w:r>
      <w:proofErr w:type="spellStart"/>
      <w:r>
        <w:rPr>
          <w:rFonts w:ascii="Arial" w:hAnsi="Arial" w:cs="Arial"/>
        </w:rPr>
        <w:t>neonatálna</w:t>
      </w:r>
      <w:proofErr w:type="spellEnd"/>
      <w:r>
        <w:rPr>
          <w:rFonts w:ascii="Arial" w:hAnsi="Arial" w:cs="Arial"/>
        </w:rPr>
        <w:t xml:space="preserve"> intenzívna starostlivosť, v chirurgických a internistických odboroch pričom cieľom je v prípade vyliečenia a stabilizácie pacienta hospitalizáciu ukončiť a presunúť pacienta do ambulantnej starostlivosti alebo starostlivosti o dlhodobo chorých pacientov.</w:t>
      </w:r>
    </w:p>
  </w:footnote>
  <w:footnote w:id="45">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V zmysle čl. 69, ods. 3, písm. b) nariadenia Európskeho parlamentu a Rady (EÚ) č. 1303/2013 zo 17. decembra 2013 v platnom znení. </w:t>
      </w:r>
    </w:p>
  </w:footnote>
  <w:footnote w:id="46">
    <w:p>
      <w:pPr>
        <w:spacing w:after="0" w:line="240" w:lineRule="auto"/>
        <w:outlineLvl w:val="1"/>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podľa zákona č. 213/1997 Z. z. z 2. júla 1997 o neziskových organizáciách poskytujúcich všeobecne prospešné služby.</w:t>
      </w:r>
    </w:p>
  </w:footnote>
  <w:footnote w:id="47">
    <w:p>
      <w:pPr>
        <w:spacing w:before="100" w:beforeAutospacing="1" w:after="100" w:afterAutospacing="1" w:line="240" w:lineRule="auto"/>
        <w:jc w:val="both"/>
        <w:outlineLvl w:val="1"/>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Podľa § 7 ods. 4 písm. a)1. zákona č. 578/2004 </w:t>
      </w:r>
      <w:proofErr w:type="spellStart"/>
      <w:r>
        <w:rPr>
          <w:rFonts w:ascii="Arial" w:hAnsi="Arial" w:cs="Arial"/>
          <w:sz w:val="20"/>
          <w:szCs w:val="20"/>
        </w:rPr>
        <w:t>Z.z</w:t>
      </w:r>
      <w:proofErr w:type="spellEnd"/>
      <w:r>
        <w:rPr>
          <w:rFonts w:ascii="Arial" w:hAnsi="Arial" w:cs="Arial"/>
          <w:sz w:val="20"/>
          <w:szCs w:val="20"/>
        </w:rPr>
        <w:t>. z 21. októbra 2004 o poskytovateľoch zdravotnej starostlivosti, zdravotníckych pracovníkoch, stavovských organizáciách v zdravotníctve a o zmene a doplnení niektorých zákonov.</w:t>
      </w:r>
    </w:p>
  </w:footnote>
  <w:footnote w:id="48">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footnote>
  <w:footnote w:id="49">
    <w:p>
      <w:pPr>
        <w:pStyle w:val="Textpoznmkypodiarou"/>
        <w:jc w:val="both"/>
        <w:rPr>
          <w:rFonts w:ascii="Arial" w:hAnsi="Arial" w:cs="Arial"/>
        </w:rPr>
      </w:pPr>
      <w:r>
        <w:rPr>
          <w:rStyle w:val="Odkaznapoznmkupodiarou"/>
          <w:rFonts w:ascii="Arial" w:hAnsi="Arial" w:cs="Arial"/>
        </w:rPr>
        <w:footnoteRef/>
      </w:r>
      <w:r>
        <w:rPr>
          <w:rFonts w:ascii="Arial" w:hAnsi="Arial" w:cs="Arial"/>
        </w:rPr>
        <w:t xml:space="preserve"> Napr. Národný projekt „Podpora profesijnej orientácie žiakov základnej školy na odborné vzdelávanie a prípravu prostredníctvom rozvoja polytechnickej výchovy zameranej na rozvoj pracovných zručností a práca s talentami.“</w:t>
      </w:r>
    </w:p>
  </w:footnote>
  <w:footnote w:id="50">
    <w:p>
      <w:pPr>
        <w:pStyle w:val="Textpoznmkypodiarou"/>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Definícia účastníkov celoživotného vzdelávania v podporených subjektoch bude súčasťou programového manuálu k OP.</w:t>
      </w:r>
    </w:p>
  </w:footnote>
  <w:footnote w:id="51">
    <w:p>
      <w:pPr>
        <w:pStyle w:val="Textpoznmkypodiarou"/>
        <w:rPr>
          <w:rFonts w:ascii="Arial" w:hAnsi="Arial" w:cs="Arial"/>
          <w:sz w:val="18"/>
          <w:szCs w:val="18"/>
        </w:rPr>
      </w:pPr>
      <w:r>
        <w:rPr>
          <w:rStyle w:val="Odkaznapoznmkupodiarou"/>
          <w:rFonts w:ascii="Arial" w:hAnsi="Arial" w:cs="Arial"/>
          <w:sz w:val="18"/>
          <w:szCs w:val="18"/>
        </w:rPr>
        <w:footnoteRef/>
      </w:r>
      <w:r>
        <w:rPr>
          <w:rFonts w:ascii="Arial" w:hAnsi="Arial" w:cs="Arial"/>
          <w:sz w:val="18"/>
          <w:szCs w:val="18"/>
        </w:rPr>
        <w:t xml:space="preserve"> Definícia účastníkov celoživotného vzdelávania v podporených subjektoch bude súčasťou programového manuálu k OP.</w:t>
      </w:r>
    </w:p>
  </w:footnote>
  <w:footnote w:id="52">
    <w:p>
      <w:pPr>
        <w:pStyle w:val="Textpoznmkypodiarou"/>
        <w:rPr>
          <w:rFonts w:ascii="Arial" w:hAnsi="Arial" w:cs="Arial"/>
        </w:rPr>
      </w:pPr>
      <w:r>
        <w:rPr>
          <w:rStyle w:val="Odkaznapoznmkupodiarou"/>
          <w:rFonts w:ascii="Arial" w:hAnsi="Arial" w:cs="Arial"/>
        </w:rPr>
        <w:footnoteRef/>
      </w:r>
      <w:r>
        <w:rPr>
          <w:rFonts w:ascii="Arial" w:hAnsi="Arial" w:cs="Arial"/>
        </w:rPr>
        <w:t xml:space="preserve"> Zhodnotenie rozvojového potenciálu kultúrneho a kreatívneho priemyslu regiónov SR</w:t>
      </w:r>
    </w:p>
  </w:footnote>
  <w:footnote w:id="53">
    <w:p>
      <w:pPr>
        <w:pStyle w:val="Textpoznmkypodiarou"/>
      </w:pPr>
      <w:r>
        <w:rPr>
          <w:rStyle w:val="Odkaznapoznmkupodiarou"/>
          <w:rFonts w:ascii="Arial" w:hAnsi="Arial" w:cs="Arial"/>
        </w:rPr>
        <w:footnoteRef/>
      </w:r>
      <w:r>
        <w:rPr>
          <w:rFonts w:ascii="Arial" w:hAnsi="Arial" w:cs="Arial"/>
        </w:rPr>
        <w:t xml:space="preserve"> Definícia podľa </w:t>
      </w:r>
      <w:proofErr w:type="spellStart"/>
      <w:r>
        <w:rPr>
          <w:rFonts w:ascii="Arial" w:hAnsi="Arial" w:cs="Arial"/>
        </w:rPr>
        <w:t>Economy</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Culture</w:t>
      </w:r>
      <w:proofErr w:type="spellEnd"/>
      <w:r>
        <w:rPr>
          <w:rFonts w:ascii="Arial" w:hAnsi="Arial" w:cs="Arial"/>
        </w:rPr>
        <w:t xml:space="preserve"> (2006), KEA</w:t>
      </w:r>
    </w:p>
  </w:footnote>
  <w:footnote w:id="54">
    <w:p>
      <w:pPr>
        <w:pStyle w:val="Textpoznmkypodiarou"/>
      </w:pPr>
      <w:r>
        <w:rPr>
          <w:rStyle w:val="Odkaznapoznmkupodiarou"/>
        </w:rPr>
        <w:footnoteRef/>
      </w:r>
      <w:r>
        <w:t xml:space="preserve"> Definícia podľa </w:t>
      </w:r>
      <w:proofErr w:type="spellStart"/>
      <w:r>
        <w:t>Economy</w:t>
      </w:r>
      <w:proofErr w:type="spellEnd"/>
      <w:r>
        <w:t xml:space="preserve"> </w:t>
      </w:r>
      <w:proofErr w:type="spellStart"/>
      <w:r>
        <w:t>of</w:t>
      </w:r>
      <w:proofErr w:type="spellEnd"/>
      <w:r>
        <w:t xml:space="preserve"> </w:t>
      </w:r>
      <w:proofErr w:type="spellStart"/>
      <w:r>
        <w:t>Culture</w:t>
      </w:r>
      <w:proofErr w:type="spellEnd"/>
      <w:r>
        <w:t xml:space="preserve"> (2006), KEA</w:t>
      </w:r>
    </w:p>
    <w:p>
      <w:pPr>
        <w:pStyle w:val="Textpoznmkypodiarou"/>
      </w:pPr>
    </w:p>
  </w:footnote>
  <w:footnote w:id="55">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w:t>
      </w:r>
      <w:proofErr w:type="spellStart"/>
      <w:r>
        <w:rPr>
          <w:rFonts w:ascii="Arial" w:hAnsi="Arial" w:cs="Arial"/>
        </w:rPr>
        <w:t>Economy</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Culture</w:t>
      </w:r>
      <w:proofErr w:type="spellEnd"/>
      <w:r>
        <w:rPr>
          <w:rFonts w:ascii="Arial" w:hAnsi="Arial" w:cs="Arial"/>
        </w:rPr>
        <w:t xml:space="preserve"> (2006), KEA</w:t>
      </w:r>
    </w:p>
  </w:footnote>
  <w:footnote w:id="56">
    <w:p>
      <w:pPr>
        <w:pStyle w:val="Textpoznmkypodiarou"/>
        <w:rPr>
          <w:rFonts w:ascii="Arial" w:hAnsi="Arial" w:cs="Arial"/>
        </w:rPr>
      </w:pPr>
      <w:r>
        <w:rPr>
          <w:rStyle w:val="Odkaznapoznmkupodiarou"/>
          <w:rFonts w:ascii="Arial" w:hAnsi="Arial" w:cs="Arial"/>
        </w:rPr>
        <w:footnoteRef/>
      </w:r>
      <w:r>
        <w:rPr>
          <w:rFonts w:ascii="Arial" w:hAnsi="Arial" w:cs="Arial"/>
        </w:rPr>
        <w:t xml:space="preserve"> Definícia podľa </w:t>
      </w:r>
      <w:proofErr w:type="spellStart"/>
      <w:r>
        <w:rPr>
          <w:rFonts w:ascii="Arial" w:hAnsi="Arial" w:cs="Arial"/>
        </w:rPr>
        <w:t>Economy</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Culture</w:t>
      </w:r>
      <w:proofErr w:type="spellEnd"/>
      <w:r>
        <w:rPr>
          <w:rFonts w:ascii="Arial" w:hAnsi="Arial" w:cs="Arial"/>
        </w:rPr>
        <w:t xml:space="preserve"> (2006), KEA</w:t>
      </w:r>
    </w:p>
  </w:footnote>
  <w:footnote w:id="57">
    <w:p>
      <w:pPr>
        <w:pStyle w:val="Textpoznmkypodiarou"/>
        <w:rPr>
          <w:rFonts w:ascii="Arial" w:hAnsi="Arial" w:cs="Arial"/>
        </w:rPr>
      </w:pPr>
      <w:r>
        <w:rPr>
          <w:rStyle w:val="Odkaznapoznmkupodiarou"/>
          <w:rFonts w:ascii="Arial" w:hAnsi="Arial" w:cs="Arial"/>
        </w:rPr>
        <w:footnoteRef/>
      </w:r>
      <w:r>
        <w:rPr>
          <w:rFonts w:ascii="Arial" w:hAnsi="Arial" w:cs="Arial"/>
        </w:rPr>
        <w:t xml:space="preserve"> </w:t>
      </w:r>
      <w:proofErr w:type="spellStart"/>
      <w:r>
        <w:rPr>
          <w:rFonts w:ascii="Arial" w:hAnsi="Arial" w:cs="Arial"/>
        </w:rPr>
        <w:t>Energy</w:t>
      </w:r>
      <w:proofErr w:type="spellEnd"/>
      <w:r>
        <w:rPr>
          <w:rFonts w:ascii="Arial" w:hAnsi="Arial" w:cs="Arial"/>
        </w:rPr>
        <w:t xml:space="preserve"> </w:t>
      </w:r>
      <w:proofErr w:type="spellStart"/>
      <w:r>
        <w:rPr>
          <w:rFonts w:ascii="Arial" w:hAnsi="Arial" w:cs="Arial"/>
        </w:rPr>
        <w:t>Performance</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Buildings</w:t>
      </w:r>
      <w:proofErr w:type="spellEnd"/>
      <w:r>
        <w:rPr>
          <w:rFonts w:ascii="Arial" w:hAnsi="Arial" w:cs="Arial"/>
        </w:rPr>
        <w:t xml:space="preserve"> </w:t>
      </w:r>
      <w:proofErr w:type="spellStart"/>
      <w:r>
        <w:rPr>
          <w:rFonts w:ascii="Arial" w:hAnsi="Arial" w:cs="Arial"/>
        </w:rPr>
        <w:t>Directive</w:t>
      </w:r>
      <w:proofErr w:type="spellEnd"/>
      <w:r>
        <w:rPr>
          <w:rFonts w:ascii="Arial" w:hAnsi="Arial" w:cs="Arial"/>
        </w:rPr>
        <w:t xml:space="preserve"> (</w:t>
      </w:r>
      <w:proofErr w:type="spellStart"/>
      <w:r>
        <w:rPr>
          <w:rFonts w:ascii="Arial" w:hAnsi="Arial" w:cs="Arial"/>
        </w:rPr>
        <w:t>Directive</w:t>
      </w:r>
      <w:proofErr w:type="spellEnd"/>
      <w:r>
        <w:rPr>
          <w:rFonts w:ascii="Arial" w:hAnsi="Arial" w:cs="Arial"/>
        </w:rPr>
        <w:t xml:space="preserve"> 2002/91/EC,EPBD)</w:t>
      </w:r>
    </w:p>
  </w:footnote>
  <w:footnote w:id="58">
    <w:p>
      <w:pPr>
        <w:pStyle w:val="Textpoznmkypodiarou"/>
        <w:rPr>
          <w:rFonts w:ascii="Arial" w:hAnsi="Arial" w:cs="Arial"/>
        </w:rPr>
      </w:pPr>
      <w:r>
        <w:rPr>
          <w:rStyle w:val="Odkaznapoznmkupodiarou"/>
          <w:rFonts w:ascii="Arial" w:hAnsi="Arial" w:cs="Arial"/>
        </w:rPr>
        <w:footnoteRef/>
      </w:r>
      <w:r>
        <w:rPr>
          <w:rFonts w:ascii="Arial" w:hAnsi="Arial" w:cs="Arial"/>
        </w:rPr>
        <w:t xml:space="preserve"> Opatrenia vychádzajú z Národného plánu zameraného na zvyšovanie počtu budov s takmer nulovou potrebou energie</w:t>
      </w:r>
    </w:p>
  </w:footnote>
  <w:footnote w:id="59">
    <w:p>
      <w:pPr>
        <w:pStyle w:val="Textpoznmkypodiarou"/>
      </w:pPr>
      <w:r>
        <w:rPr>
          <w:rStyle w:val="Odkaznapoznmkupodiarou"/>
        </w:rPr>
        <w:footnoteRef/>
      </w:r>
      <w:r>
        <w:t xml:space="preserve"> Prispôsobovanie sa nepriaznivým dôsledkom zmeny klímy</w:t>
      </w:r>
    </w:p>
  </w:footnote>
  <w:footnote w:id="60">
    <w:p>
      <w:pPr>
        <w:pStyle w:val="Textpoznmkypodiarou"/>
      </w:pPr>
      <w:r>
        <w:rPr>
          <w:rStyle w:val="Odkaznapoznmkupodiarou"/>
        </w:rPr>
        <w:footnoteRef/>
      </w:r>
      <w:r>
        <w:t xml:space="preserve"> COM (2005) 718 v konečnom znení</w:t>
      </w:r>
    </w:p>
  </w:footnote>
  <w:footnote w:id="61">
    <w:p>
      <w:pPr>
        <w:pStyle w:val="Textpoznmkypodiarou"/>
        <w:rPr>
          <w:rFonts w:ascii="Arial" w:hAnsi="Arial" w:cs="Arial"/>
        </w:rPr>
      </w:pPr>
      <w:r>
        <w:rPr>
          <w:rStyle w:val="Odkaznapoznmkupodiarou"/>
          <w:rFonts w:ascii="Arial" w:hAnsi="Arial" w:cs="Arial"/>
        </w:rPr>
        <w:footnoteRef/>
      </w:r>
      <w:hyperlink r:id="rId2" w:history="1">
        <w:r>
          <w:rPr>
            <w:rStyle w:val="Hypertextovprepojenie"/>
            <w:rFonts w:ascii="Arial" w:hAnsi="Arial" w:cs="Arial"/>
            <w:color w:val="auto"/>
          </w:rPr>
          <w:t>http://www.uzemneplany.sk/zakon/projekty-pre-brownfield-a-ich-mapovanie</w:t>
        </w:r>
      </w:hyperlink>
    </w:p>
  </w:footnote>
  <w:footnote w:id="62">
    <w:p>
      <w:pPr>
        <w:spacing w:after="0"/>
        <w:rPr>
          <w:rFonts w:ascii="Arial" w:eastAsiaTheme="minorEastAsia"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w:t>
      </w:r>
      <w:hyperlink r:id="rId3" w:history="1">
        <w:r>
          <w:rPr>
            <w:rStyle w:val="Hypertextovprepojenie"/>
            <w:rFonts w:ascii="Arial" w:hAnsi="Arial" w:cs="Arial"/>
            <w:color w:val="auto"/>
            <w:sz w:val="20"/>
            <w:szCs w:val="20"/>
          </w:rPr>
          <w:t>http://www.enviroportal.sk/sk/eia/detail/aktualizovana-narodna-strategia-ochrany-biodiverzity-pre-roky-2012-2020</w:t>
        </w:r>
      </w:hyperlink>
    </w:p>
  </w:footnote>
  <w:footnote w:id="63">
    <w:p>
      <w:pPr>
        <w:pStyle w:val="Textpoznmkypodiarou"/>
        <w:rPr>
          <w:rFonts w:ascii="Arial" w:hAnsi="Arial" w:cs="Arial"/>
        </w:rPr>
      </w:pPr>
      <w:r>
        <w:rPr>
          <w:rStyle w:val="Odkaznapoznmkupodiarou"/>
          <w:rFonts w:ascii="Arial" w:hAnsi="Arial" w:cs="Arial"/>
        </w:rPr>
        <w:footnoteRef/>
      </w:r>
      <w:r>
        <w:rPr>
          <w:rFonts w:ascii="Arial" w:hAnsi="Arial" w:cs="Arial"/>
        </w:rPr>
        <w:t xml:space="preserve"> </w:t>
      </w:r>
      <w:hyperlink r:id="rId4" w:history="1">
        <w:r>
          <w:rPr>
            <w:rStyle w:val="Hypertextovprepojenie"/>
            <w:rFonts w:ascii="Arial" w:hAnsi="Arial" w:cs="Arial"/>
            <w:color w:val="auto"/>
          </w:rPr>
          <w:t>http://www.rokovania.sk/File.aspx/ViewDocumentHtml/Mater-Dokum-141217?prefixFile=m_</w:t>
        </w:r>
      </w:hyperlink>
      <w:r>
        <w:rPr>
          <w:rStyle w:val="Hypertextovprepojenie"/>
          <w:rFonts w:ascii="Arial" w:hAnsi="Arial" w:cs="Arial"/>
          <w:color w:val="auto"/>
        </w:rPr>
        <w:t xml:space="preserve"> </w:t>
      </w:r>
    </w:p>
  </w:footnote>
  <w:footnote w:id="64">
    <w:p>
      <w:pPr>
        <w:spacing w:after="0"/>
        <w:rPr>
          <w:rFonts w:ascii="Arial" w:hAnsi="Arial" w:cs="Arial"/>
          <w:sz w:val="20"/>
          <w:szCs w:val="20"/>
        </w:rPr>
      </w:pPr>
      <w:r>
        <w:rPr>
          <w:rStyle w:val="Odkaznapoznmkupodiarou"/>
          <w:rFonts w:ascii="Arial" w:hAnsi="Arial" w:cs="Arial"/>
          <w:sz w:val="20"/>
          <w:szCs w:val="20"/>
        </w:rPr>
        <w:footnoteRef/>
      </w:r>
      <w:r>
        <w:rPr>
          <w:rFonts w:ascii="Arial" w:hAnsi="Arial" w:cs="Arial"/>
          <w:sz w:val="20"/>
          <w:szCs w:val="20"/>
        </w:rPr>
        <w:t xml:space="preserve"> NPR 2011 – 2014 bol schválený </w:t>
      </w:r>
      <w:r>
        <w:rPr>
          <w:rFonts w:ascii="Arial" w:hAnsi="Arial" w:cs="Arial"/>
          <w:iCs/>
          <w:sz w:val="20"/>
          <w:szCs w:val="20"/>
        </w:rPr>
        <w:t xml:space="preserve">uznesením vlády SR </w:t>
      </w:r>
      <w:r>
        <w:rPr>
          <w:rFonts w:ascii="Arial" w:hAnsi="Arial" w:cs="Arial"/>
          <w:bCs/>
          <w:sz w:val="20"/>
          <w:szCs w:val="20"/>
        </w:rPr>
        <w:t>č. 256</w:t>
      </w:r>
      <w:r>
        <w:rPr>
          <w:rFonts w:ascii="Arial" w:hAnsi="Arial" w:cs="Arial"/>
          <w:sz w:val="20"/>
          <w:szCs w:val="20"/>
        </w:rPr>
        <w:t xml:space="preserve"> z 20. apríla 2011 a opakovane aktualizovaný na súčasne platný NPR 2013, schválený </w:t>
      </w:r>
      <w:r>
        <w:rPr>
          <w:rFonts w:ascii="Arial" w:hAnsi="Arial" w:cs="Arial"/>
          <w:iCs/>
          <w:sz w:val="20"/>
          <w:szCs w:val="20"/>
        </w:rPr>
        <w:t xml:space="preserve">uznesením vlády SR </w:t>
      </w:r>
      <w:r>
        <w:rPr>
          <w:rFonts w:ascii="Arial" w:hAnsi="Arial" w:cs="Arial"/>
          <w:bCs/>
          <w:sz w:val="20"/>
          <w:szCs w:val="20"/>
        </w:rPr>
        <w:t>č. 198</w:t>
      </w:r>
      <w:r>
        <w:rPr>
          <w:rFonts w:ascii="Arial" w:hAnsi="Arial" w:cs="Arial"/>
          <w:sz w:val="20"/>
          <w:szCs w:val="20"/>
        </w:rPr>
        <w:t xml:space="preserve"> z 24. apríla 2013. </w:t>
      </w:r>
    </w:p>
    <w:p>
      <w:pPr>
        <w:pStyle w:val="Textpoznmkypodiarou"/>
      </w:pPr>
    </w:p>
  </w:footnote>
  <w:footnote w:id="65">
    <w:p>
      <w:pPr>
        <w:pStyle w:val="Textpoznmkypodiarou"/>
        <w:jc w:val="both"/>
        <w:rPr>
          <w:rFonts w:ascii="Arial" w:hAnsi="Arial" w:cs="Arial"/>
          <w:sz w:val="16"/>
          <w:szCs w:val="16"/>
        </w:rPr>
      </w:pPr>
      <w:r>
        <w:rPr>
          <w:rStyle w:val="Odkaznapoznmkupodiarou"/>
          <w:rFonts w:ascii="Arial" w:hAnsi="Arial" w:cs="Arial"/>
        </w:rPr>
        <w:footnoteRef/>
      </w:r>
      <w:r>
        <w:rPr>
          <w:rFonts w:ascii="Arial" w:hAnsi="Arial" w:cs="Arial"/>
        </w:rPr>
        <w:t xml:space="preserve"> </w:t>
      </w:r>
      <w:r>
        <w:rPr>
          <w:rFonts w:ascii="Arial" w:hAnsi="Arial" w:cs="Arial"/>
          <w:sz w:val="16"/>
          <w:szCs w:val="16"/>
        </w:rPr>
        <w:t xml:space="preserve">Poskytovaný bude úver s úrokovou sadzbou 1,5% s dobou splatnosti 20 rokov a výškou poskytnutého úveru max. 75% oprávnených nákladov na obnovu bytovej budovy.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lavika"/>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lavika"/>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5EC65E5"/>
    <w:multiLevelType w:val="hybridMultilevel"/>
    <w:tmpl w:val="21CAB3F6"/>
    <w:lvl w:ilvl="0" w:tplc="9A4A73F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B4D4602"/>
    <w:multiLevelType w:val="hybridMultilevel"/>
    <w:tmpl w:val="EF7E4508"/>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9186E95"/>
    <w:multiLevelType w:val="hybridMultilevel"/>
    <w:tmpl w:val="788052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97C707B"/>
    <w:multiLevelType w:val="hybridMultilevel"/>
    <w:tmpl w:val="C44AC5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21">
    <w:nsid w:val="1FE2577B"/>
    <w:multiLevelType w:val="hybridMultilevel"/>
    <w:tmpl w:val="AC9A04EC"/>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29E4C65"/>
    <w:multiLevelType w:val="hybridMultilevel"/>
    <w:tmpl w:val="ED8CC01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4657B41"/>
    <w:multiLevelType w:val="hybridMultilevel"/>
    <w:tmpl w:val="7368DC78"/>
    <w:lvl w:ilvl="0" w:tplc="CC626FC8">
      <w:start w:val="2"/>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4C541C7"/>
    <w:multiLevelType w:val="hybridMultilevel"/>
    <w:tmpl w:val="4418994E"/>
    <w:lvl w:ilvl="0" w:tplc="9B3CE3CC">
      <w:numFmt w:val="bullet"/>
      <w:lvlText w:val="-"/>
      <w:lvlJc w:val="left"/>
      <w:pPr>
        <w:ind w:left="720" w:hanging="360"/>
      </w:pPr>
      <w:rPr>
        <w:rFonts w:ascii="Arial" w:eastAsia="Times New Roman"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A041384"/>
    <w:multiLevelType w:val="hybridMultilevel"/>
    <w:tmpl w:val="E6BC7482"/>
    <w:lvl w:ilvl="0" w:tplc="B006444C">
      <w:start w:val="5"/>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DE13DE8"/>
    <w:multiLevelType w:val="hybridMultilevel"/>
    <w:tmpl w:val="55A64F38"/>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63311B0"/>
    <w:multiLevelType w:val="hybridMultilevel"/>
    <w:tmpl w:val="6A56D89A"/>
    <w:lvl w:ilvl="0" w:tplc="19B497C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67E5124"/>
    <w:multiLevelType w:val="hybridMultilevel"/>
    <w:tmpl w:val="19DED9EE"/>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C107FF3"/>
    <w:multiLevelType w:val="hybridMultilevel"/>
    <w:tmpl w:val="A14EC5D2"/>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6">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7">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3F8356F0"/>
    <w:multiLevelType w:val="hybridMultilevel"/>
    <w:tmpl w:val="DE7A69BA"/>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42E16B7A"/>
    <w:multiLevelType w:val="hybridMultilevel"/>
    <w:tmpl w:val="D9AC2364"/>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4">
    <w:nsid w:val="4973739C"/>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5">
    <w:nsid w:val="4B775665"/>
    <w:multiLevelType w:val="hybridMultilevel"/>
    <w:tmpl w:val="E4483E88"/>
    <w:lvl w:ilvl="0" w:tplc="CC626FC8">
      <w:start w:val="2"/>
      <w:numFmt w:val="bullet"/>
      <w:lvlText w:val="-"/>
      <w:lvlJc w:val="left"/>
      <w:pPr>
        <w:ind w:left="720" w:hanging="360"/>
      </w:pPr>
      <w:rPr>
        <w:rFonts w:ascii="Cambria" w:eastAsia="Times New Roman" w:hAnsi="Cambri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0">
    <w:nsid w:val="52C63221"/>
    <w:multiLevelType w:val="hybridMultilevel"/>
    <w:tmpl w:val="D456A4D6"/>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55457551"/>
    <w:multiLevelType w:val="hybridMultilevel"/>
    <w:tmpl w:val="0E3EC3C8"/>
    <w:lvl w:ilvl="0" w:tplc="419E9E4A">
      <w:start w:val="1"/>
      <w:numFmt w:val="lowerLetter"/>
      <w:lvlText w:val="%1)"/>
      <w:lvlJc w:val="left"/>
      <w:pPr>
        <w:ind w:left="1080" w:hanging="360"/>
      </w:pPr>
      <w:rPr>
        <w:b w:val="0"/>
        <w:sz w:val="16"/>
        <w:szCs w:val="16"/>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54">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62B626FC"/>
    <w:multiLevelType w:val="hybridMultilevel"/>
    <w:tmpl w:val="97669172"/>
    <w:lvl w:ilvl="0" w:tplc="3804794A">
      <w:numFmt w:val="bullet"/>
      <w:lvlText w:val="-"/>
      <w:lvlJc w:val="left"/>
      <w:pPr>
        <w:tabs>
          <w:tab w:val="num" w:pos="360"/>
        </w:tabs>
        <w:ind w:left="360" w:hanging="360"/>
      </w:pPr>
      <w:rPr>
        <w:rFonts w:ascii="Arial" w:eastAsia="Times New Roman" w:hAnsi="Arial" w:hint="default"/>
        <w:b w:val="0"/>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59">
    <w:nsid w:val="63324681"/>
    <w:multiLevelType w:val="hybridMultilevel"/>
    <w:tmpl w:val="FC40A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648F7EBA"/>
    <w:multiLevelType w:val="hybridMultilevel"/>
    <w:tmpl w:val="B180E7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65EA115A"/>
    <w:multiLevelType w:val="hybridMultilevel"/>
    <w:tmpl w:val="90A813E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6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66">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67">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8">
    <w:nsid w:val="67CE0C62"/>
    <w:multiLevelType w:val="hybridMultilevel"/>
    <w:tmpl w:val="6DD4D4C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8">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7D25405B"/>
    <w:multiLevelType w:val="hybridMultilevel"/>
    <w:tmpl w:val="6E120142"/>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num w:numId="1">
    <w:abstractNumId w:val="72"/>
  </w:num>
  <w:num w:numId="2">
    <w:abstractNumId w:val="58"/>
  </w:num>
  <w:num w:numId="3">
    <w:abstractNumId w:val="5"/>
  </w:num>
  <w:num w:numId="4">
    <w:abstractNumId w:val="0"/>
  </w:num>
  <w:num w:numId="5">
    <w:abstractNumId w:val="11"/>
  </w:num>
  <w:num w:numId="6">
    <w:abstractNumId w:val="74"/>
  </w:num>
  <w:num w:numId="7">
    <w:abstractNumId w:val="16"/>
  </w:num>
  <w:num w:numId="8">
    <w:abstractNumId w:val="14"/>
  </w:num>
  <w:num w:numId="9">
    <w:abstractNumId w:val="46"/>
  </w:num>
  <w:num w:numId="10">
    <w:abstractNumId w:val="78"/>
  </w:num>
  <w:num w:numId="11">
    <w:abstractNumId w:val="45"/>
  </w:num>
  <w:num w:numId="12">
    <w:abstractNumId w:val="79"/>
  </w:num>
  <w:num w:numId="13">
    <w:abstractNumId w:val="67"/>
  </w:num>
  <w:num w:numId="14">
    <w:abstractNumId w:val="76"/>
  </w:num>
  <w:num w:numId="15">
    <w:abstractNumId w:val="8"/>
  </w:num>
  <w:num w:numId="16">
    <w:abstractNumId w:val="56"/>
  </w:num>
  <w:num w:numId="17">
    <w:abstractNumId w:val="9"/>
  </w:num>
  <w:num w:numId="18">
    <w:abstractNumId w:val="28"/>
  </w:num>
  <w:num w:numId="19">
    <w:abstractNumId w:val="13"/>
  </w:num>
  <w:num w:numId="20">
    <w:abstractNumId w:val="4"/>
  </w:num>
  <w:num w:numId="21">
    <w:abstractNumId w:val="66"/>
  </w:num>
  <w:num w:numId="22">
    <w:abstractNumId w:val="70"/>
  </w:num>
  <w:num w:numId="23">
    <w:abstractNumId w:val="44"/>
  </w:num>
  <w:num w:numId="24">
    <w:abstractNumId w:val="36"/>
  </w:num>
  <w:num w:numId="25">
    <w:abstractNumId w:val="63"/>
  </w:num>
  <w:num w:numId="26">
    <w:abstractNumId w:val="65"/>
  </w:num>
  <w:num w:numId="27">
    <w:abstractNumId w:val="64"/>
  </w:num>
  <w:num w:numId="28">
    <w:abstractNumId w:val="39"/>
  </w:num>
  <w:num w:numId="29">
    <w:abstractNumId w:val="6"/>
  </w:num>
  <w:num w:numId="30">
    <w:abstractNumId w:val="52"/>
  </w:num>
  <w:num w:numId="31">
    <w:abstractNumId w:val="81"/>
  </w:num>
  <w:num w:numId="32">
    <w:abstractNumId w:val="48"/>
  </w:num>
  <w:num w:numId="33">
    <w:abstractNumId w:val="80"/>
  </w:num>
  <w:num w:numId="34">
    <w:abstractNumId w:val="69"/>
  </w:num>
  <w:num w:numId="35">
    <w:abstractNumId w:val="55"/>
  </w:num>
  <w:num w:numId="36">
    <w:abstractNumId w:val="42"/>
  </w:num>
  <w:num w:numId="37">
    <w:abstractNumId w:val="40"/>
  </w:num>
  <w:num w:numId="38">
    <w:abstractNumId w:val="51"/>
  </w:num>
  <w:num w:numId="39">
    <w:abstractNumId w:val="34"/>
  </w:num>
  <w:num w:numId="40">
    <w:abstractNumId w:val="21"/>
  </w:num>
  <w:num w:numId="41">
    <w:abstractNumId w:val="29"/>
  </w:num>
  <w:num w:numId="42">
    <w:abstractNumId w:val="17"/>
  </w:num>
  <w:num w:numId="43">
    <w:abstractNumId w:val="26"/>
  </w:num>
  <w:num w:numId="44">
    <w:abstractNumId w:val="71"/>
  </w:num>
  <w:num w:numId="45">
    <w:abstractNumId w:val="37"/>
  </w:num>
  <w:num w:numId="46">
    <w:abstractNumId w:val="62"/>
  </w:num>
  <w:num w:numId="47">
    <w:abstractNumId w:val="73"/>
  </w:num>
  <w:num w:numId="48">
    <w:abstractNumId w:val="54"/>
  </w:num>
  <w:num w:numId="49">
    <w:abstractNumId w:val="23"/>
  </w:num>
  <w:num w:numId="50">
    <w:abstractNumId w:val="30"/>
  </w:num>
  <w:num w:numId="51">
    <w:abstractNumId w:val="33"/>
  </w:num>
  <w:num w:numId="52">
    <w:abstractNumId w:val="38"/>
  </w:num>
  <w:num w:numId="53">
    <w:abstractNumId w:val="10"/>
  </w:num>
  <w:num w:numId="54">
    <w:abstractNumId w:val="47"/>
  </w:num>
  <w:num w:numId="55">
    <w:abstractNumId w:val="50"/>
  </w:num>
  <w:num w:numId="56">
    <w:abstractNumId w:val="68"/>
  </w:num>
  <w:num w:numId="57">
    <w:abstractNumId w:val="27"/>
  </w:num>
  <w:num w:numId="58">
    <w:abstractNumId w:val="22"/>
  </w:num>
  <w:num w:numId="59">
    <w:abstractNumId w:val="41"/>
  </w:num>
  <w:num w:numId="60">
    <w:abstractNumId w:val="31"/>
  </w:num>
  <w:num w:numId="61">
    <w:abstractNumId w:val="35"/>
  </w:num>
  <w:num w:numId="62">
    <w:abstractNumId w:val="12"/>
  </w:num>
  <w:num w:numId="63">
    <w:abstractNumId w:val="20"/>
  </w:num>
  <w:num w:numId="64">
    <w:abstractNumId w:val="58"/>
  </w:num>
  <w:num w:numId="65">
    <w:abstractNumId w:val="51"/>
  </w:num>
  <w:num w:numId="66">
    <w:abstractNumId w:val="7"/>
  </w:num>
  <w:num w:numId="67">
    <w:abstractNumId w:val="24"/>
  </w:num>
  <w:num w:numId="68">
    <w:abstractNumId w:val="80"/>
  </w:num>
  <w:num w:numId="69">
    <w:abstractNumId w:val="58"/>
  </w:num>
  <w:num w:numId="70">
    <w:abstractNumId w:val="25"/>
  </w:num>
  <w:num w:numId="71">
    <w:abstractNumId w:val="75"/>
  </w:num>
  <w:num w:numId="72">
    <w:abstractNumId w:val="19"/>
  </w:num>
  <w:num w:numId="73">
    <w:abstractNumId w:val="43"/>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77"/>
  </w:num>
  <w:num w:numId="77">
    <w:abstractNumId w:val="82"/>
  </w:num>
  <w:num w:numId="78">
    <w:abstractNumId w:val="59"/>
  </w:num>
  <w:num w:numId="79">
    <w:abstractNumId w:val="57"/>
  </w:num>
  <w:num w:numId="80">
    <w:abstractNumId w:val="15"/>
  </w:num>
  <w:num w:numId="81">
    <w:abstractNumId w:val="18"/>
  </w:num>
  <w:num w:numId="82">
    <w:abstractNumId w:val="61"/>
  </w:num>
  <w:num w:numId="83">
    <w:abstractNumId w:val="49"/>
  </w:num>
  <w:num w:numId="84">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zoznamzvraznenie11">
    <w:name w:val="Svetlý zoznam – zvýraznenie 11"/>
    <w:basedOn w:val="Normlnatabuka"/>
    <w:uiPriority w:val="61"/>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uiPriority w:val="99"/>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zoznamzvraznenie11">
    <w:name w:val="Svetlý zoznam – zvýraznenie 11"/>
    <w:basedOn w:val="Normlnatabuka"/>
    <w:uiPriority w:val="61"/>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uiPriority w:val="99"/>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sk/?strategia-v-zdravotnictve" TargetMode="External"/><Relationship Id="rId21" Type="http://schemas.openxmlformats.org/officeDocument/2006/relationships/hyperlink" Target="http://www.telecom.gov.sk" TargetMode="External"/><Relationship Id="rId42" Type="http://schemas.openxmlformats.org/officeDocument/2006/relationships/hyperlink" Target="http://www.gender.gov.sk/?page_id=294" TargetMode="External"/><Relationship Id="rId47" Type="http://schemas.openxmlformats.org/officeDocument/2006/relationships/hyperlink" Target="http://www.opzp.sk/dokumenty/projektove-dokumenty/rozhodnutia-uvo-sr-v-procesoch-vo-v-ramci-projketov-op-zp-v-programovom-obdobi-2007-2013/" TargetMode="External"/><Relationship Id="rId63" Type="http://schemas.openxmlformats.org/officeDocument/2006/relationships/image" Target="media/image1.emf"/><Relationship Id="rId68" Type="http://schemas.openxmlformats.org/officeDocument/2006/relationships/image" Target="media/image6.png"/><Relationship Id="rId16" Type="http://schemas.openxmlformats.org/officeDocument/2006/relationships/hyperlink" Target="http://www.telecom.gov.sk/index/index.php?ids=83478" TargetMode="External"/><Relationship Id="rId11" Type="http://schemas.openxmlformats.org/officeDocument/2006/relationships/footer" Target="footer1.xml"/><Relationship Id="rId24" Type="http://schemas.openxmlformats.org/officeDocument/2006/relationships/hyperlink" Target="http://www.employment.gov.sk/files/legislativa/dokumenty-zoznamy-pod/strategia-deinstitucionalizacie-systemu-socialnych-sluzieb-nahradnej-starostlivosti-1.pdf" TargetMode="External"/><Relationship Id="rId32" Type="http://schemas.openxmlformats.org/officeDocument/2006/relationships/hyperlink" Target="http://www.minedu.sk/9772-sk/dokumenty-a-predpisy/" TargetMode="External"/><Relationship Id="rId37" Type="http://schemas.openxmlformats.org/officeDocument/2006/relationships/hyperlink" Target="http://www.zakonypreludi.sk/zz/2013-60" TargetMode="External"/><Relationship Id="rId40" Type="http://schemas.openxmlformats.org/officeDocument/2006/relationships/hyperlink" Target="http://www.zakonypreludi.sk/zz/2013-60" TargetMode="External"/><Relationship Id="rId45" Type="http://schemas.openxmlformats.org/officeDocument/2006/relationships/hyperlink" Target="http://www.upsvar.sk/buxus/docs//urady/VK/vo/13-z095.pdf" TargetMode="External"/><Relationship Id="rId53" Type="http://schemas.openxmlformats.org/officeDocument/2006/relationships/hyperlink" Target="http://www.tvorbansk.sk/" TargetMode="External"/><Relationship Id="rId58" Type="http://schemas.openxmlformats.org/officeDocument/2006/relationships/diagramData" Target="diagrams/data1.xml"/><Relationship Id="rId66" Type="http://schemas.openxmlformats.org/officeDocument/2006/relationships/image" Target="media/image4.png"/><Relationship Id="rId74" Type="http://schemas.openxmlformats.org/officeDocument/2006/relationships/fontTable" Target="fontTable.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diagramColors" Target="diagrams/colors1.xml"/><Relationship Id="rId19" Type="http://schemas.openxmlformats.org/officeDocument/2006/relationships/hyperlink" Target="http://www.telecom.gov.sk/index/index.php?ids=147132" TargetMode="External"/><Relationship Id="rId14" Type="http://schemas.openxmlformats.org/officeDocument/2006/relationships/hyperlink" Target="http://www.rokovanie.sk/Rokovanie.aspx/BodRokovaniaDetail?idMaterial=23039" TargetMode="External"/><Relationship Id="rId22" Type="http://schemas.openxmlformats.org/officeDocument/2006/relationships/hyperlink" Target="http://www.employment.gov.sk/sk/rodina-socialna-pomoc/socialne-sluzby/" TargetMode="External"/><Relationship Id="rId27" Type="http://schemas.openxmlformats.org/officeDocument/2006/relationships/hyperlink" Target="http://www.minedu.sk/zakon-o-odbornom-vzdelavani-a-priprave/" TargetMode="External"/><Relationship Id="rId30" Type="http://schemas.openxmlformats.org/officeDocument/2006/relationships/hyperlink" Target="http://www.npmrk2.sk/" TargetMode="External"/><Relationship Id="rId35" Type="http://schemas.openxmlformats.org/officeDocument/2006/relationships/hyperlink" Target="http://www.minedu.sk/zakon-o-odbornom-vzdelavani-a-priprave/" TargetMode="External"/><Relationship Id="rId43" Type="http://schemas.openxmlformats.org/officeDocument/2006/relationships/hyperlink" Target="http://www.employment.gov.sk/files/slovensky/rodina-socialna-pomoc/tazke-zdravotne-postihnutie/narodny-program-rozvoja-zivotnych-podmienok-osob-so-zdravotnym-postihnutim-roky-2014-2020.pdf" TargetMode="External"/><Relationship Id="rId48" Type="http://schemas.openxmlformats.org/officeDocument/2006/relationships/hyperlink" Target="http://www.ropka.sk/sk/verejne-obstaravania/" TargetMode="External"/><Relationship Id="rId56" Type="http://schemas.openxmlformats.org/officeDocument/2006/relationships/hyperlink" Target="http://www.tvorbansk.sk/" TargetMode="External"/><Relationship Id="rId64" Type="http://schemas.openxmlformats.org/officeDocument/2006/relationships/image" Target="media/image2.emf"/><Relationship Id="rId69" Type="http://schemas.openxmlformats.org/officeDocument/2006/relationships/image" Target="media/image7.emf"/><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www.uvo.gov.sk/metodicke-usmernenia" TargetMode="Externa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telecom.gov.sk/index/index.php?ids=83478" TargetMode="External"/><Relationship Id="rId25" Type="http://schemas.openxmlformats.org/officeDocument/2006/relationships/hyperlink" Target="http://archive-sk.com/page/53579/2012-06-15/http://www.upsvar.sk/detske-domovy-a-ine-zariadenia/detske-domovy/dokumenty/koncepcia-zabezpecovania-vykonu-sudnych-rozhodnuti-v-detskych-domovoch-na-roky-2012-2015-s-vyhladom-do-roku-2020plan-transformacie-a-deinstitucionalizacie-nahradnej-starostlivosti.html?page_id=143966" TargetMode="External"/><Relationship Id="rId33" Type="http://schemas.openxmlformats.org/officeDocument/2006/relationships/hyperlink" Target="http://old.minedu.sk/data/USERDATA/DalsieVzdel/VDOC/Akcny%20plan%20Strategie%20CZV%202011_final.pdf" TargetMode="External"/><Relationship Id="rId38" Type="http://schemas.openxmlformats.org/officeDocument/2006/relationships/hyperlink" Target="http://www.gender.gov.sk/wp-content/uploads/2012/06/365_2004_Zz_v20130401.pdf" TargetMode="External"/><Relationship Id="rId46" Type="http://schemas.openxmlformats.org/officeDocument/2006/relationships/hyperlink" Target="http://www.rokovania.sk/Rokovanie.aspx/BodRokovaniaDetail?idMaterial=21941" TargetMode="External"/><Relationship Id="rId59" Type="http://schemas.openxmlformats.org/officeDocument/2006/relationships/diagramLayout" Target="diagrams/layout1.xml"/><Relationship Id="rId67" Type="http://schemas.openxmlformats.org/officeDocument/2006/relationships/image" Target="media/image5.jpeg"/><Relationship Id="rId20" Type="http://schemas.openxmlformats.org/officeDocument/2006/relationships/hyperlink" Target="http://www.telecom.gov.sk/index/index.php?ids=147132" TargetMode="External"/><Relationship Id="rId41" Type="http://schemas.openxmlformats.org/officeDocument/2006/relationships/hyperlink" Target="http://www.gender.gov.sk/wp-content/uploads/2012/06/365_2004_Zz_v20130401.pdf" TargetMode="External"/><Relationship Id="rId54" Type="http://schemas.openxmlformats.org/officeDocument/2006/relationships/hyperlink" Target="http://nuczv.sk/dalsie-vzdelavanie-a-poradenstvo-pre-dospelych-ako-nastroj-lepsej-uplatnitelnosti-na-trhu-prace/" TargetMode="External"/><Relationship Id="rId62" Type="http://schemas.microsoft.com/office/2007/relationships/diagramDrawing" Target="diagrams/drawing1.xml"/><Relationship Id="rId70" Type="http://schemas.openxmlformats.org/officeDocument/2006/relationships/image" Target="media/image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vedatechnika.sk/SK/VedaATechnikaVSR/Stranky/Ramcova-koncepcia-a-struktura-strategie-inteligentnej-specializacie-S3-v-SR.aspx" TargetMode="External"/><Relationship Id="rId23" Type="http://schemas.openxmlformats.org/officeDocument/2006/relationships/hyperlink" Target="http://www.rokovania.sk/Rokovanie.aspx/NezaradenyMaterialDetail?idMaterial=23195" TargetMode="External"/><Relationship Id="rId28" Type="http://schemas.openxmlformats.org/officeDocument/2006/relationships/hyperlink" Target="http://www.ksuza.sk/doc/metodika/bozp/20012012.pdf" TargetMode="External"/><Relationship Id="rId36" Type="http://schemas.openxmlformats.org/officeDocument/2006/relationships/hyperlink" Target="http://www.radavladyovp.sk/" TargetMode="External"/><Relationship Id="rId49" Type="http://schemas.openxmlformats.org/officeDocument/2006/relationships/hyperlink" Target="http://www.uvo.gov.sk/najcastejsie-nedostatky-stene-uvo" TargetMode="External"/><Relationship Id="rId57" Type="http://schemas.openxmlformats.org/officeDocument/2006/relationships/hyperlink" Target="http://www.siov.sk/rozvoj-stredneho-odborneho-vzdelavania-rsov/24505s" TargetMode="External"/><Relationship Id="rId10" Type="http://schemas.openxmlformats.org/officeDocument/2006/relationships/header" Target="header2.xml"/><Relationship Id="rId31" Type="http://schemas.openxmlformats.org/officeDocument/2006/relationships/hyperlink" Target="http://www.rokovania.sk/Rokovanie.aspx/BodRokovaniaDetail?idMaterial=11421" TargetMode="External"/><Relationship Id="rId4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52" Type="http://schemas.openxmlformats.org/officeDocument/2006/relationships/hyperlink" Target="http://www.jaspi.justice.gov.sk" TargetMode="External"/><Relationship Id="rId60" Type="http://schemas.openxmlformats.org/officeDocument/2006/relationships/diagramQuickStyle" Target="diagrams/quickStyle1.xml"/><Relationship Id="rId65" Type="http://schemas.openxmlformats.org/officeDocument/2006/relationships/image" Target="media/image3.emf"/><Relationship Id="rId73" Type="http://schemas.openxmlformats.org/officeDocument/2006/relationships/image" Target="media/image11.emf"/><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okovania.sk/Rokovanie.aspx/BodRokovaniaDetail?idMaterial=22344" TargetMode="External"/><Relationship Id="rId39" Type="http://schemas.openxmlformats.org/officeDocument/2006/relationships/hyperlink" Target="http://www.gender.gov.sk/?page_id=72" TargetMode="External"/><Relationship Id="rId34" Type="http://schemas.openxmlformats.org/officeDocument/2006/relationships/hyperlink" Target="http://www.minedu.sk/9772-sk/dokumenty-a-predpisy/" TargetMode="External"/><Relationship Id="rId50" Type="http://schemas.openxmlformats.org/officeDocument/2006/relationships/hyperlink" Target="http://www.uvo.gov.sk/domov" TargetMode="External"/><Relationship Id="rId55" Type="http://schemas.openxmlformats.org/officeDocument/2006/relationships/hyperlink" Target="http://www.siov.sk/narodny-projekt-/24512s" TargetMode="External"/><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www.rokovania.sk/Rokovanie.aspx/BodRokovaniaDetail?idMaterial=199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nviroportal.sk/sk/eia/detail/aktualizovana-narodna-strategia-ochrany-biodiverzity-pre-roky-2012-2020" TargetMode="External"/><Relationship Id="rId2" Type="http://schemas.openxmlformats.org/officeDocument/2006/relationships/hyperlink" Target="http://www.uzemneplany.sk/zakon/projekty-pre-brownfield-a-ich-mapovanie" TargetMode="External"/><Relationship Id="rId1" Type="http://schemas.openxmlformats.org/officeDocument/2006/relationships/hyperlink" Target="http://www.telecom.gov.sk/index/index.php?ids=124582" TargetMode="External"/><Relationship Id="rId4" Type="http://schemas.openxmlformats.org/officeDocument/2006/relationships/hyperlink" Target="http://www.rokovania.sk/File.aspx/ViewDocumentHtml/Mater-Dokum-141217?prefixFile=m_"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F27159AF-BA27-4414-A124-14EE7831FE5C}" type="presOf" srcId="{6B3D54EE-C1A1-4004-889F-C4D4BDF6EAC9}" destId="{64D87879-4354-475F-B7D2-02C6A076B143}" srcOrd="0" destOrd="0" presId="urn:microsoft.com/office/officeart/2005/8/layout/hierarchy2"/>
    <dgm:cxn modelId="{601847D8-B6FA-4E4C-8603-B20EFC705046}" type="presOf" srcId="{350E18F3-5D9A-4A6F-9FEA-07C625FCE51D}" destId="{ADE7F7D7-9386-4BFC-AA37-A52BA66CE6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B7CEC52E-F0FF-4B96-9D33-12C376B0F7E8}" srcId="{99B60809-C79B-4B68-A255-46BBBDDC5B03}" destId="{4B55DD23-6989-41F1-9A51-2A18649DEBC5}" srcOrd="0" destOrd="0" parTransId="{36E78AF8-4B49-4A47-B125-B0E628EB3240}" sibTransId="{96142754-72DD-47B3-91E9-069E46EAFF06}"/>
    <dgm:cxn modelId="{BEFF5B91-4EC2-4B71-878E-B1DCC3A4549E}" type="presOf" srcId="{36E78AF8-4B49-4A47-B125-B0E628EB3240}" destId="{BADB5943-D955-4AA3-8C45-EA0BD34802D5}" srcOrd="1" destOrd="0" presId="urn:microsoft.com/office/officeart/2005/8/layout/hierarchy2"/>
    <dgm:cxn modelId="{3BB797B3-2D90-408A-8F8B-B1A2F7597E1A}" type="presOf" srcId="{A187754F-1C59-4780-B954-6AD7CFF9F101}" destId="{CCDB1F11-63AB-43E5-A9A0-0FFD4113C9B2}" srcOrd="0" destOrd="0" presId="urn:microsoft.com/office/officeart/2005/8/layout/hierarchy2"/>
    <dgm:cxn modelId="{8918AA2F-79FB-429B-8862-1348773E6678}" type="presOf" srcId="{2A298017-AF0A-47A4-AFE2-4706767D4546}" destId="{893B4D7C-1B66-4E1B-8B96-38FC942153DF}" srcOrd="0" destOrd="0" presId="urn:microsoft.com/office/officeart/2005/8/layout/hierarchy2"/>
    <dgm:cxn modelId="{E1ABF66B-84AC-4D0F-AEE1-BD2B6835167C}" type="presOf" srcId="{007118F4-1F56-4B30-961C-710D32F3D3B3}" destId="{F8B0B562-7DE2-40FD-B3FD-F4D4439D49D4}" srcOrd="0" destOrd="0" presId="urn:microsoft.com/office/officeart/2005/8/layout/hierarchy2"/>
    <dgm:cxn modelId="{866E137E-AA6B-48F9-88B5-F9A6B4AD7F00}" type="presOf" srcId="{7D08ED02-3BE1-4242-9202-672EC6A6FE4D}" destId="{9BE91C38-3F51-41AC-B90B-60CE6F682CE4}" srcOrd="1" destOrd="0" presId="urn:microsoft.com/office/officeart/2005/8/layout/hierarchy2"/>
    <dgm:cxn modelId="{6F562D76-6AF3-4DD2-9CB1-1DDE713DA83D}" type="presOf" srcId="{E940AB1E-8B9B-47A2-8BD9-747BF60EF622}" destId="{E5B675D7-FADF-404F-B306-F738FE85492B}" srcOrd="0" destOrd="0" presId="urn:microsoft.com/office/officeart/2005/8/layout/hierarchy2"/>
    <dgm:cxn modelId="{B32C6C5B-4E80-4E6B-84D9-1F7053ADFD8A}" type="presOf" srcId="{99B60809-C79B-4B68-A255-46BBBDDC5B03}" destId="{FE9C31AA-3357-422E-9C80-E5BF9F17719C}" srcOrd="0" destOrd="0" presId="urn:microsoft.com/office/officeart/2005/8/layout/hierarchy2"/>
    <dgm:cxn modelId="{DB2EEB3F-03E2-403F-A480-831D98FB2447}" srcId="{3474B0FC-0E82-45A6-B7D8-B819F253476D}" destId="{99B60809-C79B-4B68-A255-46BBBDDC5B03}" srcOrd="1" destOrd="0" parTransId="{A187754F-1C59-4780-B954-6AD7CFF9F101}" sibTransId="{6B546263-A6BE-4F1D-9496-10D227EC1227}"/>
    <dgm:cxn modelId="{09E8BA55-0E38-498B-8057-B74BE9CECE12}" srcId="{897E9BE1-90FA-42F2-8EB8-C3BC0C40ABA6}" destId="{8CA4D961-609F-4403-8DD1-F2D93A846879}" srcOrd="2" destOrd="0" parTransId="{2A298017-AF0A-47A4-AFE2-4706767D4546}" sibTransId="{6BCFFC56-9456-485F-854B-A202B8020196}"/>
    <dgm:cxn modelId="{24566216-4C86-4428-94BA-861CFA9A5109}" type="presOf" srcId="{4B55DD23-6989-41F1-9A51-2A18649DEBC5}" destId="{B3B0A708-E9E0-46FB-9715-66FD9C5B9375}" srcOrd="0" destOrd="0" presId="urn:microsoft.com/office/officeart/2005/8/layout/hierarchy2"/>
    <dgm:cxn modelId="{21736226-80CC-4DDC-A14F-5708997C0CB8}" type="presOf" srcId="{750DE7A6-4FA5-4550-892E-7F9DA0F5AFBC}" destId="{AF3AB5DB-5576-4368-832A-02CE0D80A838}" srcOrd="1" destOrd="0" presId="urn:microsoft.com/office/officeart/2005/8/layout/hierarchy2"/>
    <dgm:cxn modelId="{D0FA6CC7-98E7-4630-804E-132286A43C08}" type="presOf" srcId="{8CA4D961-609F-4403-8DD1-F2D93A846879}" destId="{47E3554B-4698-401E-8251-38467C198C16}" srcOrd="0" destOrd="0" presId="urn:microsoft.com/office/officeart/2005/8/layout/hierarchy2"/>
    <dgm:cxn modelId="{E1B3EC7B-CC0A-4AB6-A4C5-EBA64C9B6E89}" type="presOf" srcId="{897E9BE1-90FA-42F2-8EB8-C3BC0C40ABA6}" destId="{EC17D1A1-8535-4CF6-B5E6-CD0DAE2C503A}"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CE0794E3-6C1B-4C8C-8C28-DDAAB132F121}" type="presOf" srcId="{007118F4-1F56-4B30-961C-710D32F3D3B3}" destId="{FBE63D10-840D-4B2E-8084-854C1558A0B2}" srcOrd="1" destOrd="0" presId="urn:microsoft.com/office/officeart/2005/8/layout/hierarchy2"/>
    <dgm:cxn modelId="{46F48CDA-58AC-4580-A5F7-F96C34BBEA3E}" type="presOf" srcId="{36E78AF8-4B49-4A47-B125-B0E628EB3240}" destId="{E3AC9FDE-3BD7-4D81-8173-E5829BF1C67E}" srcOrd="0"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9ADD8AA3-E2E8-415A-A58C-858BFE54A0D0}" type="presOf" srcId="{1A230389-0F72-4858-B2E9-B58BD134B6B0}" destId="{58B47FE2-FD5B-42D9-A0A3-57F22BF807E5}" srcOrd="0" destOrd="0" presId="urn:microsoft.com/office/officeart/2005/8/layout/hierarchy2"/>
    <dgm:cxn modelId="{8D288ACB-7112-4F64-B027-3D80F1E2BFC5}" type="presOf" srcId="{7D08ED02-3BE1-4242-9202-672EC6A6FE4D}" destId="{D2168E73-31DC-406F-B76B-7DCA3F2862C0}"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42109221-12B2-45C6-9604-54D4F38808F2}" type="presOf" srcId="{55F8C025-9BE2-4B2F-9428-0118B186BFF5}" destId="{46AA426D-3F16-46BC-9F5A-B19BA236DF9F}" srcOrd="0" destOrd="0" presId="urn:microsoft.com/office/officeart/2005/8/layout/hierarchy2"/>
    <dgm:cxn modelId="{5D3FE7DC-07C8-4AC6-BBB6-845FAF7F93A7}" type="presOf" srcId="{A187754F-1C59-4780-B954-6AD7CFF9F101}" destId="{4B9FC140-1EC5-4700-A383-04EDDD6CB829}" srcOrd="1"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FC066241-ABE0-4171-9F13-DF9B783E0143}" type="presOf" srcId="{2A298017-AF0A-47A4-AFE2-4706767D4546}" destId="{87A6C7CD-E288-4513-9306-F601715212F4}" srcOrd="1" destOrd="0" presId="urn:microsoft.com/office/officeart/2005/8/layout/hierarchy2"/>
    <dgm:cxn modelId="{D1BCD6F8-7B92-4525-A0A5-17BA4A6FEDE7}" type="presOf" srcId="{46CE447E-3144-4072-B23D-27EC67204105}" destId="{A6887122-913D-4ED8-B762-62940C28C8C9}"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96DD84C-908D-4E7C-A465-FBC68F69BC51}" type="presOf" srcId="{3474B0FC-0E82-45A6-B7D8-B819F253476D}" destId="{DCC3B950-77FF-4277-BDD9-C646E2EFD9B0}" srcOrd="0" destOrd="0" presId="urn:microsoft.com/office/officeart/2005/8/layout/hierarchy2"/>
    <dgm:cxn modelId="{C832932E-3404-4C29-B105-F18C101A2701}" type="presOf" srcId="{750DE7A6-4FA5-4550-892E-7F9DA0F5AFBC}" destId="{D635C208-BE8E-4C3D-A357-B3A913E14682}" srcOrd="0"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73A0F2B1-7B6C-41D7-A648-AB0D4E88BED0}" type="presOf" srcId="{53AA9ED3-7551-4264-9890-EDC6C812E860}" destId="{C2120B0F-C142-4E25-8568-106632D3FBC3}" srcOrd="0" destOrd="0" presId="urn:microsoft.com/office/officeart/2005/8/layout/hierarchy2"/>
    <dgm:cxn modelId="{04493D44-CB6B-4160-9D1A-EDE1BD4BAC0C}" type="presOf" srcId="{C3FDD812-6C17-47F0-8B94-E451543C7D38}" destId="{DA4F1323-5EBC-4BAC-B2D8-7D03ADC8E49D}" srcOrd="0" destOrd="0" presId="urn:microsoft.com/office/officeart/2005/8/layout/hierarchy2"/>
    <dgm:cxn modelId="{E6B11B3D-9EEB-42A3-B2DE-A6893C194AEF}" type="presOf" srcId="{46CE447E-3144-4072-B23D-27EC67204105}" destId="{CA81001D-867B-4DA3-AC82-718D06B779DA}" srcOrd="1" destOrd="0" presId="urn:microsoft.com/office/officeart/2005/8/layout/hierarchy2"/>
    <dgm:cxn modelId="{A5C454B7-7D01-4528-B454-8C648AC2AA22}" type="presOf" srcId="{0D430DEB-ABDD-4C4B-8FB0-A4A5B1EAD5A9}" destId="{DDEBD26E-123A-40B1-A0CF-C4E39D10BD48}" srcOrd="0"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92A3847-E1DF-4EF5-8597-5CB5542A6CCB}" type="presOf" srcId="{55F8C025-9BE2-4B2F-9428-0118B186BFF5}" destId="{2A2E2352-59E9-457E-98DF-4912BB4C81D8}" srcOrd="1" destOrd="0" presId="urn:microsoft.com/office/officeart/2005/8/layout/hierarchy2"/>
    <dgm:cxn modelId="{A9C2B1A8-3452-462C-B2C8-64494D968F5E}" type="presOf" srcId="{E940AB1E-8B9B-47A2-8BD9-747BF60EF622}" destId="{E2ED2DF5-A913-4AC8-A4E5-0544D95BF0F9}" srcOrd="1" destOrd="0" presId="urn:microsoft.com/office/officeart/2005/8/layout/hierarchy2"/>
    <dgm:cxn modelId="{7CCC14D0-BA13-4FEB-A811-82A2D9DC9032}" type="presOf" srcId="{6D4B58D3-D2E1-427C-AA53-6A97DD36801A}" destId="{7115C427-E421-45AE-8BAC-B591671B6306}" srcOrd="0" destOrd="0" presId="urn:microsoft.com/office/officeart/2005/8/layout/hierarchy2"/>
    <dgm:cxn modelId="{034D9F5E-26A7-43A3-9992-BB38CFB50EA9}" type="presOf" srcId="{BEBC7F6F-A053-4849-B463-46EEA5843A67}" destId="{B5B87FEC-8002-408C-84F3-232C6242A218}" srcOrd="0" destOrd="0" presId="urn:microsoft.com/office/officeart/2005/8/layout/hierarchy2"/>
    <dgm:cxn modelId="{5613114D-4D24-47E0-A40D-6F62D605E42C}" type="presOf" srcId="{53AA9ED3-7551-4264-9890-EDC6C812E860}" destId="{8AEC9595-4435-41D4-9F4A-E770511CBDFB}" srcOrd="1" destOrd="0" presId="urn:microsoft.com/office/officeart/2005/8/layout/hierarchy2"/>
    <dgm:cxn modelId="{A5DE8DBF-4A56-4492-8DDF-803F15E8B532}" type="presParOf" srcId="{DDEBD26E-123A-40B1-A0CF-C4E39D10BD48}" destId="{AFCB648C-0C61-4E02-997B-219E164F4269}" srcOrd="0" destOrd="0" presId="urn:microsoft.com/office/officeart/2005/8/layout/hierarchy2"/>
    <dgm:cxn modelId="{4AACF363-738D-4E3E-9A7D-6EBEFFD4BE58}" type="presParOf" srcId="{AFCB648C-0C61-4E02-997B-219E164F4269}" destId="{DCC3B950-77FF-4277-BDD9-C646E2EFD9B0}" srcOrd="0" destOrd="0" presId="urn:microsoft.com/office/officeart/2005/8/layout/hierarchy2"/>
    <dgm:cxn modelId="{FA1B0D42-E099-402D-BC2D-7844D1913FBA}" type="presParOf" srcId="{AFCB648C-0C61-4E02-997B-219E164F4269}" destId="{48A843D5-FA08-450D-9022-623DA5D5440C}" srcOrd="1" destOrd="0" presId="urn:microsoft.com/office/officeart/2005/8/layout/hierarchy2"/>
    <dgm:cxn modelId="{A5280EBF-98BF-4296-87EE-76FB0A893267}" type="presParOf" srcId="{48A843D5-FA08-450D-9022-623DA5D5440C}" destId="{D2168E73-31DC-406F-B76B-7DCA3F2862C0}" srcOrd="0" destOrd="0" presId="urn:microsoft.com/office/officeart/2005/8/layout/hierarchy2"/>
    <dgm:cxn modelId="{395BE790-3E87-4CED-8315-F3734A415918}" type="presParOf" srcId="{D2168E73-31DC-406F-B76B-7DCA3F2862C0}" destId="{9BE91C38-3F51-41AC-B90B-60CE6F682CE4}" srcOrd="0" destOrd="0" presId="urn:microsoft.com/office/officeart/2005/8/layout/hierarchy2"/>
    <dgm:cxn modelId="{CCE047EB-1DF3-4CC1-AC1E-42AECE94B3C0}" type="presParOf" srcId="{48A843D5-FA08-450D-9022-623DA5D5440C}" destId="{B7C91E21-7E75-4F20-AE5E-229F772AFE81}" srcOrd="1" destOrd="0" presId="urn:microsoft.com/office/officeart/2005/8/layout/hierarchy2"/>
    <dgm:cxn modelId="{75788B08-AA51-4DF5-9374-1FE536010A8C}" type="presParOf" srcId="{B7C91E21-7E75-4F20-AE5E-229F772AFE81}" destId="{EC17D1A1-8535-4CF6-B5E6-CD0DAE2C503A}" srcOrd="0" destOrd="0" presId="urn:microsoft.com/office/officeart/2005/8/layout/hierarchy2"/>
    <dgm:cxn modelId="{362F6008-D607-4C71-B9E6-57BA3663D45C}" type="presParOf" srcId="{B7C91E21-7E75-4F20-AE5E-229F772AFE81}" destId="{580A5571-9D21-425F-B62A-48C1E9D949E4}" srcOrd="1" destOrd="0" presId="urn:microsoft.com/office/officeart/2005/8/layout/hierarchy2"/>
    <dgm:cxn modelId="{63F1A5CB-1453-4F0E-BACF-CD0C239E48FE}" type="presParOf" srcId="{580A5571-9D21-425F-B62A-48C1E9D949E4}" destId="{D635C208-BE8E-4C3D-A357-B3A913E14682}" srcOrd="0" destOrd="0" presId="urn:microsoft.com/office/officeart/2005/8/layout/hierarchy2"/>
    <dgm:cxn modelId="{2F8BC4FA-DE97-436B-9DCA-D3FCBBC2FC1E}" type="presParOf" srcId="{D635C208-BE8E-4C3D-A357-B3A913E14682}" destId="{AF3AB5DB-5576-4368-832A-02CE0D80A838}" srcOrd="0" destOrd="0" presId="urn:microsoft.com/office/officeart/2005/8/layout/hierarchy2"/>
    <dgm:cxn modelId="{7AF7F7CE-FF99-4DAF-ADE5-8B00DD1C07EA}" type="presParOf" srcId="{580A5571-9D21-425F-B62A-48C1E9D949E4}" destId="{F552F4DD-1BCB-499D-AEDE-CFEC50F9792F}" srcOrd="1" destOrd="0" presId="urn:microsoft.com/office/officeart/2005/8/layout/hierarchy2"/>
    <dgm:cxn modelId="{C5E2C2DF-F862-47AE-8C9E-0E58F4A5146C}" type="presParOf" srcId="{F552F4DD-1BCB-499D-AEDE-CFEC50F9792F}" destId="{DA4F1323-5EBC-4BAC-B2D8-7D03ADC8E49D}" srcOrd="0" destOrd="0" presId="urn:microsoft.com/office/officeart/2005/8/layout/hierarchy2"/>
    <dgm:cxn modelId="{B5DB57B0-0720-4923-8479-9A904B60C26C}" type="presParOf" srcId="{F552F4DD-1BCB-499D-AEDE-CFEC50F9792F}" destId="{8794200F-294F-4523-8F8E-BEE10C48F892}" srcOrd="1" destOrd="0" presId="urn:microsoft.com/office/officeart/2005/8/layout/hierarchy2"/>
    <dgm:cxn modelId="{E8B469FF-9E42-4518-A3D7-3A4562B246DA}" type="presParOf" srcId="{580A5571-9D21-425F-B62A-48C1E9D949E4}" destId="{F8B0B562-7DE2-40FD-B3FD-F4D4439D49D4}" srcOrd="2" destOrd="0" presId="urn:microsoft.com/office/officeart/2005/8/layout/hierarchy2"/>
    <dgm:cxn modelId="{EAFB7D24-FF7A-42F6-BFF9-92ED7806B18C}" type="presParOf" srcId="{F8B0B562-7DE2-40FD-B3FD-F4D4439D49D4}" destId="{FBE63D10-840D-4B2E-8084-854C1558A0B2}" srcOrd="0" destOrd="0" presId="urn:microsoft.com/office/officeart/2005/8/layout/hierarchy2"/>
    <dgm:cxn modelId="{70B2019E-0FB0-4FDF-A552-BCBB4B336A5D}" type="presParOf" srcId="{580A5571-9D21-425F-B62A-48C1E9D949E4}" destId="{88350415-3CCB-4E6B-A562-864CFAE47201}" srcOrd="3" destOrd="0" presId="urn:microsoft.com/office/officeart/2005/8/layout/hierarchy2"/>
    <dgm:cxn modelId="{EB7547DA-4E0E-4689-A163-13C764C1D0C9}" type="presParOf" srcId="{88350415-3CCB-4E6B-A562-864CFAE47201}" destId="{58B47FE2-FD5B-42D9-A0A3-57F22BF807E5}" srcOrd="0" destOrd="0" presId="urn:microsoft.com/office/officeart/2005/8/layout/hierarchy2"/>
    <dgm:cxn modelId="{F7783C63-DCBB-4817-9E4F-43CFAE6028F8}" type="presParOf" srcId="{88350415-3CCB-4E6B-A562-864CFAE47201}" destId="{8FC8A1B6-5B1F-466B-B362-3BA65DA301F9}" srcOrd="1" destOrd="0" presId="urn:microsoft.com/office/officeart/2005/8/layout/hierarchy2"/>
    <dgm:cxn modelId="{C82ED556-ECEA-4AC7-AE0C-CD8018F88BEF}" type="presParOf" srcId="{580A5571-9D21-425F-B62A-48C1E9D949E4}" destId="{893B4D7C-1B66-4E1B-8B96-38FC942153DF}" srcOrd="4" destOrd="0" presId="urn:microsoft.com/office/officeart/2005/8/layout/hierarchy2"/>
    <dgm:cxn modelId="{EDDC6340-41AD-449C-B2BA-D5AF75194759}" type="presParOf" srcId="{893B4D7C-1B66-4E1B-8B96-38FC942153DF}" destId="{87A6C7CD-E288-4513-9306-F601715212F4}" srcOrd="0" destOrd="0" presId="urn:microsoft.com/office/officeart/2005/8/layout/hierarchy2"/>
    <dgm:cxn modelId="{DB2A0E12-BD04-49BC-B073-100C7679FF33}" type="presParOf" srcId="{580A5571-9D21-425F-B62A-48C1E9D949E4}" destId="{246BD373-39F2-4C95-9681-DDA4BB1A5677}" srcOrd="5" destOrd="0" presId="urn:microsoft.com/office/officeart/2005/8/layout/hierarchy2"/>
    <dgm:cxn modelId="{31E2FC33-422C-426E-9D87-E327DDADEF5F}" type="presParOf" srcId="{246BD373-39F2-4C95-9681-DDA4BB1A5677}" destId="{47E3554B-4698-401E-8251-38467C198C16}" srcOrd="0" destOrd="0" presId="urn:microsoft.com/office/officeart/2005/8/layout/hierarchy2"/>
    <dgm:cxn modelId="{A4C32D99-AEE3-4088-906D-898A51C73F14}" type="presParOf" srcId="{246BD373-39F2-4C95-9681-DDA4BB1A5677}" destId="{B033E1B8-92A7-4EB8-AD71-646F82BA2BCB}" srcOrd="1" destOrd="0" presId="urn:microsoft.com/office/officeart/2005/8/layout/hierarchy2"/>
    <dgm:cxn modelId="{18777582-F306-4B95-A3CD-8A6E2FB3A03C}" type="presParOf" srcId="{B033E1B8-92A7-4EB8-AD71-646F82BA2BCB}" destId="{46AA426D-3F16-46BC-9F5A-B19BA236DF9F}" srcOrd="0" destOrd="0" presId="urn:microsoft.com/office/officeart/2005/8/layout/hierarchy2"/>
    <dgm:cxn modelId="{4048DB8C-109D-4C5A-8BA8-C1E0F942077E}" type="presParOf" srcId="{46AA426D-3F16-46BC-9F5A-B19BA236DF9F}" destId="{2A2E2352-59E9-457E-98DF-4912BB4C81D8}" srcOrd="0" destOrd="0" presId="urn:microsoft.com/office/officeart/2005/8/layout/hierarchy2"/>
    <dgm:cxn modelId="{3FBFD33D-564E-41FB-AEE6-669236B06A95}" type="presParOf" srcId="{B033E1B8-92A7-4EB8-AD71-646F82BA2BCB}" destId="{A3EE69E5-B1BA-4BA6-8EAA-88829CB32F8B}" srcOrd="1" destOrd="0" presId="urn:microsoft.com/office/officeart/2005/8/layout/hierarchy2"/>
    <dgm:cxn modelId="{E88A09BD-5966-4484-8DAE-2B853A98763F}" type="presParOf" srcId="{A3EE69E5-B1BA-4BA6-8EAA-88829CB32F8B}" destId="{7115C427-E421-45AE-8BAC-B591671B6306}" srcOrd="0" destOrd="0" presId="urn:microsoft.com/office/officeart/2005/8/layout/hierarchy2"/>
    <dgm:cxn modelId="{F5DA7DA3-1005-4C42-A3BE-7679F2113182}" type="presParOf" srcId="{A3EE69E5-B1BA-4BA6-8EAA-88829CB32F8B}" destId="{000BC26F-5706-4965-B35D-D565FCB602C3}" srcOrd="1" destOrd="0" presId="urn:microsoft.com/office/officeart/2005/8/layout/hierarchy2"/>
    <dgm:cxn modelId="{4EC67138-EE74-48D2-B668-88C5E9D4CBA3}" type="presParOf" srcId="{B033E1B8-92A7-4EB8-AD71-646F82BA2BCB}" destId="{A6887122-913D-4ED8-B762-62940C28C8C9}" srcOrd="2" destOrd="0" presId="urn:microsoft.com/office/officeart/2005/8/layout/hierarchy2"/>
    <dgm:cxn modelId="{D5858103-133B-4CB6-8B82-81C0238BFFE1}" type="presParOf" srcId="{A6887122-913D-4ED8-B762-62940C28C8C9}" destId="{CA81001D-867B-4DA3-AC82-718D06B779DA}" srcOrd="0" destOrd="0" presId="urn:microsoft.com/office/officeart/2005/8/layout/hierarchy2"/>
    <dgm:cxn modelId="{7E026F4B-F354-40A8-9E60-AE1D8AFD1144}" type="presParOf" srcId="{B033E1B8-92A7-4EB8-AD71-646F82BA2BCB}" destId="{529F5F57-A572-43E1-AC98-04E6B55D73A6}" srcOrd="3" destOrd="0" presId="urn:microsoft.com/office/officeart/2005/8/layout/hierarchy2"/>
    <dgm:cxn modelId="{FC4CC551-1072-4EA0-8621-0C2F85075856}" type="presParOf" srcId="{529F5F57-A572-43E1-AC98-04E6B55D73A6}" destId="{ADE7F7D7-9386-4BFC-AA37-A52BA66CE62B}" srcOrd="0" destOrd="0" presId="urn:microsoft.com/office/officeart/2005/8/layout/hierarchy2"/>
    <dgm:cxn modelId="{6EBD083F-93EE-414E-A2CD-02C706F5AF1F}" type="presParOf" srcId="{529F5F57-A572-43E1-AC98-04E6B55D73A6}" destId="{9823B18B-A10B-47FE-8B54-975E51149CC5}" srcOrd="1" destOrd="0" presId="urn:microsoft.com/office/officeart/2005/8/layout/hierarchy2"/>
    <dgm:cxn modelId="{0D030856-663E-410A-BF36-FEB7B09ADAF0}" type="presParOf" srcId="{B033E1B8-92A7-4EB8-AD71-646F82BA2BCB}" destId="{C2120B0F-C142-4E25-8568-106632D3FBC3}" srcOrd="4" destOrd="0" presId="urn:microsoft.com/office/officeart/2005/8/layout/hierarchy2"/>
    <dgm:cxn modelId="{FFA1DF49-8374-4831-8204-7616F5A612D9}" type="presParOf" srcId="{C2120B0F-C142-4E25-8568-106632D3FBC3}" destId="{8AEC9595-4435-41D4-9F4A-E770511CBDFB}" srcOrd="0" destOrd="0" presId="urn:microsoft.com/office/officeart/2005/8/layout/hierarchy2"/>
    <dgm:cxn modelId="{077D4A31-9323-4372-A61F-2CC73C89CC60}" type="presParOf" srcId="{B033E1B8-92A7-4EB8-AD71-646F82BA2BCB}" destId="{E939A806-B74C-443A-A233-AC1A7AE5EF6D}" srcOrd="5" destOrd="0" presId="urn:microsoft.com/office/officeart/2005/8/layout/hierarchy2"/>
    <dgm:cxn modelId="{04560FF1-6487-47A3-85EF-BD46B007D9A2}" type="presParOf" srcId="{E939A806-B74C-443A-A233-AC1A7AE5EF6D}" destId="{64D87879-4354-475F-B7D2-02C6A076B143}" srcOrd="0" destOrd="0" presId="urn:microsoft.com/office/officeart/2005/8/layout/hierarchy2"/>
    <dgm:cxn modelId="{D56932BA-EE93-486A-9E14-34220E2145E0}" type="presParOf" srcId="{E939A806-B74C-443A-A233-AC1A7AE5EF6D}" destId="{D138D563-8C31-4134-B1C7-1F1D984AB24E}" srcOrd="1" destOrd="0" presId="urn:microsoft.com/office/officeart/2005/8/layout/hierarchy2"/>
    <dgm:cxn modelId="{291FA1C3-D3F9-41F1-AC41-B499E74730C4}" type="presParOf" srcId="{48A843D5-FA08-450D-9022-623DA5D5440C}" destId="{CCDB1F11-63AB-43E5-A9A0-0FFD4113C9B2}" srcOrd="2" destOrd="0" presId="urn:microsoft.com/office/officeart/2005/8/layout/hierarchy2"/>
    <dgm:cxn modelId="{C55934B1-51E5-4C82-B5EC-E66434310837}" type="presParOf" srcId="{CCDB1F11-63AB-43E5-A9A0-0FFD4113C9B2}" destId="{4B9FC140-1EC5-4700-A383-04EDDD6CB829}" srcOrd="0" destOrd="0" presId="urn:microsoft.com/office/officeart/2005/8/layout/hierarchy2"/>
    <dgm:cxn modelId="{DC46091F-F059-4229-831D-A5B3F6EA1EF8}" type="presParOf" srcId="{48A843D5-FA08-450D-9022-623DA5D5440C}" destId="{265E304E-EE31-4DA4-8A8B-667B195ED4DB}" srcOrd="3" destOrd="0" presId="urn:microsoft.com/office/officeart/2005/8/layout/hierarchy2"/>
    <dgm:cxn modelId="{0D4C55FF-0661-4D03-9A26-2E90248F10E4}" type="presParOf" srcId="{265E304E-EE31-4DA4-8A8B-667B195ED4DB}" destId="{FE9C31AA-3357-422E-9C80-E5BF9F17719C}" srcOrd="0" destOrd="0" presId="urn:microsoft.com/office/officeart/2005/8/layout/hierarchy2"/>
    <dgm:cxn modelId="{9B181BDC-03AA-4EB5-A04C-C1243C3AE868}" type="presParOf" srcId="{265E304E-EE31-4DA4-8A8B-667B195ED4DB}" destId="{37917414-C8C8-4E0B-A5C4-3ED5CD72DA33}" srcOrd="1" destOrd="0" presId="urn:microsoft.com/office/officeart/2005/8/layout/hierarchy2"/>
    <dgm:cxn modelId="{B4D22D4A-69F0-482E-804C-D8FEB88E4B55}" type="presParOf" srcId="{37917414-C8C8-4E0B-A5C4-3ED5CD72DA33}" destId="{E3AC9FDE-3BD7-4D81-8173-E5829BF1C67E}" srcOrd="0" destOrd="0" presId="urn:microsoft.com/office/officeart/2005/8/layout/hierarchy2"/>
    <dgm:cxn modelId="{97699B7C-751E-4BAF-8579-11D3872D4AFE}" type="presParOf" srcId="{E3AC9FDE-3BD7-4D81-8173-E5829BF1C67E}" destId="{BADB5943-D955-4AA3-8C45-EA0BD34802D5}" srcOrd="0" destOrd="0" presId="urn:microsoft.com/office/officeart/2005/8/layout/hierarchy2"/>
    <dgm:cxn modelId="{205FB01E-80FB-4BA6-A3E3-5949035B94E4}" type="presParOf" srcId="{37917414-C8C8-4E0B-A5C4-3ED5CD72DA33}" destId="{B7207447-A7AF-4BD4-B0E5-DEAE22ACC765}" srcOrd="1" destOrd="0" presId="urn:microsoft.com/office/officeart/2005/8/layout/hierarchy2"/>
    <dgm:cxn modelId="{69D2694C-854D-4D1B-AE9E-FAE65D1FA05A}" type="presParOf" srcId="{B7207447-A7AF-4BD4-B0E5-DEAE22ACC765}" destId="{B3B0A708-E9E0-46FB-9715-66FD9C5B9375}" srcOrd="0" destOrd="0" presId="urn:microsoft.com/office/officeart/2005/8/layout/hierarchy2"/>
    <dgm:cxn modelId="{0712774D-A15A-4CD8-9577-A00ECABFDE59}" type="presParOf" srcId="{B7207447-A7AF-4BD4-B0E5-DEAE22ACC765}" destId="{63AF4224-6D0C-4F82-ADDF-5CA41011D02A}" srcOrd="1" destOrd="0" presId="urn:microsoft.com/office/officeart/2005/8/layout/hierarchy2"/>
    <dgm:cxn modelId="{53EE37E5-78EF-49F1-86A7-F904E296CBF2}" type="presParOf" srcId="{48A843D5-FA08-450D-9022-623DA5D5440C}" destId="{E5B675D7-FADF-404F-B306-F738FE85492B}" srcOrd="4" destOrd="0" presId="urn:microsoft.com/office/officeart/2005/8/layout/hierarchy2"/>
    <dgm:cxn modelId="{5AC413BE-6E9B-4B02-BF5B-245FB9B41542}" type="presParOf" srcId="{E5B675D7-FADF-404F-B306-F738FE85492B}" destId="{E2ED2DF5-A913-4AC8-A4E5-0544D95BF0F9}" srcOrd="0" destOrd="0" presId="urn:microsoft.com/office/officeart/2005/8/layout/hierarchy2"/>
    <dgm:cxn modelId="{778520E1-431A-497F-8A37-FE639FBAC979}" type="presParOf" srcId="{48A843D5-FA08-450D-9022-623DA5D5440C}" destId="{CA2E3E7B-2868-4E81-B51D-856E00F87C0A}" srcOrd="5" destOrd="0" presId="urn:microsoft.com/office/officeart/2005/8/layout/hierarchy2"/>
    <dgm:cxn modelId="{DBFDEAB0-1DCB-4691-9EF8-84D124866BC5}" type="presParOf" srcId="{CA2E3E7B-2868-4E81-B51D-856E00F87C0A}" destId="{B5B87FEC-8002-408C-84F3-232C6242A218}" srcOrd="0" destOrd="0" presId="urn:microsoft.com/office/officeart/2005/8/layout/hierarchy2"/>
    <dgm:cxn modelId="{86E36639-79CF-436D-8318-CFAA17AB3764}"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e60a29af-d413-48d4-bd90-fe9d2a897e4b">WKX3UHSAJ2R6-2-378284</_dlc_DocId>
    <_dlc_DocIdUrl xmlns="e60a29af-d413-48d4-bd90-fe9d2a897e4b">
      <Url>https://ovdmasv601/sites/DMS/_layouts/15/DocIdRedir.aspx?ID=WKX3UHSAJ2R6-2-378284</Url>
      <Description>WKX3UHSAJ2R6-2-378284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17BF4-DC61-496D-8980-6081D1C29F6F}"/>
</file>

<file path=customXml/itemProps2.xml><?xml version="1.0" encoding="utf-8"?>
<ds:datastoreItem xmlns:ds="http://schemas.openxmlformats.org/officeDocument/2006/customXml" ds:itemID="{9522C50C-A4AC-440D-B445-6F00D3CE69B4}"/>
</file>

<file path=customXml/itemProps3.xml><?xml version="1.0" encoding="utf-8"?>
<ds:datastoreItem xmlns:ds="http://schemas.openxmlformats.org/officeDocument/2006/customXml" ds:itemID="{77012697-3080-4735-AD9B-AA0FA9049E2B}"/>
</file>

<file path=customXml/itemProps4.xml><?xml version="1.0" encoding="utf-8"?>
<ds:datastoreItem xmlns:ds="http://schemas.openxmlformats.org/officeDocument/2006/customXml" ds:itemID="{E946D214-9F0B-4D5C-8C3B-15A76CDB4685}"/>
</file>

<file path=customXml/itemProps5.xml><?xml version="1.0" encoding="utf-8"?>
<ds:datastoreItem xmlns:ds="http://schemas.openxmlformats.org/officeDocument/2006/customXml" ds:itemID="{EC2C8BA0-A910-4157-9B1A-5ABF1CD93725}"/>
</file>

<file path=docProps/app.xml><?xml version="1.0" encoding="utf-8"?>
<Properties xmlns="http://schemas.openxmlformats.org/officeDocument/2006/extended-properties" xmlns:vt="http://schemas.openxmlformats.org/officeDocument/2006/docPropsVTypes">
  <Template>Normal</Template>
  <TotalTime>31</TotalTime>
  <Pages>215</Pages>
  <Words>78005</Words>
  <Characters>444635</Characters>
  <Application>Microsoft Office Word</Application>
  <DocSecurity>0</DocSecurity>
  <Lines>3705</Lines>
  <Paragraphs>1043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521597</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Beňov Miloš</cp:lastModifiedBy>
  <cp:revision>7</cp:revision>
  <cp:lastPrinted>2014-05-08T10:33:00Z</cp:lastPrinted>
  <dcterms:created xsi:type="dcterms:W3CDTF">2014-05-13T04:33:00Z</dcterms:created>
  <dcterms:modified xsi:type="dcterms:W3CDTF">2014-05-13T05:11:00Z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_dlc_DocIdItemGuid">
    <vt:lpwstr>4e8ea0fd-c433-41ea-86d6-9e968206491b</vt:lpwstr>
  </property>
</Properties>
</file>