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3741E6" w:rsidRDefault="003741E6">
      <w:pPr>
        <w:jc w:val="center"/>
        <w:divId w:val="524946425"/>
        <w:rPr>
          <w:rFonts w:ascii="Times" w:hAnsi="Times" w:cs="Times"/>
          <w:sz w:val="25"/>
          <w:szCs w:val="25"/>
        </w:rPr>
      </w:pPr>
      <w:r>
        <w:rPr>
          <w:rFonts w:ascii="Times" w:hAnsi="Times" w:cs="Times"/>
          <w:sz w:val="25"/>
          <w:szCs w:val="25"/>
        </w:rPr>
        <w:t>Strategický plán rozvoja dopravy SR do roku 2030</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3741E6" w:rsidP="003741E6">
            <w:pPr>
              <w:spacing w:after="0" w:line="240" w:lineRule="auto"/>
              <w:rPr>
                <w:rFonts w:ascii="Times New Roman" w:hAnsi="Times New Roman" w:cs="Calibri"/>
                <w:sz w:val="20"/>
                <w:szCs w:val="20"/>
              </w:rPr>
            </w:pPr>
            <w:r>
              <w:rPr>
                <w:rFonts w:ascii="Times" w:hAnsi="Times" w:cs="Times"/>
                <w:sz w:val="25"/>
                <w:szCs w:val="25"/>
              </w:rPr>
              <w:t>22 /1</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3741E6" w:rsidP="003741E6">
            <w:pPr>
              <w:spacing w:after="0" w:line="240" w:lineRule="auto"/>
              <w:rPr>
                <w:rFonts w:ascii="Times New Roman" w:hAnsi="Times New Roman" w:cs="Calibri"/>
                <w:sz w:val="20"/>
                <w:szCs w:val="20"/>
              </w:rPr>
            </w:pPr>
            <w:r>
              <w:rPr>
                <w:rFonts w:ascii="Times" w:hAnsi="Times" w:cs="Times"/>
                <w:sz w:val="25"/>
                <w:szCs w:val="25"/>
              </w:rPr>
              <w:t>22</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3741E6" w:rsidP="003741E6">
            <w:pPr>
              <w:spacing w:after="0" w:line="240" w:lineRule="auto"/>
              <w:rPr>
                <w:rFonts w:ascii="Times New Roman" w:hAnsi="Times New Roman" w:cs="Calibri"/>
                <w:sz w:val="20"/>
                <w:szCs w:val="20"/>
              </w:rPr>
            </w:pPr>
            <w:r>
              <w:rPr>
                <w:rFonts w:ascii="Times" w:hAnsi="Times" w:cs="Times"/>
                <w:sz w:val="25"/>
                <w:szCs w:val="25"/>
              </w:rPr>
              <w:t>5 /1</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3741E6" w:rsidP="003741E6">
            <w:pPr>
              <w:spacing w:after="0" w:line="240" w:lineRule="auto"/>
              <w:rPr>
                <w:rFonts w:ascii="Times New Roman" w:hAnsi="Times New Roman" w:cs="Calibri"/>
                <w:sz w:val="20"/>
                <w:szCs w:val="20"/>
              </w:rPr>
            </w:pPr>
            <w:r>
              <w:rPr>
                <w:rFonts w:ascii="Times" w:hAnsi="Times" w:cs="Times"/>
                <w:sz w:val="25"/>
                <w:szCs w:val="25"/>
              </w:rPr>
              <w:t>2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3741E6" w:rsidP="003741E6">
            <w:pPr>
              <w:spacing w:after="0" w:line="240" w:lineRule="auto"/>
              <w:rPr>
                <w:rFonts w:ascii="Times New Roman" w:hAnsi="Times New Roman" w:cs="Calibri"/>
                <w:sz w:val="20"/>
                <w:szCs w:val="20"/>
              </w:rPr>
            </w:pPr>
            <w:r>
              <w:rPr>
                <w:rFonts w:ascii="Times" w:hAnsi="Times" w:cs="Times"/>
                <w:sz w:val="25"/>
                <w:szCs w:val="25"/>
              </w:rPr>
              <w:t>2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3741E6" w:rsidRDefault="003741E6"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3597"/>
        <w:gridCol w:w="1404"/>
        <w:gridCol w:w="1404"/>
        <w:gridCol w:w="1391"/>
        <w:gridCol w:w="932"/>
      </w:tblGrid>
      <w:tr w:rsidR="003741E6">
        <w:trPr>
          <w:divId w:val="341711124"/>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Vôbec nezaslali</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(0o,1z)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Ministerstvo dopravy, výstavby a regionálneho rozvoja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Štátna pokladnica</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x</w:t>
            </w:r>
          </w:p>
        </w:tc>
      </w:tr>
      <w:tr w:rsidR="003741E6">
        <w:trPr>
          <w:divId w:val="341711124"/>
          <w:jc w:val="center"/>
        </w:trPr>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22 (21o,1z)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3741E6" w:rsidRDefault="003741E6">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3741E6" w:rsidRDefault="003741E6"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377"/>
        <w:gridCol w:w="4347"/>
        <w:gridCol w:w="446"/>
        <w:gridCol w:w="523"/>
        <w:gridCol w:w="2363"/>
      </w:tblGrid>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Spôsob vyhodnotenia</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KOZSR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Strategický plán rozvoja dopravy do roku 2030</w:t>
            </w:r>
            <w:r>
              <w:rPr>
                <w:rFonts w:ascii="Times" w:hAnsi="Times" w:cs="Times"/>
                <w:sz w:val="25"/>
                <w:szCs w:val="25"/>
              </w:rPr>
              <w:br/>
              <w:t>KOZ SR pozitívne hodnotí predložený strategický plán. V časti 3.2 Železničná doprava z pohľadu KOZ SR absentuje podpora Národného dopravcu v osobnej a nákladnej doprave, ako základnej priority štátu. V časti 3.2.4 Problémy nákladnej železničnej dopravy nie je riešený model podpory prevádzkovania JVZ. KOZ SR žiada uvedené a jasné stanovenie podmienok sanácie vnútorného dlhu správcu železničnej infraštruktúry a jeho ďalšieho rozvoja ako nevyhnutnú súčasť pripravovaného materiálu časového harmonogramu a finančného rámca plnenia opatrení zadefinovaných v predloženom strategickom pláne. Uvedená zásadná pripomienka bola predložená na rokovanie HSR SR 12/12/2016.</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 xml:space="preserve">Dňa 15.12.2016 sa uskutočnilo pracovné stretnutie zástupcov KOZ SR (OZŽ) a MDVRR SR za účelom vysporiadania pripomienok predložených k strategickému plánu na zasadnutí Hospodárskej a sociálnej rady SR (ďalej "HSR"). V nadväznosti na závery pracovného stretnutia a vzájomnú dohodu na konkrétnych textáciách, ktoré MDVRR SR zapracovalo do dokumentu, KOZ SR e-mailom zo dňa 21.12.2016 potvrdila kladné vysporiadanie pripomienok z HSR a teda aj MPK, keďže pripomienky boli totožné. Zásadná pripomienka je z tohto dôvodu bezpredmetná. </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br/>
              <w:t xml:space="preserve">K materiálu nemáme pripomienky. Berieme na vedomie, že z materiálu nevyplýva rozpočtovo nekrytý vplyv.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MHSR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Vlastnému materiálu všeobecne</w:t>
            </w:r>
            <w:r>
              <w:rPr>
                <w:rFonts w:ascii="Times" w:hAnsi="Times" w:cs="Times"/>
                <w:sz w:val="25"/>
                <w:szCs w:val="25"/>
              </w:rPr>
              <w:br/>
              <w:t>Navrhujeme riešiť v nadväznosti na dynamickú dopravu aj statickú dopravu. Odôvodnenie: Neriešenie danej problematiky môže viesť k obmedzeniu podnikateľskej činnosti v jednotlivých mestských častiach kvôli dostupnosti parkovacích miest. Záchytné parkovacie plochy v okolí železničných staníc a terminálov sú potrebné, ale pri podnikateľskej činnosti, kde je potrebné zabezpečiť presun tovarov nedostatočné. Samotný spôsob regulácie a financovania je síce v kompetencii miestnych samospráv, ale pokiaľ nebude nastavený strategický dokument s celoštátnym dosahom tak, aby bolo možné čerpať finančné prostriedky aj na tento účel, nebudú mať mestské časti dostatok finančných zdrojov napr. na realizáciu parkovacích domov. Statická doprava sa iba okrajovo spomína v úvode kapitoly 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Návrh riešenia statickej dopravy v rámci dokumentu je potrebné vnímať v úzkej súvislosti s riešením dynamickej dopravy, a to zvlášť v mestských aglomeráciách. Spôsob regulácie statickej dopravy vrátane jej financovania je však plne v kompetencii miestnych samospráv, ktoré k nej môžu pristúpiť buď výstavbou nových parkovacích miest pre zabezpečenie dostatočných kapacít alebo prostredníctvom spoplatnenia tých lokalít v rámci svojej pôsobnosti, ktoré sú statickou dopravou najviac dotknuté, resp. kombináciou uvedených možností. K redukcii vstupu individuálnej automobilovej dopravy priamo do centier miest zabránia okrem opatrení definovaných v dokumente týkajúcich sa verejnej osobnej a železničnej dopravy (OPVO1, OPVO2, OPVO4, OPVO8) aj parkoviská P&amp;R, realizáciu ktorých predpokladá opatrenie týkajúce sa budovania záchytných odstavných a parkovacích plôch v okolí železničných staníc a terminálov (OPVO5). V rámci tohto opatrenia môžu byť realizované zariadenia typu K+R a B+R. Z toho dôvodu sa dokument statickou dopravou (s výnimkou uvádzaných opatrení) bližšie nezaoberá. Ambíciou MDVRR SR je však zapracovať výstupy generelov dopravy a Plánov udržateľnej mobility, ktoré zabezpečujú jednotlivé samosprávne kraje, do ďalších aktualizácii dokumentu.</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Vlastný materiál, kap. 6.3.1 Finančný rámec pre obdobie 2014 – 2030, tab. 23</w:t>
            </w:r>
            <w:r>
              <w:rPr>
                <w:rFonts w:ascii="Times" w:hAnsi="Times" w:cs="Times"/>
                <w:sz w:val="25"/>
                <w:szCs w:val="25"/>
              </w:rPr>
              <w:br/>
              <w:t>V riadku d) Spolufinancovanie štátu k OPII, CEF a IROP (spolufinancovanie 15% NFP, neoprávnené náklady, výdavky nad rámec finančnej medzery) odporúčame pri stanovení výšky spolufinancovania štátu zohľadniť spolufinancovanie v rámci VRR, ktoré je na úrovni 50% NFP. Odôvodnenie: Zabezpečenie súladu medzi spolufinancovaním v rámci MRR a VRR.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Text upravený.</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MŠVVaŠSR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Odporúčame do materiálu vložiť plánované uplatnenie výsledkov dopravných výskumov ako podstatnej časti rozvoja dopravy SR, k prioritám priradiť aj dopravu detí a mládeže do škôl a školských zariadení, podobne dopravu k športovým strediskám , a v rámci toho uplatniť napríklad aj pre postihnutých športovcov zabezpečenie bezbariérového prístupu pre osoby so zníženou pohyblivosťou v súlade s nariadením EP a Rady č. 1371/2007 o právach a povinnostiach cestujúcich v železničnej preprave, obdobne aj v ďalších druhoch dopravy.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Zámer uplatňovať výsledky dopravných výskumov pri rozvoji dopravného sektora je obsahovou náplňou opatrenia OPS4, v rámci ktorého sa akcentuje dôležitosť zberu a pravidelnej aktualizácie dopravných dát a ich aplikácie v praxi. Venovanie pozornosti pri doprave detí a mládeže do škôl a školských zariadení, ako aj k športovým strediskám bolo doplnené do opatrenia OPS8. Zabezpečenie bezbariérového prístupu pre osoby so zníženou pohyblivosťou v súlade s nariadením EP a Rady č. 1371/2007 o právach a povinnostiach cestujúcich v železničnej preprave, obdobne aj v ďalších druhoch dopravy, je obsahovou súčasťou opatrenia OPS8 a OPS4.</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textu materiálu</w:t>
            </w:r>
            <w:r>
              <w:rPr>
                <w:rFonts w:ascii="Times" w:hAnsi="Times" w:cs="Times"/>
                <w:sz w:val="25"/>
                <w:szCs w:val="25"/>
              </w:rPr>
              <w:br/>
              <w:t>Vzhľadom na záväzky vyplývajúce Slovenskej republike z medzinárodných zmlúv, odporúčame zapracovať do materiálu oblasť civilného núdzového plánovania. Konkrétne ide o zabezpečenie zjazdnosti vytýčených dopravných koridorov pre vojenskú techniku Aliančných vojsk, resp. budovanie nových koridorov a ich diverzifikácia. Pri budovaní novej civilnej infraštruktúry je potrebné zohľadňovať aj špecifické požiadavky vojenskej techniky (napr. vyššie zaťaženie vozovky, prejazdnosť mostov a podjazdov) na dopravnú infraštruktúru. Uvedené je potrebné zohľadňovať pri všetkých dostupných druhoch dopravnej infraštruktúry (lodná, železničná, letecká, cestná).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Text v zmysle pripomienky bol doplnený do kap. 4.2 Globálne strategické ciele a ich východiská.</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MZVaEZSR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LP.2016.1093</w:t>
            </w:r>
            <w:r>
              <w:rPr>
                <w:rFonts w:ascii="Times" w:hAnsi="Times" w:cs="Times"/>
                <w:sz w:val="25"/>
                <w:szCs w:val="25"/>
              </w:rPr>
              <w:br/>
              <w:t xml:space="preserve">Ministerstvo životného prostredia v súčasnosti finalizuje stanovisko z procesu posudzovania vplyvov na životné prostredie vrátane výsledkov cezhraničného posudzovania podľa zákona č. 24/2006 Z.z. o posudzovaní vplyvov na životné prostredie a o zmene a doplnení niektorých zákonov v znení neskorších predpisov a preto nie je možné zaujať stanovisko k zneniu doložky vplyvov na životné prostredie, ktorá má byť vypracovaná po skončení procesu posudzovania vplyvov na životné prostredie. Pripomienka je obyčajná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MDVRR SR predloží materiál na rokovanie vlády SR až po vydaní stanoviska MŽP SR z procesu posudzovania vplyvov na životné prostredie, ktoré sa vykonáva podľa zákona č. 24/2006 Z. z.</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NBS navrhuje v strategickom pláne uviesť informáciu, ako sa reflektovali špecifické opatrenia zo Záverečnej správy Revízie výdavkov na dopravu, ktorú vypracovalo MF SR v spolupráci s MDVRR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Dokument bol počas tvorby správy k revízii výdavkov na dopravu, zdravotníctvo a informatizáciu poskytnutý IFP (MF SR). Dlhodobým cieľom MDVRR SR a MF SR je zabezpečiť užšie previazanie dokumentov ministerstiev týkajúcich sa vynakladania finančných prostriedkov z verejných zdrojov tak, aby boli tieto efektívne a udržateľne vynakladané na budovanie infraštruktúry a poskytovanie dopravných služieb. Revízia výdavkov je súčasťou rozpočtu verejnej správy na roky 2017 až 2019. V súlade s uznesením vlády SR č. 461/2016, ktorým bol návrh rozpočtu schválený, budú opatrenia vyplývajúce z revízie výdavkov realizované priebežne do 31. decembra 2020. V súčasnosti prebieha špecifikácia a precizovanie postupu, ktorý bude následne zapracovaný do aktualizácie strategického plánu.</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lehote na pripomienkovanie</w:t>
            </w:r>
            <w:r>
              <w:rPr>
                <w:rFonts w:ascii="Times" w:hAnsi="Times" w:cs="Times"/>
                <w:sz w:val="25"/>
                <w:szCs w:val="25"/>
              </w:rPr>
              <w:br/>
              <w:t xml:space="preserve">Vzhľadom na komplexnosť a rozsah materiálu považujeme lehotu na pripomienkovanie materiálu len v rozsahu 5 pracovných dní za neprimerane krátku, ktorá neumožňuje detailné posúdenie materiálu. Materiály takéhoto významu a/alebo takéhoto objemu by mali byť do medzirezortného pripomienkového konania predkladané spôsobom, ktorý by umožňoval kvalitné posúdenie zo strany subjektov zúčastnených v pripomienkovom konaní, čo je aj cieľom takéhoto pripomienkového konania. Žiadame preto v prípade materiálov takéhoto rozsahu a významu o určovanie dlhších lehôt na pripomienkovanie.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MDVRR SR berie odporúčanie na vedomie.</w:t>
            </w: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SŠHRSR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 xml:space="preserve">celému materiálu </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ÚGKKSR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ÚNMS SR nemá k predloženému materiálu žiadne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materiálu ako celku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sz w:val="20"/>
                <w:szCs w:val="20"/>
              </w:rPr>
            </w:pPr>
          </w:p>
        </w:tc>
      </w:tr>
      <w:tr w:rsidR="003741E6">
        <w:trPr>
          <w:divId w:val="1310327376"/>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b/>
                <w:bCs/>
                <w:sz w:val="25"/>
                <w:szCs w:val="25"/>
              </w:rPr>
            </w:pPr>
            <w:r>
              <w:rPr>
                <w:rFonts w:ascii="Times" w:hAnsi="Times" w:cs="Times"/>
                <w:b/>
                <w:bCs/>
                <w:sz w:val="25"/>
                <w:szCs w:val="25"/>
              </w:rPr>
              <w:t>ZMOS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b/>
                <w:bCs/>
                <w:sz w:val="25"/>
                <w:szCs w:val="25"/>
              </w:rPr>
              <w:t>k materiálu ako celku</w:t>
            </w:r>
            <w:r>
              <w:rPr>
                <w:rFonts w:ascii="Times" w:hAnsi="Times" w:cs="Times"/>
                <w:sz w:val="25"/>
                <w:szCs w:val="25"/>
              </w:rPr>
              <w:br/>
              <w:t xml:space="preserve">Navrhujeme doplnenie materiálu "Strategický plán rozvoja dopravy SR do roku 2030" o prílohu, ktorá by obsahovala indikatívny zoznam konkrétnych projektov . Uvedené navrhujeme uvedomujúc si nesúlad s metodickým usmernením technických poradcov EK JASPERS.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741E6" w:rsidRDefault="003741E6">
            <w:pPr>
              <w:rPr>
                <w:rFonts w:ascii="Times" w:hAnsi="Times" w:cs="Times"/>
                <w:sz w:val="25"/>
                <w:szCs w:val="25"/>
              </w:rPr>
            </w:pPr>
            <w:r>
              <w:rPr>
                <w:rFonts w:ascii="Times" w:hAnsi="Times" w:cs="Times"/>
                <w:sz w:val="25"/>
                <w:szCs w:val="25"/>
              </w:rPr>
              <w:t>Strategický plán neodporúča konkrétne projekty alebo časti koridorov k realizácii. Dokument má povahu dlhodobého strategického dokumentu, ktorý definuje víziu, strategické ciele a jednotlivé opatrenia.</w:t>
            </w: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741E6"/>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350354">
      <w:bodyDiv w:val="1"/>
      <w:marLeft w:val="0"/>
      <w:marRight w:val="0"/>
      <w:marTop w:val="0"/>
      <w:marBottom w:val="0"/>
      <w:divBdr>
        <w:top w:val="none" w:sz="0" w:space="0" w:color="auto"/>
        <w:left w:val="none" w:sz="0" w:space="0" w:color="auto"/>
        <w:bottom w:val="none" w:sz="0" w:space="0" w:color="auto"/>
        <w:right w:val="none" w:sz="0" w:space="0" w:color="auto"/>
      </w:divBdr>
    </w:div>
    <w:div w:id="341711124">
      <w:bodyDiv w:val="1"/>
      <w:marLeft w:val="0"/>
      <w:marRight w:val="0"/>
      <w:marTop w:val="0"/>
      <w:marBottom w:val="0"/>
      <w:divBdr>
        <w:top w:val="none" w:sz="0" w:space="0" w:color="auto"/>
        <w:left w:val="none" w:sz="0" w:space="0" w:color="auto"/>
        <w:bottom w:val="none" w:sz="0" w:space="0" w:color="auto"/>
        <w:right w:val="none" w:sz="0" w:space="0" w:color="auto"/>
      </w:divBdr>
    </w:div>
    <w:div w:id="524946425">
      <w:bodyDiv w:val="1"/>
      <w:marLeft w:val="0"/>
      <w:marRight w:val="0"/>
      <w:marTop w:val="0"/>
      <w:marBottom w:val="0"/>
      <w:divBdr>
        <w:top w:val="none" w:sz="0" w:space="0" w:color="auto"/>
        <w:left w:val="none" w:sz="0" w:space="0" w:color="auto"/>
        <w:bottom w:val="none" w:sz="0" w:space="0" w:color="auto"/>
        <w:right w:val="none" w:sz="0" w:space="0" w:color="auto"/>
      </w:divBdr>
    </w:div>
    <w:div w:id="580333263">
      <w:bodyDiv w:val="1"/>
      <w:marLeft w:val="0"/>
      <w:marRight w:val="0"/>
      <w:marTop w:val="0"/>
      <w:marBottom w:val="0"/>
      <w:divBdr>
        <w:top w:val="none" w:sz="0" w:space="0" w:color="auto"/>
        <w:left w:val="none" w:sz="0" w:space="0" w:color="auto"/>
        <w:bottom w:val="none" w:sz="0" w:space="0" w:color="auto"/>
        <w:right w:val="none" w:sz="0" w:space="0" w:color="auto"/>
      </w:divBdr>
    </w:div>
    <w:div w:id="941575629">
      <w:bodyDiv w:val="1"/>
      <w:marLeft w:val="0"/>
      <w:marRight w:val="0"/>
      <w:marTop w:val="0"/>
      <w:marBottom w:val="0"/>
      <w:divBdr>
        <w:top w:val="none" w:sz="0" w:space="0" w:color="auto"/>
        <w:left w:val="none" w:sz="0" w:space="0" w:color="auto"/>
        <w:bottom w:val="none" w:sz="0" w:space="0" w:color="auto"/>
        <w:right w:val="none" w:sz="0" w:space="0" w:color="auto"/>
      </w:divBdr>
    </w:div>
    <w:div w:id="1288776131">
      <w:bodyDiv w:val="1"/>
      <w:marLeft w:val="0"/>
      <w:marRight w:val="0"/>
      <w:marTop w:val="0"/>
      <w:marBottom w:val="0"/>
      <w:divBdr>
        <w:top w:val="none" w:sz="0" w:space="0" w:color="auto"/>
        <w:left w:val="none" w:sz="0" w:space="0" w:color="auto"/>
        <w:bottom w:val="none" w:sz="0" w:space="0" w:color="auto"/>
        <w:right w:val="none" w:sz="0" w:space="0" w:color="auto"/>
      </w:divBdr>
    </w:div>
    <w:div w:id="1310327376">
      <w:bodyDiv w:val="1"/>
      <w:marLeft w:val="0"/>
      <w:marRight w:val="0"/>
      <w:marTop w:val="0"/>
      <w:marBottom w:val="0"/>
      <w:divBdr>
        <w:top w:val="none" w:sz="0" w:space="0" w:color="auto"/>
        <w:left w:val="none" w:sz="0" w:space="0" w:color="auto"/>
        <w:bottom w:val="none" w:sz="0" w:space="0" w:color="auto"/>
        <w:right w:val="none" w:sz="0" w:space="0" w:color="auto"/>
      </w:divBdr>
    </w:div>
    <w:div w:id="185673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22.12.2016 9:48:19"/>
    <f:field ref="objchangedby" par="" text="Administrator, System"/>
    <f:field ref="objmodifiedat" par="" text="22.12.2016 9:48:23"/>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https://ovdmasv601/sites/DMS/_layouts/15/DocIdRedir.aspx?ID=WKX3UHSAJ2R6-2-758988</Url>
      <Description>WKX3UHSAJ2R6-2-758988</Description>
    </_dlc_DocIdUrl>
    <_dlc_DocId xmlns="e60a29af-d413-48d4-bd90-fe9d2a897e4b">WKX3UHSAJ2R6-2-758988</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788A405D-D115-4856-AEA2-AFB07693D51B}"/>
</file>

<file path=customXml/itemProps3.xml><?xml version="1.0" encoding="utf-8"?>
<ds:datastoreItem xmlns:ds="http://schemas.openxmlformats.org/officeDocument/2006/customXml" ds:itemID="{0DEB8907-4C18-4D49-B7F3-9249DB3C667F}"/>
</file>

<file path=customXml/itemProps4.xml><?xml version="1.0" encoding="utf-8"?>
<ds:datastoreItem xmlns:ds="http://schemas.openxmlformats.org/officeDocument/2006/customXml" ds:itemID="{367515C7-0686-4884-8039-308E49162DD5}"/>
</file>

<file path=customXml/itemProps5.xml><?xml version="1.0" encoding="utf-8"?>
<ds:datastoreItem xmlns:ds="http://schemas.openxmlformats.org/officeDocument/2006/customXml" ds:itemID="{B6FEEB04-6610-4770-894E-F6CB74ADFFC3}"/>
</file>

<file path=docProps/app.xml><?xml version="1.0" encoding="utf-8"?>
<Properties xmlns="http://schemas.openxmlformats.org/officeDocument/2006/extended-properties" xmlns:vt="http://schemas.openxmlformats.org/officeDocument/2006/docPropsVTypes">
  <Template>Normal.dotm</Template>
  <TotalTime>0</TotalTime>
  <Pages>1</Pages>
  <Words>1987</Words>
  <Characters>11326</Characters>
  <Application>Microsoft Office Word</Application>
  <DocSecurity>4</DocSecurity>
  <Lines>94</Lines>
  <Paragraphs>26</Paragraphs>
  <ScaleCrop>false</ScaleCrop>
  <Company/>
  <LinksUpToDate>false</LinksUpToDate>
  <CharactersWithSpaces>13287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2016-12-22T08:48:00Z</dcterms:created>
  <dcterms:modified xsi:type="dcterms:W3CDTF">2016-12-22T08:48:00Z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Ing. Pavol Hajník</vt:lpwstr>
  </property>
  <property fmtid="{D5CDD505-2E9C-101B-9397-08002B2CF9AE}" pid="11" name="FSC#SKEDITIONSLOVLEX@103.510:zodppredkladatel">
    <vt:lpwstr>Arpád Érsek</vt:lpwstr>
  </property>
  <property fmtid="{D5CDD505-2E9C-101B-9397-08002B2CF9AE}" pid="12" name="FSC#SKEDITIONSLOVLEX@103.510:dalsipredkladatel">
    <vt:lpwstr/>
  </property>
  <property fmtid="{D5CDD505-2E9C-101B-9397-08002B2CF9AE}" pid="13" name="FSC#SKEDITIONSLOVLEX@103.510:nazovpredpis">
    <vt:lpwstr> Strategický plán rozvoja dopravy SR do roku 2030</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dopravy, výstavby a regionálneho rozvoja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Plán práce vlády SR na II. polrok 2016</vt:lpwstr>
  </property>
  <property fmtid="{D5CDD505-2E9C-101B-9397-08002B2CF9AE}" pid="22" name="FSC#SKEDITIONSLOVLEX@103.510:plnynazovpredpis">
    <vt:lpwstr> Strategický plán rozvoja dopravy SR do roku 2030</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06996/2016/D641-SRP/78065-M</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LP/2016/1093</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30. 11. 2016</vt:lpwstr>
  </property>
  <property fmtid="{D5CDD505-2E9C-101B-9397-08002B2CF9AE}" pid="58" name="FSC#SKEDITIONSLOVLEX@103.510:AttrDateDocPropUkonceniePKK">
    <vt:lpwstr>8. 12. 2016</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Pozitívne_x000d_
Negatívne</vt:lpwstr>
  </property>
  <property fmtid="{D5CDD505-2E9C-101B-9397-08002B2CF9AE}" pid="61" name="FSC#SKEDITIONSLOVLEX@103.510:AttrStrDocPropVplyvSocialny">
    <vt:lpwstr>Pozitívne</vt:lpwstr>
  </property>
  <property fmtid="{D5CDD505-2E9C-101B-9397-08002B2CF9AE}" pid="62" name="FSC#SKEDITIONSLOVLEX@103.510:AttrStrDocPropVplyvNaZivotProstr">
    <vt:lpwstr>Pozitívne_x000d_
Negatívne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V súlade s metodickým usmernením technických poradcov EK JASPERS strategický plán neobsahuje zoznam konkrétnych projektov. MDVRR SR osobitne vypracuje finančný rámec vrátane časového harmonogramu plnenia opatrení definovaných v strategickom pláne a predloží ho na rokovanie vlády v roku 2017.</vt:lpwstr>
  </property>
  <property fmtid="{D5CDD505-2E9C-101B-9397-08002B2CF9AE}" pid="65" name="FSC#SKEDITIONSLOVLEX@103.510:AttrStrListDocPropAltRiesenia">
    <vt:lpwstr>Vzhľadom na to, že stanovenie relevantných opatrení v rámci predkladaného dokumentu bolo realizované na základe dôkladnej analýzy súčasného stavu a následnej multikriteriálnej verifikácie navrhovaných opatrení, pričom boli zvažované aj alternatívne možnosti, jediným alternatívnym variantom je nulový stav, t. j. stav bez implementácie Strategického plánu rozvoja dopravy SR do roku 2030.Napriek tomu, že predkladaný materiál nemá implementačný charakter, ani neobsahuje zoznam konkrétnych projektov, plní úlohu koncepčného a strategického rámca pre vytváranie dokumentov s realizačným charakterom. Je teda možné predpokladať, že bez vytvoreného rámca by nebolo možné vytvárať realizačné plány zohľadňujúce objektívne potreby dopravného systému v SR.V rámci prípravy predkladaného materiálu boli na základe analýzy súčasného (nulového) stavu identifikované problémy, na zmiernenie a elimináciu ktorých sa dokument zameriava. V prípade nerealizácie navrhovaných opatrení by dopravný systém a následne aj celý sektor hospodárstva musel znášať následky neriešenia identifikovaných problémov. Vzhľadom na celoštátny charakter dokumentu by mal tento stav vplyv na celú populáciu SR, ako aj na podnikateľské subjekty realizujúce svoje aktivity na jej území. Najvýraznejšie by boli pociťované problémy v cestnej doprave, najmä v oblasti budovania novej infraštruktúry vyššieho dopravného významu, t.j. diaľnic a rýchlostných ciest, v oblasti rekonštrukcie ciest I. triedy a objektov na nich situovaných. Bez budovania nových kapacitných úsekov cestnej infraštruktúry, obchvatov miest a obcí, preložiek ciest I. triedy a pod. by spoločnosť musela znášať výrazné externé náklady spojené s významným rastom individuálnej automobilovej dopravy (IAD), ktorá by sústavne zaťažovala intravilány miest a obcí a znižovala tak kvalitu života, životného prostredia a tým aj zdravia ich obyvateľov. Zároveň by boli nadmerne ohrození aj používatelia dopravnej infraštruktúry, keďže by narastala miera rizika vzniku dopravných nehôd.Riešenie problematiky výrazného rastu IAD je potrebné riešiť aj na úrovni verejnej dopravy. Miera využívania verejnej dopravy v SR dlhodobo klesá práve na úkor IAD, preto bez zvýšenia jej atraktivity prostredníctvom budovania novej infraštruktúry VOD, bez integrácie VOD do ucelených prepravných systémov, bez podpory intermodality a bez obnovy parku vozidiel, nebude možné presunúť cestujúcu verejnosť na environmentálne priaznivejší a kapacitnejší druh dopravy a odľahčiť tak dopravný systém.Podobný stav by nastal aj v móde železničnej dopravy, kde zastaraná infraštruktúra a čiastočne taktiež park koľajových vozidiel neumožňuje naplno využiť potenciál vlakovej dopravy a vzhľadom na jej nízku atraktivitu vyplývajúcu zo súčasného technického a technologického stavu nie je možné zabezpečiť presun cestujúcich na železnicu, čo je jedným z hlavných cieľov európskej dopravnej politiky.Z hľadiska ďalších módov dopravy - vodnej a leteckej dopravy, je takisto nevyhnutné realizovať opatrenia navrhované v predkladanom dokumente, nakoľko ich súčasné technické, funkčné a kapacitné infraštruktúrne obmedzenia neumožňujú ďalší rozvoj.Dopravný systém je úzko previazaný na sektor hospodárstva a na aktivity podnikateľských subjektov. V prípade nerealizácie predkladaného strategického materiálu by preto nebolo možné adekvátne zvýšiť dostupnosť územia z hľadiska infraštruktúry vyššieho dopravného významu, dostupnosť hlavného mesta, krajských miest ani ďalších relevantných bodov záujmu, nezvýšila by sa mobilita obyvateľstva, nedošlo by ani k zvýšeniu atraktivity regiónov, v ktorých by sa navrhované opatrenia mali implementovať, čím by sa eliminovali potenciálne synergické efekty v podobe zvýšenej investičnej aktivity a tvorby nových pracovných miest.</vt:lpwstr>
  </property>
  <property fmtid="{D5CDD505-2E9C-101B-9397-08002B2CF9AE}" pid="66" name="FSC#SKEDITIONSLOVLEX@103.510:AttrStrListDocPropStanoviskoGest">
    <vt:lpwstr>V súlade s ustanoveniami Jednotnej metodiky na posudzovanie vybraných vplyvov požiadalo MDVRR SR dňa 18.05.2016 Ministerstvo hospodárstva SR (MH SR) o zaslanie stanoviska, či je potrebné vzhľadom na charakter dokumentu vykonať konzultácie s podnikateľskými subjektmi. MH SR dňa 26.05.2016 MDVRR SR oznámilo, že takéto konzultácie „odporúča“ vykonať. V nadväznosti na stanovisko MH SR bol návrh strategického plánu konzultovaný so zástupcami odvetvových združení, zväzov a komôr, ktoré zastrešujú aktivity jednotlivých podnikateľských subjektov. Podnikateľské konzultácie boli realizované v termíne od 04.10. do 01.11.2016. V rámci konzultácií prebiehala komunikácia so Slovenskou obchodnou a priemyselnou komorou, Zväzom automobilového priemyslu SR, Zväzom stavebných podnikateľov Slovenska, Klubom 500, Slovenským plynárenským a naftovým zväzom a Zväzom chemického a farmaceutického priemyslu Slovenskej republiky. Dňa 09.11.2016 sa na MDVRR SR zároveň uskutočnilo pracovné stretnutie s podnikateľskými subjektmi, a to za účelom vytvorenia dodatočného priestoru na diskusiu k uplatneným pripomienkam a vysvetleniu prípadných nezrovnalostí (pozn.: záznam z pracovného stretnutia je dostupný na vyžiadanie na MDVRR SR). Stála pracovná komisia na posudzovanie vybraných vplyvov svojím stanoviskom zo dňa 08.12.2016 vyjadrila súhlasné stanovisko s návrhom na dopracovanie materiálu podľa nasledujúcich pripomienok: Analýza sociálnych vplyvov:Do bodu 4.1 vplyvy na hospodárenie domácností Komisia odporúča doplniť očakávaný pozitívny vplyv na výdavky domácností na dopravu, ktoré vplyvom opatrení materiálu môžu poklesnúť.Do bodu 4.2 Komisia odporúča doplniť pozitívny vplyv novej infraštruktúry pre pešiu a cyklistickú dopravu, ktorá zlepší prístup obyvateľstva k športovým a voľnočasovým aktivitám. Vyhodnotenie pripomienok za MDVRR SR: Akceptované a upravené v časti „Analýza sociálnych vplyvov“.</vt:lpwstr>
  </property>
  <property fmtid="{D5CDD505-2E9C-101B-9397-08002B2CF9AE}" pid="67" name="FSC#SKEDITIONSLOVLEX@103.510:AttrStrListDocPropTextKomunike">
    <vt:lpwstr>Vláda Slovenskej republiky na svojom rokovaní dňa ....................... prerokovala a schválila materiál Strategický plán rozvoja dopravy SR do roku 2030. Dokument si kladie za cieľ nastaviť efektívny smer rozvoja dopravného sektora a určuje spôsob realizácie jeho rozvojovej vízie. </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minister dopravy, výstavby a regionálneho rozvoja</vt:lpwstr>
  </property>
  <property fmtid="{D5CDD505-2E9C-101B-9397-08002B2CF9AE}" pid="136" name="FSC#SKEDITIONSLOVLEX@103.510:AttrStrListDocPropUznesenieNaVedomie">
    <vt:lpwstr>minister financií_x000d_
podpredseda vlády a minister vnútra_x000d_
predsedovia samosprávnych krajov_x000d_
predseda Združenia miest a obcí Slovenska_x000d_
prezident Únie miest Slovenska</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 dopravy, výstavby a regionálneho rozvoja Slovenskej republiky</vt:lpwstr>
  </property>
  <property fmtid="{D5CDD505-2E9C-101B-9397-08002B2CF9AE}" pid="141" name="FSC#SKEDITIONSLOVLEX@103.510:funkciaZodpPredAkuzativ">
    <vt:lpwstr>ministra dopravy, výstavby a regionálneho rozvoja Slovenskej republiky</vt:lpwstr>
  </property>
  <property fmtid="{D5CDD505-2E9C-101B-9397-08002B2CF9AE}" pid="142" name="FSC#SKEDITIONSLOVLEX@103.510:funkciaZodpPredDativ">
    <vt:lpwstr>ministrovi dopravy, výst6avby a regionálneho rozvoja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Arpád Érsek_x000d_
minister dopravy, výstavby a regionálneho rozvoja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&lt;p&gt;Návrh materiálu „Strategický plán rozvoja dopravy SR do roku 2030“ (ďalej „strategický plán“) predkladá na rokovanie vlády Slovenskej republiky minister dopravy, výstavby a&amp;nbsp;regionálneho rozvoja Slovenskej republiky. Materiál je na rokovanie predkladaný na základe Plánu práce vlády Slovenskej republiky na II. polrok 2016, ako aj na základe povinností, ktoré vyplývajú Slovenskej republike z nariadenia Európskeho parlamentu a&amp;nbsp;Rady (EÚ) č.&amp;nbsp;1303/2013 (ďalej „všeobecné nariadenie“).&lt;/p&gt;&lt;p&gt;Vo všeobecnom nariadení boli pre členské štáty EÚ stanovené ex ante kondicionality, splnením ktorých Európska komisia (ďalej „EK“) podmienila prístup členských štátov EÚ k&amp;nbsp;finančným prostriedkom v&amp;nbsp;rámci programového obdobia 2014 – 2020. Pre sektor dopravy bola stanovená podmienka, ktorou je existencia komplexných plánov pre rozvoj dopravnej infraštruktúry vrátane plánov pre udržateľný rozvoj mestskej, prímestskej a&amp;nbsp;regionálnej dopravy. Podľa ustanovení všeobecného nariadenia sú členské štáty povinné deklarovať EK splnenie ex&amp;nbsp;ante kondicionalít do konca roka 2016.&lt;/p&gt;&lt;p&gt;S&amp;nbsp;cieľom naplniť ex ante kondicionalitu došlo k rozdeleniu tvorby dopravnej stratégie (z&amp;nbsp;časového a obsahového hľadiska) na&amp;nbsp;dve fázy. I.&amp;nbsp;fáza s názvom „Strategický plán rozvoja dopravnej infraštruktúry SR do roku 2020“ bola schválená vládou SR dňa 25. júna 2014. Tento dokument slúžil prioritne pre vypracovanie Operačného programu Integrovaná infraštruktúra 2014 – 2020. Materiál predkladaný na rokovanie vlády SR napĺňa podmienky II.&amp;nbsp;fázy a&amp;nbsp;fakticky napĺňa povinnosť stanovenú vo všeobecnom nariadení.&lt;/p&gt;&lt;p&gt;Strategický plán je strategickým dokumentom dlhodobého charakteru, ktorý si kladie za&amp;nbsp;&amp;nbsp;cieľ nastaviť efektívny smer rozvoja dopravného sektora a určuje spôsob realizácie jeho rozvojovej vízie. Identifikuje kľúčové úzke miesta na dopravnej infraštruktúre a&amp;nbsp;v&amp;nbsp;oblasti verejnej osobnej a&amp;nbsp;nemotorovej dopravy, ako aj v&amp;nbsp;oblasti prevádzky,&amp;nbsp;údržby a&amp;nbsp;organizácie dopravy. Na&amp;nbsp;základe problémov a&amp;nbsp;potenciálnych faktorov rozvoja identifikovaných v&amp;nbsp;analytickej časti bola vo väzbe na európske strategické a&amp;nbsp;rozvojové dokumenty definovaná cieľová rozvojová vízia s&amp;nbsp;horizontom roku 2030, strategické globálne ciele, horizontálne a&amp;nbsp;modálne špecifické ciele a&amp;nbsp;opatrenia.&lt;/p&gt;&lt;p&gt;V&amp;nbsp;súlade s&amp;nbsp;metodickým usmernením technických poradcov EK - JASPERS strategický plán neobsahuje zoznam konkrétnych projektov. MDVRR SR osobitne vypracuje finančný rámec vrátane časového harmonogramu plnenia opatrení definovaných v strategickom pláne a&amp;nbsp;predloží ho na rokovanie vlády v roku 2017.&lt;/p&gt;&lt;p&gt;Schválenie strategického plánu a zabezpečenie plnenia identifikovaných cieľov je nevyhnutným predpokladom pre priebežné uvoľňovanie finančných prostriedkov z fondov EÚ po&amp;nbsp;roku 2016 pre oblasť dopravy. V prípade nesplnenia tejto povinnosti má EK právomoc pozastaviť platby na úrovni príslušnej prioritnej osi, prípadne pre celý operačný program.&lt;/p&gt;&lt;p&gt;S cieľom zabezpečiť ochranu životného prostredia bol strategický plán posúdený podľa zákona č. 24/2006 Z. z. o posudzovaní vplyvov na životné prostredie a o zmene a&amp;nbsp;doplnení niektorých zákonov v znení neskorších predpisov. Dňa 21.12.2016 vydalo Ministerstvo životného prostredia SR stanovisko, v&amp;nbsp;ktorom odporučilo schválenie strategického dokumentu.&lt;/p&gt;&lt;p&gt;Súčasťou materiálu je Doložka vybraných vplyvov, ktorá obsahuje analýzu vplyvov na&amp;nbsp;rozpočet verejnej správy, analýzu vplyvov na podnikateľské prostredie, analýzu sociálnych vplyvov a analýzu vplyvov na životné prostredie.&lt;/p&gt;Materiál bol predmetom medzirezortného pripomienkového konania a&amp;nbsp;na rokovanie vlády SR sa predkladá bez rozporov.&lt;p&gt;&amp;nbsp;&lt;/p&gt;&lt;p&gt;&amp;nbsp;&lt;/p&gt;</vt:lpwstr>
  </property>
  <property fmtid="{D5CDD505-2E9C-101B-9397-08002B2CF9AE}" pid="149" name="FSC#COOSYSTEM@1.1:Container">
    <vt:lpwstr>COO.2145.1000.3.1764590</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13cb8410-e5bf-4292-974d-1929d9cd2497</vt:lpwstr>
  </property>
</Properties>
</file>