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DC0" w:rsidRDefault="00841DC0" w:rsidP="00841DC0">
      <w:pPr>
        <w:keepNext/>
        <w:spacing w:after="0" w:line="240" w:lineRule="auto"/>
        <w:jc w:val="center"/>
        <w:rPr>
          <w:rFonts w:cs="Times New Roman"/>
          <w:b/>
          <w:sz w:val="28"/>
          <w:szCs w:val="28"/>
        </w:rPr>
      </w:pPr>
      <w:r w:rsidRPr="00841DC0">
        <w:rPr>
          <w:rFonts w:cs="Times New Roman"/>
          <w:b/>
          <w:sz w:val="28"/>
          <w:szCs w:val="28"/>
        </w:rPr>
        <w:t xml:space="preserve">Údaje o výkone a financovaní prenesených pôsobností </w:t>
      </w:r>
    </w:p>
    <w:p w:rsidR="00841DC0" w:rsidRPr="00841DC0" w:rsidRDefault="00841DC0" w:rsidP="00510A26">
      <w:pPr>
        <w:keepNext/>
        <w:spacing w:after="360" w:line="240" w:lineRule="auto"/>
        <w:jc w:val="center"/>
        <w:rPr>
          <w:rFonts w:cs="Times New Roman"/>
          <w:b/>
          <w:sz w:val="28"/>
          <w:szCs w:val="28"/>
        </w:rPr>
      </w:pPr>
      <w:r w:rsidRPr="00841DC0">
        <w:rPr>
          <w:rFonts w:cs="Times New Roman"/>
          <w:b/>
          <w:sz w:val="28"/>
          <w:szCs w:val="28"/>
        </w:rPr>
        <w:t>podľa jednotlivých ministerstiev</w:t>
      </w:r>
    </w:p>
    <w:p w:rsidR="00841DC0" w:rsidRPr="00841DC0" w:rsidRDefault="00841DC0" w:rsidP="00827CF2">
      <w:pPr>
        <w:keepNext/>
        <w:shd w:val="clear" w:color="auto" w:fill="F2F2F2" w:themeFill="background1" w:themeFillShade="F2"/>
        <w:spacing w:before="240" w:after="240" w:line="240" w:lineRule="auto"/>
        <w:jc w:val="both"/>
        <w:rPr>
          <w:rFonts w:cs="Times New Roman"/>
          <w:b/>
          <w:szCs w:val="24"/>
        </w:rPr>
      </w:pPr>
      <w:r w:rsidRPr="00841DC0">
        <w:rPr>
          <w:rFonts w:cs="Times New Roman"/>
          <w:b/>
          <w:szCs w:val="24"/>
        </w:rPr>
        <w:t>Ministerstvo dopravy, výstavby a regionálneho rozvoja Slovenskej republiky</w:t>
      </w:r>
    </w:p>
    <w:p w:rsidR="00D861B9" w:rsidRDefault="00D861B9" w:rsidP="00D861B9">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u w:val="single"/>
          <w:lang w:eastAsia="cs-CZ"/>
        </w:rPr>
      </w:pPr>
      <w:r w:rsidRPr="00D861B9">
        <w:rPr>
          <w:rFonts w:eastAsia="Times New Roman" w:cs="Times New Roman"/>
          <w:sz w:val="22"/>
          <w:u w:val="single"/>
          <w:lang w:eastAsia="cs-CZ"/>
        </w:rPr>
        <w:t>1.1.</w:t>
      </w:r>
      <w:r w:rsidRPr="00D861B9">
        <w:rPr>
          <w:rFonts w:eastAsia="Times New Roman" w:cs="Times New Roman"/>
          <w:sz w:val="22"/>
          <w:u w:val="single"/>
          <w:lang w:eastAsia="cs-CZ"/>
        </w:rPr>
        <w:tab/>
        <w:t>Katalóg prenesených pôsobností</w:t>
      </w:r>
    </w:p>
    <w:p w:rsidR="00D861B9" w:rsidRPr="00D861B9" w:rsidRDefault="00D861B9" w:rsidP="00D861B9">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D861B9">
        <w:rPr>
          <w:rFonts w:eastAsia="Times New Roman" w:cs="Times New Roman"/>
          <w:sz w:val="22"/>
          <w:lang w:eastAsia="cs-CZ"/>
        </w:rPr>
        <w:t>Zoznam úsekov štátnej správy prenesených na obce a samosprávne kraje</w:t>
      </w:r>
      <w:r>
        <w:rPr>
          <w:rFonts w:eastAsia="Times New Roman" w:cs="Times New Roman"/>
          <w:sz w:val="22"/>
          <w:lang w:eastAsia="cs-CZ"/>
        </w:rPr>
        <w:t xml:space="preserve"> s údajmi o počte úloh:</w:t>
      </w:r>
    </w:p>
    <w:tbl>
      <w:tblPr>
        <w:tblStyle w:val="Mriekatabuky"/>
        <w:tblW w:w="0" w:type="auto"/>
        <w:jc w:val="center"/>
        <w:tblLook w:val="04A0" w:firstRow="1" w:lastRow="0" w:firstColumn="1" w:lastColumn="0" w:noHBand="0" w:noVBand="1"/>
      </w:tblPr>
      <w:tblGrid>
        <w:gridCol w:w="2061"/>
        <w:gridCol w:w="2430"/>
        <w:gridCol w:w="1221"/>
        <w:gridCol w:w="1545"/>
      </w:tblGrid>
      <w:tr w:rsidR="00D861B9" w:rsidRPr="00D861B9" w:rsidTr="00D861B9">
        <w:trPr>
          <w:jc w:val="center"/>
        </w:trPr>
        <w:tc>
          <w:tcPr>
            <w:tcW w:w="2061" w:type="dxa"/>
          </w:tcPr>
          <w:p w:rsidR="00D861B9" w:rsidRPr="009766D2" w:rsidRDefault="00D861B9" w:rsidP="00D861B9">
            <w:pPr>
              <w:shd w:val="clear" w:color="auto" w:fill="F2F2F2" w:themeFill="background1" w:themeFillShade="F2"/>
              <w:spacing w:before="120" w:after="60"/>
              <w:jc w:val="left"/>
              <w:rPr>
                <w:b/>
                <w:sz w:val="16"/>
                <w:szCs w:val="16"/>
              </w:rPr>
            </w:pPr>
            <w:r w:rsidRPr="009766D2">
              <w:rPr>
                <w:b/>
                <w:sz w:val="16"/>
                <w:szCs w:val="16"/>
              </w:rPr>
              <w:t>obce</w:t>
            </w:r>
          </w:p>
        </w:tc>
        <w:tc>
          <w:tcPr>
            <w:tcW w:w="2430" w:type="dxa"/>
          </w:tcPr>
          <w:p w:rsidR="00D861B9" w:rsidRPr="009766D2" w:rsidRDefault="00D861B9" w:rsidP="00D861B9">
            <w:pPr>
              <w:shd w:val="clear" w:color="auto" w:fill="F2F2F2" w:themeFill="background1" w:themeFillShade="F2"/>
              <w:spacing w:before="120" w:after="60"/>
              <w:rPr>
                <w:b/>
                <w:sz w:val="16"/>
                <w:szCs w:val="16"/>
              </w:rPr>
            </w:pPr>
            <w:r w:rsidRPr="009766D2">
              <w:rPr>
                <w:b/>
                <w:sz w:val="16"/>
                <w:szCs w:val="16"/>
              </w:rPr>
              <w:t>samosprávne kraje</w:t>
            </w:r>
          </w:p>
        </w:tc>
        <w:tc>
          <w:tcPr>
            <w:tcW w:w="1221" w:type="dxa"/>
          </w:tcPr>
          <w:p w:rsidR="00D861B9" w:rsidRPr="009766D2" w:rsidRDefault="00D861B9" w:rsidP="00D861B9">
            <w:pPr>
              <w:shd w:val="clear" w:color="auto" w:fill="F2F2F2" w:themeFill="background1" w:themeFillShade="F2"/>
              <w:spacing w:before="120" w:after="60"/>
              <w:rPr>
                <w:b/>
                <w:sz w:val="16"/>
                <w:szCs w:val="16"/>
              </w:rPr>
            </w:pPr>
            <w:r w:rsidRPr="009766D2">
              <w:rPr>
                <w:b/>
                <w:sz w:val="16"/>
                <w:szCs w:val="16"/>
              </w:rPr>
              <w:t>obce</w:t>
            </w:r>
          </w:p>
        </w:tc>
        <w:tc>
          <w:tcPr>
            <w:tcW w:w="1545" w:type="dxa"/>
          </w:tcPr>
          <w:p w:rsidR="00D861B9" w:rsidRPr="009766D2" w:rsidRDefault="00D861B9" w:rsidP="00D861B9">
            <w:pPr>
              <w:shd w:val="clear" w:color="auto" w:fill="F2F2F2" w:themeFill="background1" w:themeFillShade="F2"/>
              <w:spacing w:before="120" w:after="60"/>
              <w:rPr>
                <w:b/>
                <w:sz w:val="16"/>
                <w:szCs w:val="16"/>
              </w:rPr>
            </w:pPr>
            <w:r w:rsidRPr="009766D2">
              <w:rPr>
                <w:b/>
                <w:sz w:val="16"/>
                <w:szCs w:val="16"/>
              </w:rPr>
              <w:t>samosprávne kraje</w:t>
            </w:r>
          </w:p>
        </w:tc>
      </w:tr>
      <w:tr w:rsidR="00D861B9" w:rsidRPr="00D861B9" w:rsidTr="00D861B9">
        <w:trPr>
          <w:jc w:val="center"/>
        </w:trPr>
        <w:tc>
          <w:tcPr>
            <w:tcW w:w="2061" w:type="dxa"/>
          </w:tcPr>
          <w:p w:rsidR="00D861B9" w:rsidRPr="00D861B9" w:rsidRDefault="00D861B9" w:rsidP="00D861B9">
            <w:pPr>
              <w:shd w:val="clear" w:color="auto" w:fill="F2F2F2" w:themeFill="background1" w:themeFillShade="F2"/>
              <w:spacing w:before="120" w:after="60"/>
              <w:jc w:val="left"/>
              <w:rPr>
                <w:sz w:val="16"/>
                <w:szCs w:val="16"/>
              </w:rPr>
            </w:pPr>
            <w:r w:rsidRPr="00D861B9">
              <w:rPr>
                <w:sz w:val="16"/>
                <w:szCs w:val="16"/>
              </w:rPr>
              <w:t>-</w:t>
            </w:r>
          </w:p>
        </w:tc>
        <w:tc>
          <w:tcPr>
            <w:tcW w:w="2430" w:type="dxa"/>
            <w:vAlign w:val="center"/>
          </w:tcPr>
          <w:p w:rsidR="00D861B9" w:rsidRPr="00D861B9" w:rsidRDefault="00D861B9" w:rsidP="00D861B9">
            <w:pPr>
              <w:shd w:val="clear" w:color="auto" w:fill="F2F2F2" w:themeFill="background1" w:themeFillShade="F2"/>
              <w:spacing w:before="120" w:after="60"/>
              <w:rPr>
                <w:sz w:val="16"/>
                <w:szCs w:val="16"/>
              </w:rPr>
            </w:pPr>
            <w:r w:rsidRPr="00D861B9">
              <w:rPr>
                <w:sz w:val="16"/>
                <w:szCs w:val="16"/>
              </w:rPr>
              <w:t>úsek dráh</w:t>
            </w:r>
          </w:p>
        </w:tc>
        <w:tc>
          <w:tcPr>
            <w:tcW w:w="1221" w:type="dxa"/>
            <w:vAlign w:val="center"/>
          </w:tcPr>
          <w:p w:rsidR="00D861B9" w:rsidRPr="00D861B9" w:rsidRDefault="00D861B9" w:rsidP="00D861B9">
            <w:pPr>
              <w:shd w:val="clear" w:color="auto" w:fill="F2F2F2" w:themeFill="background1" w:themeFillShade="F2"/>
              <w:spacing w:before="120" w:after="60"/>
              <w:jc w:val="right"/>
              <w:rPr>
                <w:sz w:val="16"/>
                <w:szCs w:val="16"/>
              </w:rPr>
            </w:pPr>
            <w:r w:rsidRPr="00D861B9">
              <w:rPr>
                <w:sz w:val="16"/>
                <w:szCs w:val="16"/>
              </w:rPr>
              <w:t>-</w:t>
            </w:r>
          </w:p>
        </w:tc>
        <w:tc>
          <w:tcPr>
            <w:tcW w:w="1545" w:type="dxa"/>
            <w:vAlign w:val="center"/>
          </w:tcPr>
          <w:p w:rsidR="00D861B9" w:rsidRPr="00D861B9" w:rsidRDefault="00D861B9" w:rsidP="00D861B9">
            <w:pPr>
              <w:shd w:val="clear" w:color="auto" w:fill="F2F2F2" w:themeFill="background1" w:themeFillShade="F2"/>
              <w:spacing w:before="120" w:after="60"/>
              <w:jc w:val="right"/>
              <w:rPr>
                <w:sz w:val="16"/>
                <w:szCs w:val="16"/>
              </w:rPr>
            </w:pPr>
            <w:r w:rsidRPr="00D861B9">
              <w:rPr>
                <w:sz w:val="16"/>
                <w:szCs w:val="16"/>
              </w:rPr>
              <w:t>8 A/ 3 V</w:t>
            </w:r>
          </w:p>
        </w:tc>
      </w:tr>
      <w:tr w:rsidR="00D861B9" w:rsidRPr="00D861B9" w:rsidTr="00D861B9">
        <w:trPr>
          <w:jc w:val="center"/>
        </w:trPr>
        <w:tc>
          <w:tcPr>
            <w:tcW w:w="2061" w:type="dxa"/>
          </w:tcPr>
          <w:p w:rsidR="00D861B9" w:rsidRPr="00D861B9" w:rsidRDefault="00D861B9" w:rsidP="00D861B9">
            <w:pPr>
              <w:shd w:val="clear" w:color="auto" w:fill="F2F2F2" w:themeFill="background1" w:themeFillShade="F2"/>
              <w:spacing w:before="120" w:after="60"/>
              <w:jc w:val="left"/>
              <w:rPr>
                <w:sz w:val="16"/>
                <w:szCs w:val="16"/>
              </w:rPr>
            </w:pPr>
            <w:r w:rsidRPr="00D861B9">
              <w:rPr>
                <w:sz w:val="16"/>
                <w:szCs w:val="16"/>
              </w:rPr>
              <w:t>úsek miestnych a účelových komunikácií</w:t>
            </w:r>
          </w:p>
        </w:tc>
        <w:tc>
          <w:tcPr>
            <w:tcW w:w="2430" w:type="dxa"/>
            <w:vAlign w:val="center"/>
          </w:tcPr>
          <w:p w:rsidR="00D861B9" w:rsidRPr="00D861B9" w:rsidRDefault="00D861B9" w:rsidP="00D861B9">
            <w:pPr>
              <w:shd w:val="clear" w:color="auto" w:fill="F2F2F2" w:themeFill="background1" w:themeFillShade="F2"/>
              <w:spacing w:before="120" w:after="60"/>
              <w:rPr>
                <w:sz w:val="16"/>
                <w:szCs w:val="16"/>
              </w:rPr>
            </w:pPr>
            <w:r w:rsidRPr="00D861B9">
              <w:rPr>
                <w:sz w:val="16"/>
                <w:szCs w:val="16"/>
              </w:rPr>
              <w:t>-</w:t>
            </w:r>
          </w:p>
        </w:tc>
        <w:tc>
          <w:tcPr>
            <w:tcW w:w="1221" w:type="dxa"/>
            <w:vAlign w:val="center"/>
          </w:tcPr>
          <w:p w:rsidR="00D861B9" w:rsidRPr="00D861B9" w:rsidRDefault="00D861B9" w:rsidP="00D861B9">
            <w:pPr>
              <w:shd w:val="clear" w:color="auto" w:fill="F2F2F2" w:themeFill="background1" w:themeFillShade="F2"/>
              <w:spacing w:before="120" w:after="60"/>
              <w:jc w:val="right"/>
              <w:rPr>
                <w:sz w:val="16"/>
                <w:szCs w:val="16"/>
              </w:rPr>
            </w:pPr>
            <w:r w:rsidRPr="00D861B9">
              <w:rPr>
                <w:sz w:val="16"/>
                <w:szCs w:val="16"/>
              </w:rPr>
              <w:t>9 A</w:t>
            </w:r>
          </w:p>
        </w:tc>
        <w:tc>
          <w:tcPr>
            <w:tcW w:w="1545" w:type="dxa"/>
            <w:vAlign w:val="center"/>
          </w:tcPr>
          <w:p w:rsidR="00D861B9" w:rsidRPr="00D861B9" w:rsidRDefault="00D861B9" w:rsidP="00D861B9">
            <w:pPr>
              <w:shd w:val="clear" w:color="auto" w:fill="F2F2F2" w:themeFill="background1" w:themeFillShade="F2"/>
              <w:spacing w:before="120" w:after="60"/>
              <w:jc w:val="right"/>
              <w:rPr>
                <w:sz w:val="16"/>
                <w:szCs w:val="16"/>
              </w:rPr>
            </w:pPr>
            <w:r w:rsidRPr="00D861B9">
              <w:rPr>
                <w:sz w:val="16"/>
                <w:szCs w:val="16"/>
              </w:rPr>
              <w:t>-</w:t>
            </w:r>
          </w:p>
        </w:tc>
      </w:tr>
      <w:tr w:rsidR="00D861B9" w:rsidRPr="00D861B9" w:rsidTr="00D861B9">
        <w:trPr>
          <w:jc w:val="center"/>
        </w:trPr>
        <w:tc>
          <w:tcPr>
            <w:tcW w:w="2061" w:type="dxa"/>
          </w:tcPr>
          <w:p w:rsidR="00D861B9" w:rsidRPr="00D861B9" w:rsidRDefault="00D861B9" w:rsidP="00D861B9">
            <w:pPr>
              <w:shd w:val="clear" w:color="auto" w:fill="F2F2F2" w:themeFill="background1" w:themeFillShade="F2"/>
              <w:spacing w:before="120" w:after="60"/>
              <w:jc w:val="left"/>
              <w:rPr>
                <w:sz w:val="16"/>
                <w:szCs w:val="16"/>
              </w:rPr>
            </w:pPr>
            <w:r w:rsidRPr="00D861B9">
              <w:rPr>
                <w:sz w:val="16"/>
                <w:szCs w:val="16"/>
              </w:rPr>
              <w:t>úsek špeciálneho stavebného úradu pre miestne a účelové komunikácie</w:t>
            </w:r>
          </w:p>
        </w:tc>
        <w:tc>
          <w:tcPr>
            <w:tcW w:w="2430" w:type="dxa"/>
            <w:vAlign w:val="center"/>
          </w:tcPr>
          <w:p w:rsidR="00D861B9" w:rsidRPr="00D861B9" w:rsidRDefault="00D861B9" w:rsidP="00D861B9">
            <w:pPr>
              <w:shd w:val="clear" w:color="auto" w:fill="F2F2F2" w:themeFill="background1" w:themeFillShade="F2"/>
              <w:spacing w:before="120" w:after="60"/>
              <w:rPr>
                <w:sz w:val="16"/>
                <w:szCs w:val="16"/>
              </w:rPr>
            </w:pPr>
            <w:r w:rsidRPr="00D861B9">
              <w:rPr>
                <w:sz w:val="16"/>
                <w:szCs w:val="16"/>
              </w:rPr>
              <w:t>-</w:t>
            </w:r>
          </w:p>
        </w:tc>
        <w:tc>
          <w:tcPr>
            <w:tcW w:w="1221" w:type="dxa"/>
            <w:vAlign w:val="center"/>
          </w:tcPr>
          <w:p w:rsidR="00D861B9" w:rsidRPr="00D861B9" w:rsidRDefault="00D861B9" w:rsidP="00D861B9">
            <w:pPr>
              <w:shd w:val="clear" w:color="auto" w:fill="F2F2F2" w:themeFill="background1" w:themeFillShade="F2"/>
              <w:spacing w:before="120" w:after="60"/>
              <w:jc w:val="right"/>
              <w:rPr>
                <w:sz w:val="16"/>
                <w:szCs w:val="16"/>
              </w:rPr>
            </w:pPr>
            <w:r w:rsidRPr="00D861B9">
              <w:rPr>
                <w:sz w:val="16"/>
                <w:szCs w:val="16"/>
              </w:rPr>
              <w:t>6 A</w:t>
            </w:r>
          </w:p>
        </w:tc>
        <w:tc>
          <w:tcPr>
            <w:tcW w:w="1545" w:type="dxa"/>
            <w:vAlign w:val="center"/>
          </w:tcPr>
          <w:p w:rsidR="00D861B9" w:rsidRPr="00D861B9" w:rsidRDefault="00D861B9" w:rsidP="00D861B9">
            <w:pPr>
              <w:shd w:val="clear" w:color="auto" w:fill="F2F2F2" w:themeFill="background1" w:themeFillShade="F2"/>
              <w:spacing w:before="120" w:after="60"/>
              <w:jc w:val="right"/>
              <w:rPr>
                <w:sz w:val="16"/>
                <w:szCs w:val="16"/>
              </w:rPr>
            </w:pPr>
            <w:r w:rsidRPr="00D861B9">
              <w:rPr>
                <w:sz w:val="16"/>
                <w:szCs w:val="16"/>
              </w:rPr>
              <w:t>-</w:t>
            </w:r>
          </w:p>
        </w:tc>
      </w:tr>
      <w:tr w:rsidR="00D861B9" w:rsidRPr="00D861B9" w:rsidTr="00D861B9">
        <w:trPr>
          <w:jc w:val="center"/>
        </w:trPr>
        <w:tc>
          <w:tcPr>
            <w:tcW w:w="2061" w:type="dxa"/>
          </w:tcPr>
          <w:p w:rsidR="00D861B9" w:rsidRPr="00D861B9" w:rsidRDefault="00D861B9" w:rsidP="00D861B9">
            <w:pPr>
              <w:shd w:val="clear" w:color="auto" w:fill="F2F2F2" w:themeFill="background1" w:themeFillShade="F2"/>
              <w:spacing w:before="120" w:after="60"/>
              <w:jc w:val="left"/>
              <w:rPr>
                <w:sz w:val="16"/>
                <w:szCs w:val="16"/>
              </w:rPr>
            </w:pPr>
            <w:r w:rsidRPr="00D861B9">
              <w:rPr>
                <w:sz w:val="16"/>
                <w:szCs w:val="16"/>
              </w:rPr>
              <w:t>úsek stavebného poriadku</w:t>
            </w:r>
          </w:p>
        </w:tc>
        <w:tc>
          <w:tcPr>
            <w:tcW w:w="2430" w:type="dxa"/>
            <w:vAlign w:val="center"/>
          </w:tcPr>
          <w:p w:rsidR="00D861B9" w:rsidRPr="00D861B9" w:rsidRDefault="00D861B9" w:rsidP="00D861B9">
            <w:pPr>
              <w:shd w:val="clear" w:color="auto" w:fill="F2F2F2" w:themeFill="background1" w:themeFillShade="F2"/>
              <w:spacing w:before="120" w:after="60"/>
              <w:rPr>
                <w:sz w:val="16"/>
                <w:szCs w:val="16"/>
              </w:rPr>
            </w:pPr>
            <w:r w:rsidRPr="00D861B9">
              <w:rPr>
                <w:sz w:val="16"/>
                <w:szCs w:val="16"/>
              </w:rPr>
              <w:t>-</w:t>
            </w:r>
          </w:p>
        </w:tc>
        <w:tc>
          <w:tcPr>
            <w:tcW w:w="1221" w:type="dxa"/>
            <w:vAlign w:val="center"/>
          </w:tcPr>
          <w:p w:rsidR="00D861B9" w:rsidRPr="00D861B9" w:rsidRDefault="00D861B9" w:rsidP="00D861B9">
            <w:pPr>
              <w:shd w:val="clear" w:color="auto" w:fill="F2F2F2" w:themeFill="background1" w:themeFillShade="F2"/>
              <w:spacing w:before="120" w:after="60"/>
              <w:jc w:val="right"/>
              <w:rPr>
                <w:sz w:val="16"/>
                <w:szCs w:val="16"/>
              </w:rPr>
            </w:pPr>
            <w:r w:rsidRPr="00D861B9">
              <w:rPr>
                <w:sz w:val="16"/>
                <w:szCs w:val="16"/>
              </w:rPr>
              <w:t>31 A</w:t>
            </w:r>
          </w:p>
        </w:tc>
        <w:tc>
          <w:tcPr>
            <w:tcW w:w="1545" w:type="dxa"/>
            <w:vAlign w:val="center"/>
          </w:tcPr>
          <w:p w:rsidR="00D861B9" w:rsidRPr="00D861B9" w:rsidRDefault="00D861B9" w:rsidP="00D861B9">
            <w:pPr>
              <w:shd w:val="clear" w:color="auto" w:fill="F2F2F2" w:themeFill="background1" w:themeFillShade="F2"/>
              <w:spacing w:before="120" w:after="60"/>
              <w:jc w:val="right"/>
              <w:rPr>
                <w:sz w:val="16"/>
                <w:szCs w:val="16"/>
              </w:rPr>
            </w:pPr>
            <w:r w:rsidRPr="00D861B9">
              <w:rPr>
                <w:sz w:val="16"/>
                <w:szCs w:val="16"/>
              </w:rPr>
              <w:t>-</w:t>
            </w:r>
          </w:p>
        </w:tc>
      </w:tr>
      <w:tr w:rsidR="00D861B9" w:rsidRPr="00D861B9" w:rsidTr="00D861B9">
        <w:trPr>
          <w:jc w:val="center"/>
        </w:trPr>
        <w:tc>
          <w:tcPr>
            <w:tcW w:w="2061" w:type="dxa"/>
          </w:tcPr>
          <w:p w:rsidR="00D861B9" w:rsidRPr="00D861B9" w:rsidRDefault="00D861B9" w:rsidP="00D861B9">
            <w:pPr>
              <w:shd w:val="clear" w:color="auto" w:fill="F2F2F2" w:themeFill="background1" w:themeFillShade="F2"/>
              <w:spacing w:before="120" w:after="60"/>
              <w:jc w:val="left"/>
              <w:rPr>
                <w:sz w:val="16"/>
                <w:szCs w:val="16"/>
              </w:rPr>
            </w:pPr>
            <w:r w:rsidRPr="00D861B9">
              <w:rPr>
                <w:sz w:val="16"/>
                <w:szCs w:val="16"/>
              </w:rPr>
              <w:t>úsek bývania</w:t>
            </w:r>
          </w:p>
        </w:tc>
        <w:tc>
          <w:tcPr>
            <w:tcW w:w="2430" w:type="dxa"/>
            <w:vAlign w:val="center"/>
          </w:tcPr>
          <w:p w:rsidR="00D861B9" w:rsidRPr="00D861B9" w:rsidRDefault="00D861B9" w:rsidP="00D861B9">
            <w:pPr>
              <w:shd w:val="clear" w:color="auto" w:fill="F2F2F2" w:themeFill="background1" w:themeFillShade="F2"/>
              <w:spacing w:before="120" w:after="60"/>
              <w:rPr>
                <w:sz w:val="16"/>
                <w:szCs w:val="16"/>
              </w:rPr>
            </w:pPr>
            <w:r w:rsidRPr="00D861B9">
              <w:rPr>
                <w:sz w:val="16"/>
                <w:szCs w:val="16"/>
              </w:rPr>
              <w:t>-</w:t>
            </w:r>
          </w:p>
        </w:tc>
        <w:tc>
          <w:tcPr>
            <w:tcW w:w="1221" w:type="dxa"/>
            <w:vAlign w:val="center"/>
          </w:tcPr>
          <w:p w:rsidR="00D861B9" w:rsidRPr="00D861B9" w:rsidRDefault="00D861B9" w:rsidP="00D861B9">
            <w:pPr>
              <w:shd w:val="clear" w:color="auto" w:fill="F2F2F2" w:themeFill="background1" w:themeFillShade="F2"/>
              <w:spacing w:before="120" w:after="60"/>
              <w:jc w:val="right"/>
              <w:rPr>
                <w:sz w:val="16"/>
                <w:szCs w:val="16"/>
              </w:rPr>
            </w:pPr>
            <w:r w:rsidRPr="00D861B9">
              <w:rPr>
                <w:sz w:val="16"/>
                <w:szCs w:val="16"/>
              </w:rPr>
              <w:t>5 V</w:t>
            </w:r>
          </w:p>
        </w:tc>
        <w:tc>
          <w:tcPr>
            <w:tcW w:w="1545" w:type="dxa"/>
            <w:vAlign w:val="center"/>
          </w:tcPr>
          <w:p w:rsidR="00D861B9" w:rsidRPr="00D861B9" w:rsidRDefault="00D861B9" w:rsidP="00D861B9">
            <w:pPr>
              <w:shd w:val="clear" w:color="auto" w:fill="F2F2F2" w:themeFill="background1" w:themeFillShade="F2"/>
              <w:spacing w:before="120" w:after="60"/>
              <w:jc w:val="right"/>
              <w:rPr>
                <w:sz w:val="16"/>
                <w:szCs w:val="16"/>
              </w:rPr>
            </w:pPr>
            <w:r w:rsidRPr="00D861B9">
              <w:rPr>
                <w:sz w:val="16"/>
                <w:szCs w:val="16"/>
              </w:rPr>
              <w:t>-</w:t>
            </w:r>
          </w:p>
        </w:tc>
      </w:tr>
    </w:tbl>
    <w:p w:rsidR="00841DC0" w:rsidRPr="00841DC0" w:rsidRDefault="00841DC0" w:rsidP="00D861B9">
      <w:pPr>
        <w:keepNext/>
        <w:shd w:val="clear" w:color="auto" w:fill="F2F2F2" w:themeFill="background1" w:themeFillShade="F2"/>
        <w:tabs>
          <w:tab w:val="left" w:pos="1276"/>
        </w:tabs>
        <w:spacing w:before="120" w:after="0" w:line="240" w:lineRule="auto"/>
        <w:ind w:firstLine="709"/>
        <w:jc w:val="both"/>
        <w:rPr>
          <w:rFonts w:eastAsia="Times New Roman" w:cs="Times New Roman"/>
          <w:sz w:val="22"/>
          <w:u w:val="single"/>
          <w:lang w:eastAsia="cs-CZ"/>
        </w:rPr>
      </w:pPr>
      <w:r w:rsidRPr="00841DC0">
        <w:rPr>
          <w:rFonts w:eastAsia="Times New Roman" w:cs="Times New Roman"/>
          <w:sz w:val="22"/>
          <w:lang w:eastAsia="cs-CZ"/>
        </w:rPr>
        <w:t>Ministerstvo dopravy,</w:t>
      </w:r>
      <w:r w:rsidRPr="00841DC0">
        <w:rPr>
          <w:rFonts w:cs="Times New Roman"/>
          <w:sz w:val="22"/>
        </w:rPr>
        <w:t xml:space="preserve"> výstavby a regionálneho rozvoja Slovenskej republiky (ďalej len „ministerstvo dopravy“)</w:t>
      </w:r>
      <w:r w:rsidRPr="00841DC0">
        <w:rPr>
          <w:rFonts w:eastAsia="Times New Roman" w:cs="Times New Roman"/>
          <w:sz w:val="22"/>
          <w:lang w:eastAsia="cs-CZ"/>
        </w:rPr>
        <w:t xml:space="preserve"> zozbieralo údaje na úrovní úloh v rámci jednotlivých úsekov. Na úseku pozemných komunikácií boli údaje získané od obcí prostredníctvom príslušných obvodných úradov v sídlach krajov, na úseku bývania priamo od obcí (návratnosť len 50%), kým na úseku dráhovej dopravy boli údaje získané od samosprávnych krajov. Na úseku stavebného poriadku ministerstvo dopravy nešpecifikovalo zdroj údajov.</w:t>
      </w:r>
    </w:p>
    <w:p w:rsidR="00841DC0" w:rsidRPr="00841DC0" w:rsidRDefault="00841DC0" w:rsidP="00827CF2">
      <w:pPr>
        <w:keepNext/>
        <w:shd w:val="clear" w:color="auto" w:fill="F2F2F2" w:themeFill="background1" w:themeFillShade="F2"/>
        <w:tabs>
          <w:tab w:val="left" w:pos="1276"/>
        </w:tabs>
        <w:spacing w:before="120" w:after="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1.2.</w:t>
      </w:r>
      <w:r w:rsidRPr="00841DC0">
        <w:rPr>
          <w:rFonts w:eastAsia="Times New Roman" w:cs="Times New Roman"/>
          <w:sz w:val="22"/>
          <w:u w:val="single"/>
          <w:lang w:eastAsia="cs-CZ"/>
        </w:rPr>
        <w:tab/>
        <w:t>Kvantifikácia výkonu prenesených pôsobností</w:t>
      </w:r>
    </w:p>
    <w:p w:rsidR="00841DC0" w:rsidRPr="00841DC0" w:rsidRDefault="00841DC0" w:rsidP="00827CF2">
      <w:pPr>
        <w:shd w:val="clear" w:color="auto" w:fill="F2F2F2" w:themeFill="background1" w:themeFillShade="F2"/>
        <w:spacing w:before="120" w:after="0" w:line="240" w:lineRule="auto"/>
        <w:jc w:val="both"/>
        <w:rPr>
          <w:rFonts w:eastAsia="Times New Roman" w:cs="Times New Roman"/>
          <w:sz w:val="22"/>
          <w:lang w:eastAsia="cs-CZ"/>
        </w:rPr>
      </w:pPr>
      <w:r w:rsidRPr="00841DC0">
        <w:rPr>
          <w:rFonts w:eastAsia="Times New Roman" w:cs="Times New Roman"/>
          <w:sz w:val="22"/>
          <w:lang w:eastAsia="cs-CZ"/>
        </w:rPr>
        <w:tab/>
        <w:t>Na úseku pozemných komunikácií plnia obce ako cestné správne orgány a špeciálne stavebné úrady 15 prenesených úloh, pri výkone ktorých sa počet vydaných rozhodnutí v správnom konaní zvyšuje podľa veľkostných kategórií obcí, napriek tomu, že v menších kategóriách A </w:t>
      </w:r>
      <w:proofErr w:type="spellStart"/>
      <w:r w:rsidRPr="00841DC0">
        <w:rPr>
          <w:rFonts w:eastAsia="Times New Roman" w:cs="Times New Roman"/>
          <w:sz w:val="22"/>
          <w:lang w:eastAsia="cs-CZ"/>
        </w:rPr>
        <w:t>a</w:t>
      </w:r>
      <w:proofErr w:type="spellEnd"/>
      <w:r w:rsidRPr="00841DC0">
        <w:rPr>
          <w:rFonts w:eastAsia="Times New Roman" w:cs="Times New Roman"/>
          <w:sz w:val="22"/>
          <w:lang w:eastAsia="cs-CZ"/>
        </w:rPr>
        <w:t> B je súhrn počtu obcí vyšší ako vo väčších kategóriách C a D. Z celkového počtu zaznamenaných rozhodnutí a </w:t>
      </w:r>
      <w:r w:rsidR="001573F2">
        <w:rPr>
          <w:rFonts w:eastAsia="Times New Roman" w:cs="Times New Roman"/>
          <w:sz w:val="22"/>
          <w:lang w:eastAsia="cs-CZ"/>
        </w:rPr>
        <w:t>úspeš</w:t>
      </w:r>
      <w:r w:rsidRPr="00841DC0">
        <w:rPr>
          <w:rFonts w:eastAsia="Times New Roman" w:cs="Times New Roman"/>
          <w:sz w:val="22"/>
          <w:lang w:eastAsia="cs-CZ"/>
        </w:rPr>
        <w:t>ných odvolaní voči rozhodnutiam a nečinnosti obcí možno skonštatovať, že v kategóriách A </w:t>
      </w:r>
      <w:proofErr w:type="spellStart"/>
      <w:r w:rsidRPr="00841DC0">
        <w:rPr>
          <w:rFonts w:eastAsia="Times New Roman" w:cs="Times New Roman"/>
          <w:sz w:val="22"/>
          <w:lang w:eastAsia="cs-CZ"/>
        </w:rPr>
        <w:t>a</w:t>
      </w:r>
      <w:proofErr w:type="spellEnd"/>
      <w:r w:rsidRPr="00841DC0">
        <w:rPr>
          <w:rFonts w:eastAsia="Times New Roman" w:cs="Times New Roman"/>
          <w:sz w:val="22"/>
          <w:lang w:eastAsia="cs-CZ"/>
        </w:rPr>
        <w:t xml:space="preserve"> B je zaznamenaný počet rozhodnutí podstatne nižší ako vo veľkostných kategóriách C a D. Percentuálne vyjadrenie nesprávneho postupu obcí na základe počtu </w:t>
      </w:r>
      <w:r w:rsidR="001573F2">
        <w:rPr>
          <w:rFonts w:eastAsia="Times New Roman" w:cs="Times New Roman"/>
          <w:sz w:val="22"/>
          <w:lang w:eastAsia="cs-CZ"/>
        </w:rPr>
        <w:t>úspeš</w:t>
      </w:r>
      <w:r w:rsidR="001573F2" w:rsidRPr="00841DC0">
        <w:rPr>
          <w:rFonts w:eastAsia="Times New Roman" w:cs="Times New Roman"/>
          <w:sz w:val="22"/>
          <w:lang w:eastAsia="cs-CZ"/>
        </w:rPr>
        <w:t xml:space="preserve">ných </w:t>
      </w:r>
      <w:r w:rsidRPr="00841DC0">
        <w:rPr>
          <w:rFonts w:eastAsia="Times New Roman" w:cs="Times New Roman"/>
          <w:sz w:val="22"/>
          <w:lang w:eastAsia="cs-CZ"/>
        </w:rPr>
        <w:t>odvolaní voči rozhodnutiam a proti nečinnosti obcí sa pohybuje medzi 0,8 %</w:t>
      </w:r>
      <w:r w:rsidR="0086399D">
        <w:rPr>
          <w:rFonts w:eastAsia="Times New Roman" w:cs="Times New Roman"/>
          <w:sz w:val="22"/>
          <w:lang w:eastAsia="cs-CZ"/>
        </w:rPr>
        <w:t xml:space="preserve"> </w:t>
      </w:r>
      <w:r w:rsidRPr="00841DC0">
        <w:rPr>
          <w:rFonts w:eastAsia="Times New Roman" w:cs="Times New Roman"/>
          <w:sz w:val="22"/>
          <w:lang w:eastAsia="cs-CZ"/>
        </w:rPr>
        <w:t>– 1,5 %, pričom v kategóriách C a D je priemer 0,8 %. Celkový počet prešetrených sťažností je 81.</w:t>
      </w:r>
    </w:p>
    <w:p w:rsidR="00841DC0" w:rsidRPr="00841DC0" w:rsidRDefault="00841DC0" w:rsidP="00827CF2">
      <w:pPr>
        <w:shd w:val="clear" w:color="auto" w:fill="F2F2F2" w:themeFill="background1" w:themeFillShade="F2"/>
        <w:spacing w:before="120" w:after="0" w:line="240" w:lineRule="auto"/>
        <w:jc w:val="both"/>
        <w:rPr>
          <w:rFonts w:eastAsia="Times New Roman" w:cs="Times New Roman"/>
          <w:sz w:val="22"/>
          <w:lang w:eastAsia="cs-CZ"/>
        </w:rPr>
      </w:pPr>
      <w:r w:rsidRPr="00841DC0">
        <w:rPr>
          <w:rFonts w:eastAsia="Times New Roman" w:cs="Times New Roman"/>
          <w:sz w:val="22"/>
          <w:lang w:eastAsia="cs-CZ"/>
        </w:rPr>
        <w:t xml:space="preserve">Na úseku stavebného poriadku plnia obce 31 úloh. Počet rozhodnutí v správnom konaní sa výrazne zvyšuje podľa veľkostných kategórií obcí, pričom v kategóriách C a D je počet rozhodnutí výrazne vyšší ako v ostatných kategóriách. Percentuálne vyjadrenie nesprávneho postupu obcí na základe počtu </w:t>
      </w:r>
      <w:r w:rsidR="001573F2">
        <w:rPr>
          <w:rFonts w:eastAsia="Times New Roman" w:cs="Times New Roman"/>
          <w:sz w:val="22"/>
          <w:lang w:eastAsia="cs-CZ"/>
        </w:rPr>
        <w:t>úspeš</w:t>
      </w:r>
      <w:r w:rsidR="001573F2" w:rsidRPr="00841DC0">
        <w:rPr>
          <w:rFonts w:eastAsia="Times New Roman" w:cs="Times New Roman"/>
          <w:sz w:val="22"/>
          <w:lang w:eastAsia="cs-CZ"/>
        </w:rPr>
        <w:t xml:space="preserve">ných </w:t>
      </w:r>
      <w:r w:rsidRPr="00841DC0">
        <w:rPr>
          <w:rFonts w:eastAsia="Times New Roman" w:cs="Times New Roman"/>
          <w:sz w:val="22"/>
          <w:lang w:eastAsia="cs-CZ"/>
        </w:rPr>
        <w:t>odvolaní voči rozhodnutiam a proti nečinnosti obcí sa pohybuje na úrovni 0,7 % - 1,5</w:t>
      </w:r>
      <w:r w:rsidR="001573F2">
        <w:rPr>
          <w:rFonts w:eastAsia="Times New Roman" w:cs="Times New Roman"/>
          <w:sz w:val="22"/>
          <w:lang w:eastAsia="cs-CZ"/>
        </w:rPr>
        <w:t> </w:t>
      </w:r>
      <w:r w:rsidRPr="00841DC0">
        <w:rPr>
          <w:rFonts w:eastAsia="Times New Roman" w:cs="Times New Roman"/>
          <w:sz w:val="22"/>
          <w:lang w:eastAsia="cs-CZ"/>
        </w:rPr>
        <w:t>%, pričom v kategórii D možno skonštatovať, že vzhľadom na vysoký počet rozhodnutí ide o najnižšiu mieru nesprávneho postupu: 0,7 %.</w:t>
      </w:r>
    </w:p>
    <w:p w:rsidR="00841DC0" w:rsidRPr="00841DC0" w:rsidRDefault="00841DC0" w:rsidP="00827CF2">
      <w:pPr>
        <w:shd w:val="clear" w:color="auto" w:fill="F2F2F2" w:themeFill="background1" w:themeFillShade="F2"/>
        <w:spacing w:before="120" w:after="0" w:line="240" w:lineRule="auto"/>
        <w:jc w:val="both"/>
        <w:rPr>
          <w:rFonts w:eastAsia="Times New Roman" w:cs="Times New Roman"/>
          <w:b/>
          <w:sz w:val="22"/>
          <w:u w:val="single"/>
          <w:lang w:eastAsia="cs-CZ"/>
        </w:rPr>
      </w:pPr>
      <w:r w:rsidRPr="00841DC0">
        <w:rPr>
          <w:rFonts w:eastAsia="Times New Roman" w:cs="Times New Roman"/>
          <w:sz w:val="22"/>
          <w:lang w:eastAsia="cs-CZ"/>
        </w:rPr>
        <w:t>Úlohy na úseku bývania vykonáva 79 obcí v sídle okresu, v Bratislave, v Košiciach a v meste Moldava nad Bodvou. Z kvantifikácie vyplýva, že v priebehu referenčných rokoch klesol počet spracovaných žiadostí, avšak vzrástli požiadavky na výkon kontrolných aktivít. Dôvodom tohto je zmena štruktúry poskytovania podpory na bývanie.</w:t>
      </w:r>
    </w:p>
    <w:p w:rsidR="00841DC0" w:rsidRPr="00841DC0" w:rsidRDefault="00841DC0" w:rsidP="00827CF2">
      <w:pPr>
        <w:shd w:val="clear" w:color="auto" w:fill="F2F2F2" w:themeFill="background1" w:themeFillShade="F2"/>
        <w:spacing w:before="120" w:after="0" w:line="240" w:lineRule="auto"/>
        <w:jc w:val="both"/>
        <w:rPr>
          <w:rFonts w:eastAsia="Times New Roman" w:cs="Times New Roman"/>
          <w:sz w:val="22"/>
          <w:lang w:eastAsia="cs-CZ"/>
        </w:rPr>
      </w:pPr>
      <w:r w:rsidRPr="00841DC0">
        <w:rPr>
          <w:rFonts w:eastAsia="Times New Roman" w:cs="Times New Roman"/>
          <w:sz w:val="22"/>
          <w:lang w:eastAsia="cs-CZ"/>
        </w:rPr>
        <w:t>Na úseku dráh samosprávne kraje vykonávajú 11 prenesených úloh, avšak na účely kvantifikácie relevantných procesov neboli poskytnuté žiadne relevantné údaje.</w:t>
      </w:r>
    </w:p>
    <w:p w:rsidR="00841DC0" w:rsidRPr="00841DC0" w:rsidRDefault="00841DC0" w:rsidP="00D861B9">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841DC0">
        <w:rPr>
          <w:rFonts w:eastAsia="Times New Roman" w:cs="Times New Roman"/>
          <w:sz w:val="22"/>
          <w:u w:val="single"/>
          <w:lang w:eastAsia="cs-CZ"/>
        </w:rPr>
        <w:lastRenderedPageBreak/>
        <w:t>1.3.</w:t>
      </w:r>
      <w:r w:rsidRPr="00841DC0">
        <w:rPr>
          <w:rFonts w:eastAsia="Times New Roman" w:cs="Times New Roman"/>
          <w:sz w:val="22"/>
          <w:u w:val="single"/>
          <w:lang w:eastAsia="cs-CZ"/>
        </w:rPr>
        <w:tab/>
        <w:t>Zhodnotenie kvality výkonu prenesených pôsobností</w:t>
      </w:r>
    </w:p>
    <w:p w:rsidR="00841DC0" w:rsidRPr="00841DC0" w:rsidRDefault="00841DC0" w:rsidP="00827CF2">
      <w:pPr>
        <w:shd w:val="clear" w:color="auto" w:fill="F2F2F2" w:themeFill="background1" w:themeFillShade="F2"/>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 xml:space="preserve">Ministerstvo dopravy v prvom rade konštatovalo, že podklady obdŕžané od príslušných obvodných úradov a samosprávnych krajov majú nízku výpovednú hodnotu. </w:t>
      </w:r>
    </w:p>
    <w:p w:rsidR="00841DC0" w:rsidRPr="00841DC0" w:rsidRDefault="00841DC0" w:rsidP="00827CF2">
      <w:pPr>
        <w:shd w:val="clear" w:color="auto" w:fill="F2F2F2" w:themeFill="background1" w:themeFillShade="F2"/>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 xml:space="preserve">Výkon činností na úseku dráh a úseku bývania celkovo hodnotilo ako kvalitný. </w:t>
      </w:r>
    </w:p>
    <w:p w:rsidR="00841DC0" w:rsidRPr="00841DC0" w:rsidRDefault="00841DC0" w:rsidP="00827CF2">
      <w:pPr>
        <w:shd w:val="clear" w:color="auto" w:fill="F2F2F2" w:themeFill="background1" w:themeFillShade="F2"/>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Na úseku stavebného poriadku ako hlavný problém definuje nasledovné skutočnosti:</w:t>
      </w:r>
    </w:p>
    <w:p w:rsidR="00841DC0" w:rsidRPr="00841DC0" w:rsidRDefault="00841DC0" w:rsidP="00827CF2">
      <w:pPr>
        <w:numPr>
          <w:ilvl w:val="0"/>
          <w:numId w:val="4"/>
        </w:numPr>
        <w:shd w:val="clear" w:color="auto" w:fill="F2F2F2" w:themeFill="background1" w:themeFillShade="F2"/>
        <w:spacing w:after="0" w:line="240" w:lineRule="auto"/>
        <w:contextualSpacing/>
        <w:jc w:val="both"/>
        <w:rPr>
          <w:rFonts w:eastAsia="Times New Roman" w:cs="Times New Roman"/>
          <w:sz w:val="22"/>
          <w:lang w:eastAsia="cs-CZ"/>
        </w:rPr>
      </w:pPr>
      <w:r w:rsidRPr="00841DC0">
        <w:rPr>
          <w:rFonts w:eastAsia="Times New Roman" w:cs="Times New Roman"/>
          <w:sz w:val="22"/>
          <w:lang w:eastAsia="cs-CZ"/>
        </w:rPr>
        <w:t xml:space="preserve">preťaženosť zamestnancov obcí do 5000 obyvateľov, čo má za následok neodôvodnené prieťahy, </w:t>
      </w:r>
    </w:p>
    <w:p w:rsidR="00841DC0" w:rsidRPr="00841DC0" w:rsidRDefault="00841DC0" w:rsidP="00827CF2">
      <w:pPr>
        <w:numPr>
          <w:ilvl w:val="0"/>
          <w:numId w:val="4"/>
        </w:numPr>
        <w:shd w:val="clear" w:color="auto" w:fill="F2F2F2" w:themeFill="background1" w:themeFillShade="F2"/>
        <w:spacing w:after="0" w:line="240" w:lineRule="auto"/>
        <w:contextualSpacing/>
        <w:jc w:val="both"/>
        <w:rPr>
          <w:rFonts w:eastAsia="Times New Roman" w:cs="Times New Roman"/>
          <w:sz w:val="22"/>
          <w:lang w:eastAsia="cs-CZ"/>
        </w:rPr>
      </w:pPr>
      <w:r w:rsidRPr="00841DC0">
        <w:rPr>
          <w:rFonts w:eastAsia="Times New Roman" w:cs="Times New Roman"/>
          <w:sz w:val="22"/>
          <w:lang w:eastAsia="cs-CZ"/>
        </w:rPr>
        <w:t xml:space="preserve">neodôvodnené zamietnutie návrhov a žiadostí v rozpore so stavebným zákonom, </w:t>
      </w:r>
    </w:p>
    <w:p w:rsidR="00841DC0" w:rsidRPr="00841DC0" w:rsidRDefault="00841DC0" w:rsidP="00827CF2">
      <w:pPr>
        <w:numPr>
          <w:ilvl w:val="0"/>
          <w:numId w:val="4"/>
        </w:numPr>
        <w:shd w:val="clear" w:color="auto" w:fill="F2F2F2" w:themeFill="background1" w:themeFillShade="F2"/>
        <w:spacing w:after="0" w:line="240" w:lineRule="auto"/>
        <w:contextualSpacing/>
        <w:jc w:val="both"/>
        <w:rPr>
          <w:rFonts w:eastAsia="Times New Roman" w:cs="Times New Roman"/>
          <w:sz w:val="22"/>
          <w:lang w:eastAsia="cs-CZ"/>
        </w:rPr>
      </w:pPr>
      <w:r w:rsidRPr="00841DC0">
        <w:rPr>
          <w:rFonts w:eastAsia="Times New Roman" w:cs="Times New Roman"/>
          <w:sz w:val="22"/>
          <w:lang w:eastAsia="cs-CZ"/>
        </w:rPr>
        <w:t xml:space="preserve">nedodržiavanie zákonom stanovených lehôt a zákonného postupu pri vybavovaní návrhov a sťažností. </w:t>
      </w:r>
    </w:p>
    <w:p w:rsidR="00841DC0" w:rsidRPr="00841DC0" w:rsidRDefault="00841DC0" w:rsidP="00827CF2">
      <w:pPr>
        <w:shd w:val="clear" w:color="auto" w:fill="F2F2F2" w:themeFill="background1" w:themeFillShade="F2"/>
        <w:spacing w:before="120" w:after="0" w:line="240" w:lineRule="auto"/>
        <w:jc w:val="both"/>
        <w:rPr>
          <w:rFonts w:eastAsia="Times New Roman" w:cs="Times New Roman"/>
          <w:sz w:val="22"/>
          <w:lang w:eastAsia="cs-CZ"/>
        </w:rPr>
      </w:pPr>
      <w:r w:rsidRPr="00841DC0">
        <w:rPr>
          <w:rFonts w:eastAsia="Times New Roman" w:cs="Times New Roman"/>
          <w:sz w:val="22"/>
          <w:lang w:eastAsia="cs-CZ"/>
        </w:rPr>
        <w:t xml:space="preserve">Celkovo sa kvalita po prenesení výkonu pôsobností štátnej správy na úseku stavebného poriadku nezlepšila. </w:t>
      </w:r>
    </w:p>
    <w:p w:rsidR="00841DC0" w:rsidRPr="00841DC0" w:rsidRDefault="00841DC0" w:rsidP="00827CF2">
      <w:pPr>
        <w:shd w:val="clear" w:color="auto" w:fill="F2F2F2" w:themeFill="background1" w:themeFillShade="F2"/>
        <w:spacing w:before="120" w:after="0" w:line="240" w:lineRule="auto"/>
        <w:jc w:val="both"/>
        <w:rPr>
          <w:rFonts w:eastAsia="Times New Roman" w:cs="Times New Roman"/>
          <w:sz w:val="22"/>
          <w:lang w:eastAsia="cs-CZ"/>
        </w:rPr>
      </w:pPr>
      <w:r w:rsidRPr="00841DC0">
        <w:rPr>
          <w:rFonts w:eastAsia="Times New Roman" w:cs="Times New Roman"/>
          <w:sz w:val="22"/>
          <w:lang w:eastAsia="cs-CZ"/>
        </w:rPr>
        <w:t>Na úseku miestnych a účelových komunikácií (ďalej len „MÚK“) a úseku špeciálneho stavebného úradu pre MÚK ako hlavný problém definuje nasledovné skutočnosti:</w:t>
      </w:r>
    </w:p>
    <w:p w:rsidR="00841DC0" w:rsidRPr="00841DC0" w:rsidRDefault="00841DC0" w:rsidP="00827CF2">
      <w:pPr>
        <w:numPr>
          <w:ilvl w:val="0"/>
          <w:numId w:val="3"/>
        </w:numPr>
        <w:shd w:val="clear" w:color="auto" w:fill="F2F2F2" w:themeFill="background1" w:themeFillShade="F2"/>
        <w:spacing w:before="60" w:after="0" w:line="240" w:lineRule="auto"/>
        <w:ind w:left="714" w:hanging="357"/>
        <w:contextualSpacing/>
        <w:jc w:val="both"/>
        <w:rPr>
          <w:rFonts w:eastAsia="Times New Roman" w:cs="Times New Roman"/>
          <w:sz w:val="22"/>
          <w:lang w:eastAsia="cs-CZ"/>
        </w:rPr>
      </w:pPr>
      <w:r w:rsidRPr="00841DC0">
        <w:rPr>
          <w:rFonts w:eastAsia="Times New Roman" w:cs="Times New Roman"/>
          <w:sz w:val="22"/>
          <w:lang w:eastAsia="cs-CZ"/>
        </w:rPr>
        <w:t xml:space="preserve">vysoký počet obcí bez povinnosti združovať sa, </w:t>
      </w:r>
    </w:p>
    <w:p w:rsidR="00841DC0" w:rsidRPr="00841DC0" w:rsidRDefault="00841DC0" w:rsidP="00827CF2">
      <w:pPr>
        <w:numPr>
          <w:ilvl w:val="0"/>
          <w:numId w:val="3"/>
        </w:numPr>
        <w:shd w:val="clear" w:color="auto" w:fill="F2F2F2" w:themeFill="background1" w:themeFillShade="F2"/>
        <w:spacing w:after="0" w:line="240" w:lineRule="auto"/>
        <w:contextualSpacing/>
        <w:jc w:val="both"/>
        <w:rPr>
          <w:rFonts w:eastAsia="Times New Roman" w:cs="Times New Roman"/>
          <w:sz w:val="22"/>
          <w:lang w:eastAsia="cs-CZ"/>
        </w:rPr>
      </w:pPr>
      <w:r w:rsidRPr="00841DC0">
        <w:rPr>
          <w:rFonts w:eastAsia="Times New Roman" w:cs="Times New Roman"/>
          <w:sz w:val="22"/>
          <w:lang w:eastAsia="cs-CZ"/>
        </w:rPr>
        <w:t xml:space="preserve">nízka úroveň odbornosti, </w:t>
      </w:r>
    </w:p>
    <w:p w:rsidR="00841DC0" w:rsidRPr="00841DC0" w:rsidRDefault="00841DC0" w:rsidP="00827CF2">
      <w:pPr>
        <w:numPr>
          <w:ilvl w:val="0"/>
          <w:numId w:val="3"/>
        </w:numPr>
        <w:shd w:val="clear" w:color="auto" w:fill="F2F2F2" w:themeFill="background1" w:themeFillShade="F2"/>
        <w:spacing w:after="0" w:line="240" w:lineRule="auto"/>
        <w:contextualSpacing/>
        <w:jc w:val="both"/>
        <w:rPr>
          <w:rFonts w:eastAsia="Times New Roman" w:cs="Times New Roman"/>
          <w:sz w:val="22"/>
          <w:lang w:eastAsia="cs-CZ"/>
        </w:rPr>
      </w:pPr>
      <w:r w:rsidRPr="00841DC0">
        <w:rPr>
          <w:rFonts w:eastAsia="Times New Roman" w:cs="Times New Roman"/>
          <w:sz w:val="22"/>
          <w:lang w:eastAsia="cs-CZ"/>
        </w:rPr>
        <w:t xml:space="preserve">neznalosť právnych predpisov, </w:t>
      </w:r>
    </w:p>
    <w:p w:rsidR="00841DC0" w:rsidRPr="00841DC0" w:rsidRDefault="00841DC0" w:rsidP="00827CF2">
      <w:pPr>
        <w:numPr>
          <w:ilvl w:val="0"/>
          <w:numId w:val="3"/>
        </w:numPr>
        <w:shd w:val="clear" w:color="auto" w:fill="F2F2F2" w:themeFill="background1" w:themeFillShade="F2"/>
        <w:spacing w:after="0" w:line="240" w:lineRule="auto"/>
        <w:contextualSpacing/>
        <w:jc w:val="both"/>
        <w:rPr>
          <w:rFonts w:eastAsia="Times New Roman" w:cs="Times New Roman"/>
          <w:sz w:val="22"/>
          <w:lang w:eastAsia="cs-CZ"/>
        </w:rPr>
      </w:pPr>
      <w:r w:rsidRPr="00841DC0">
        <w:rPr>
          <w:rFonts w:eastAsia="Times New Roman" w:cs="Times New Roman"/>
          <w:sz w:val="22"/>
          <w:lang w:eastAsia="cs-CZ"/>
        </w:rPr>
        <w:t>nepostačujúce personálne a finančné zabezpečenie a </w:t>
      </w:r>
    </w:p>
    <w:p w:rsidR="00841DC0" w:rsidRPr="00841DC0" w:rsidRDefault="00841DC0" w:rsidP="00827CF2">
      <w:pPr>
        <w:numPr>
          <w:ilvl w:val="0"/>
          <w:numId w:val="3"/>
        </w:numPr>
        <w:shd w:val="clear" w:color="auto" w:fill="F2F2F2" w:themeFill="background1" w:themeFillShade="F2"/>
        <w:spacing w:after="0" w:line="240" w:lineRule="auto"/>
        <w:contextualSpacing/>
        <w:jc w:val="both"/>
        <w:rPr>
          <w:rFonts w:eastAsia="Times New Roman" w:cs="Times New Roman"/>
          <w:sz w:val="22"/>
          <w:lang w:eastAsia="cs-CZ"/>
        </w:rPr>
      </w:pPr>
      <w:r w:rsidRPr="00841DC0">
        <w:rPr>
          <w:rFonts w:eastAsia="Times New Roman" w:cs="Times New Roman"/>
          <w:sz w:val="22"/>
          <w:lang w:eastAsia="cs-CZ"/>
        </w:rPr>
        <w:t xml:space="preserve">nízka kvalita v správnom konaní. </w:t>
      </w:r>
    </w:p>
    <w:p w:rsidR="00841DC0" w:rsidRPr="00841DC0" w:rsidRDefault="00841DC0" w:rsidP="00D861B9">
      <w:pPr>
        <w:shd w:val="clear" w:color="auto" w:fill="F2F2F2" w:themeFill="background1" w:themeFillShade="F2"/>
        <w:tabs>
          <w:tab w:val="left" w:pos="1276"/>
        </w:tabs>
        <w:spacing w:before="120" w:after="12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1.4.</w:t>
      </w:r>
      <w:r w:rsidRPr="00841DC0">
        <w:rPr>
          <w:rFonts w:eastAsia="Times New Roman" w:cs="Times New Roman"/>
          <w:sz w:val="22"/>
          <w:u w:val="single"/>
          <w:lang w:eastAsia="cs-CZ"/>
        </w:rPr>
        <w:tab/>
        <w:t>Financovanie výkonu prenesených pôsobností</w:t>
      </w:r>
    </w:p>
    <w:p w:rsidR="00A31FDD" w:rsidRPr="00360AA8" w:rsidRDefault="00A31FDD" w:rsidP="00D861B9">
      <w:pPr>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360AA8">
        <w:rPr>
          <w:rFonts w:eastAsia="Times New Roman" w:cs="Times New Roman"/>
          <w:sz w:val="22"/>
          <w:lang w:eastAsia="cs-CZ"/>
        </w:rPr>
        <w:t xml:space="preserve">V oblasti preneseného výkonu štátnej správy na pozemných komunikáciách boli ministerstvom dopravy identifikované problémy v oblasti získavania údajov, </w:t>
      </w:r>
      <w:r w:rsidR="001573F2">
        <w:rPr>
          <w:rFonts w:eastAsia="Times New Roman" w:cs="Times New Roman"/>
          <w:sz w:val="22"/>
          <w:lang w:eastAsia="cs-CZ"/>
        </w:rPr>
        <w:t>preto</w:t>
      </w:r>
      <w:r w:rsidRPr="00360AA8">
        <w:rPr>
          <w:rFonts w:eastAsia="Times New Roman" w:cs="Times New Roman"/>
          <w:sz w:val="22"/>
          <w:lang w:eastAsia="cs-CZ"/>
        </w:rPr>
        <w:t xml:space="preserve"> existuje predpoklad, že získané informácie sú nepresné. Základné problémy v oblasti získania údajov boli nasledovné:</w:t>
      </w:r>
    </w:p>
    <w:p w:rsidR="00A31FDD" w:rsidRPr="00360AA8" w:rsidRDefault="00A31FDD" w:rsidP="00D861B9">
      <w:pPr>
        <w:pStyle w:val="Odsekzoznamu"/>
        <w:numPr>
          <w:ilvl w:val="0"/>
          <w:numId w:val="7"/>
        </w:numPr>
        <w:shd w:val="clear" w:color="auto" w:fill="F2F2F2" w:themeFill="background1" w:themeFillShade="F2"/>
        <w:spacing w:before="120" w:after="120" w:line="240" w:lineRule="auto"/>
        <w:ind w:left="1134" w:hanging="425"/>
        <w:jc w:val="both"/>
        <w:rPr>
          <w:rFonts w:ascii="Times New Roman" w:eastAsia="Times New Roman" w:hAnsi="Times New Roman" w:cs="Times New Roman"/>
          <w:lang w:eastAsia="cs-CZ"/>
        </w:rPr>
      </w:pPr>
      <w:r w:rsidRPr="00360AA8">
        <w:rPr>
          <w:rFonts w:ascii="Times New Roman" w:eastAsia="Times New Roman" w:hAnsi="Times New Roman" w:cs="Times New Roman"/>
          <w:lang w:eastAsia="cs-CZ"/>
        </w:rPr>
        <w:t>čiastočné finančné údaje,</w:t>
      </w:r>
    </w:p>
    <w:p w:rsidR="00A31FDD" w:rsidRPr="00360AA8" w:rsidRDefault="00A31FDD" w:rsidP="00D861B9">
      <w:pPr>
        <w:pStyle w:val="Odsekzoznamu"/>
        <w:numPr>
          <w:ilvl w:val="0"/>
          <w:numId w:val="7"/>
        </w:numPr>
        <w:shd w:val="clear" w:color="auto" w:fill="F2F2F2" w:themeFill="background1" w:themeFillShade="F2"/>
        <w:spacing w:before="120" w:after="120" w:line="240" w:lineRule="auto"/>
        <w:ind w:left="1134" w:hanging="425"/>
        <w:jc w:val="both"/>
        <w:rPr>
          <w:rFonts w:ascii="Times New Roman" w:eastAsia="Times New Roman" w:hAnsi="Times New Roman" w:cs="Times New Roman"/>
          <w:lang w:eastAsia="cs-CZ"/>
        </w:rPr>
      </w:pPr>
      <w:r w:rsidRPr="00360AA8">
        <w:rPr>
          <w:rFonts w:ascii="Times New Roman" w:eastAsia="Times New Roman" w:hAnsi="Times New Roman" w:cs="Times New Roman"/>
          <w:lang w:eastAsia="cs-CZ"/>
        </w:rPr>
        <w:t>nedostatočné rozčlenenie podľa kategórií obcí,</w:t>
      </w:r>
    </w:p>
    <w:p w:rsidR="00A31FDD" w:rsidRPr="00360AA8" w:rsidRDefault="00A31FDD" w:rsidP="00D861B9">
      <w:pPr>
        <w:pStyle w:val="Odsekzoznamu"/>
        <w:numPr>
          <w:ilvl w:val="0"/>
          <w:numId w:val="7"/>
        </w:numPr>
        <w:shd w:val="clear" w:color="auto" w:fill="F2F2F2" w:themeFill="background1" w:themeFillShade="F2"/>
        <w:spacing w:before="120" w:after="120" w:line="240" w:lineRule="auto"/>
        <w:ind w:left="1134" w:hanging="425"/>
        <w:jc w:val="both"/>
        <w:rPr>
          <w:rFonts w:ascii="Times New Roman" w:eastAsia="Times New Roman" w:hAnsi="Times New Roman" w:cs="Times New Roman"/>
          <w:lang w:eastAsia="cs-CZ"/>
        </w:rPr>
      </w:pPr>
      <w:r w:rsidRPr="00360AA8">
        <w:rPr>
          <w:rFonts w:ascii="Times New Roman" w:eastAsia="Times New Roman" w:hAnsi="Times New Roman" w:cs="Times New Roman"/>
          <w:lang w:eastAsia="cs-CZ"/>
        </w:rPr>
        <w:t>obce, ktoré poskytli údaje o činnosti, v drvivej väčšine neposkytli žiadne finančné údaje. Ak aj boli ojedinele poskytnuté finančné údaje, sú zväčša nelogické, nepoužiteľné a nezohľadňujú požiadavky na zaslanie podkladov pre audit.</w:t>
      </w:r>
    </w:p>
    <w:p w:rsidR="009F62B1" w:rsidRPr="009F62B1" w:rsidRDefault="00A31FDD" w:rsidP="009F62B1">
      <w:pPr>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360AA8">
        <w:rPr>
          <w:rFonts w:eastAsia="Times New Roman" w:cs="Times New Roman"/>
          <w:sz w:val="22"/>
          <w:lang w:eastAsia="cs-CZ"/>
        </w:rPr>
        <w:t xml:space="preserve">Nárast výdavkov na zabezpečenie výkonu prenesených kompetencií zo strany obcí a miest v tejto oblasti je výrazný predovšetkým v období od roku 2001 do roku 2005, </w:t>
      </w:r>
      <w:r w:rsidR="009F62B1" w:rsidRPr="009F62B1">
        <w:rPr>
          <w:rFonts w:eastAsia="Times New Roman" w:cs="Times New Roman"/>
          <w:sz w:val="22"/>
          <w:lang w:eastAsia="cs-CZ"/>
        </w:rPr>
        <w:t>čo je dôsledkom decentralizácie kompetencií na obce po roku 2002.</w:t>
      </w:r>
    </w:p>
    <w:p w:rsidR="00A31FDD" w:rsidRPr="00360AA8" w:rsidRDefault="00A31FDD" w:rsidP="00D861B9">
      <w:pPr>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360AA8">
        <w:rPr>
          <w:rFonts w:eastAsia="Times New Roman" w:cs="Times New Roman"/>
          <w:sz w:val="22"/>
          <w:lang w:eastAsia="cs-CZ"/>
        </w:rPr>
        <w:t>O personálnom zabezpečení cestného správneho orgánu</w:t>
      </w:r>
      <w:r w:rsidR="006C70FF">
        <w:rPr>
          <w:rFonts w:eastAsia="Times New Roman" w:cs="Times New Roman"/>
          <w:sz w:val="22"/>
          <w:lang w:eastAsia="cs-CZ"/>
        </w:rPr>
        <w:t>,</w:t>
      </w:r>
      <w:r w:rsidRPr="00360AA8">
        <w:rPr>
          <w:rFonts w:eastAsia="Times New Roman" w:cs="Times New Roman"/>
          <w:sz w:val="22"/>
          <w:lang w:eastAsia="cs-CZ"/>
        </w:rPr>
        <w:t xml:space="preserve"> ani o tom, či štát prispieval, alebo akým spôsobom  prispieval na výkon týchto činností, či formou podielových daní alebo iným spôsobom neboli poskytnuté ministerstvom dopravy žiadne relevantné informácie. </w:t>
      </w:r>
    </w:p>
    <w:p w:rsidR="00A31FDD" w:rsidRPr="00360AA8" w:rsidRDefault="00A31FDD" w:rsidP="00D861B9">
      <w:pPr>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360AA8">
        <w:rPr>
          <w:rFonts w:eastAsia="Times New Roman" w:cs="Times New Roman"/>
          <w:sz w:val="22"/>
          <w:lang w:eastAsia="cs-CZ"/>
        </w:rPr>
        <w:t>Ministerstvo dopravy konštatuje, že pri podrobnom rozdelení financií na jednotlivé obce na prenesený výkon štátnej správy na úseku územného rozhodovania a stavebného poriadku je vzhľadom na osobitosti, odbornosť a náročnosť zabezpečovania preneseného výkonu štátnej správy disponibilné financovanie nepostačujúce na kompletné zabezpečenie činnosti stavebného úradu. Stavebné úrady zhodne vo svojich správach uviedli, že mnohé náklady obce v uvedenej oblasti hradia z vlastného rozpočtu.</w:t>
      </w:r>
    </w:p>
    <w:p w:rsidR="009F62B1" w:rsidRPr="000A2C80" w:rsidRDefault="009F62B1" w:rsidP="009F62B1">
      <w:pPr>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0A2C80">
        <w:rPr>
          <w:rFonts w:eastAsia="Times New Roman" w:cs="Times New Roman"/>
          <w:sz w:val="22"/>
          <w:lang w:eastAsia="cs-CZ"/>
        </w:rPr>
        <w:t xml:space="preserve">Vzhľadom na skutočnosť, že okresné úrady, ktoré do 31. 12. 2003 vykonávali činnosti vyplývajúce zo zákona o Štátnom fonde rozvoja bývania, boli v správe ministerstva vnútra, ministerstvo dopravy a ani dotknuté obce nedisponujú údajmi o financovaní na úseku bývania v roku 2001. </w:t>
      </w:r>
    </w:p>
    <w:p w:rsidR="009F62B1" w:rsidRPr="000A2C80" w:rsidRDefault="009F62B1" w:rsidP="009F62B1">
      <w:pPr>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0A2C80">
        <w:rPr>
          <w:rFonts w:eastAsia="Times New Roman" w:cs="Times New Roman"/>
          <w:sz w:val="22"/>
          <w:lang w:eastAsia="cs-CZ"/>
        </w:rPr>
        <w:t xml:space="preserve">Z uvedeného dôvodu bolo možné uviesť ako východiskové údaje za rok 2004 a následne za roky 2005 a 2011. V roku 2004 boli obciam poskytnuté finančné prostriedky na úseku bývania v sume 796 tis. </w:t>
      </w:r>
      <w:r w:rsidR="00E901F1">
        <w:rPr>
          <w:rFonts w:eastAsia="Times New Roman" w:cs="Times New Roman"/>
          <w:sz w:val="22"/>
          <w:lang w:eastAsia="cs-CZ"/>
        </w:rPr>
        <w:t>eur</w:t>
      </w:r>
      <w:r w:rsidRPr="000A2C80">
        <w:rPr>
          <w:rFonts w:eastAsia="Times New Roman" w:cs="Times New Roman"/>
          <w:sz w:val="22"/>
          <w:lang w:eastAsia="cs-CZ"/>
        </w:rPr>
        <w:t xml:space="preserve">, v roku 2005 919 tis. </w:t>
      </w:r>
      <w:r w:rsidR="00E901F1">
        <w:rPr>
          <w:rFonts w:eastAsia="Times New Roman" w:cs="Times New Roman"/>
          <w:sz w:val="22"/>
          <w:lang w:eastAsia="cs-CZ"/>
        </w:rPr>
        <w:t>eur</w:t>
      </w:r>
      <w:r w:rsidRPr="000A2C80">
        <w:rPr>
          <w:rFonts w:eastAsia="Times New Roman" w:cs="Times New Roman"/>
          <w:sz w:val="22"/>
          <w:lang w:eastAsia="cs-CZ"/>
        </w:rPr>
        <w:t xml:space="preserve"> a v roku 2011 to bolo 1 139 tis. </w:t>
      </w:r>
      <w:r w:rsidR="00E901F1">
        <w:rPr>
          <w:rFonts w:eastAsia="Times New Roman" w:cs="Times New Roman"/>
          <w:sz w:val="22"/>
          <w:lang w:eastAsia="cs-CZ"/>
        </w:rPr>
        <w:t>eur</w:t>
      </w:r>
      <w:r w:rsidRPr="000A2C80">
        <w:rPr>
          <w:rFonts w:eastAsia="Times New Roman" w:cs="Times New Roman"/>
          <w:sz w:val="22"/>
          <w:lang w:eastAsia="cs-CZ"/>
        </w:rPr>
        <w:t>.</w:t>
      </w:r>
    </w:p>
    <w:p w:rsidR="00A31FDD" w:rsidRDefault="00A31FDD" w:rsidP="00D861B9">
      <w:pPr>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360AA8">
        <w:rPr>
          <w:rFonts w:eastAsia="Times New Roman" w:cs="Times New Roman"/>
          <w:sz w:val="22"/>
          <w:lang w:eastAsia="cs-CZ"/>
        </w:rPr>
        <w:lastRenderedPageBreak/>
        <w:t>Na úseku bývania údaje uviedlo cca iba 50 % dotknutých obcí. Vzhľadom na to, že nebolo možné vyčísliť hodnoverné údaje o výške vlastných zdrojov obcí použitých na financovanie preneseného výkonu štátnej správy na danom úseku, neboli v tejto oblasti poskytnuté žiadne relevantné informácie.</w:t>
      </w:r>
    </w:p>
    <w:p w:rsidR="009F62B1" w:rsidRPr="000A2C80" w:rsidRDefault="009F62B1" w:rsidP="009F62B1">
      <w:pPr>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0A2C80">
        <w:rPr>
          <w:rFonts w:eastAsia="Times New Roman" w:cs="Times New Roman"/>
          <w:sz w:val="22"/>
          <w:lang w:eastAsia="cs-CZ"/>
        </w:rPr>
        <w:t xml:space="preserve">Údaje o výdavkoch na prenesený výkon štátnej správy na úseku dráhovej dopravy v podmienkach samosprávnych krajov sú uvedené v tabuľke č. 4b  podľa jednotlivých samosprávnych krajov, ktoré dráhovú dopravu vykonávajú. </w:t>
      </w:r>
    </w:p>
    <w:p w:rsidR="00841DC0" w:rsidRPr="00841DC0" w:rsidRDefault="00841DC0" w:rsidP="00827CF2">
      <w:pPr>
        <w:shd w:val="clear" w:color="auto" w:fill="F2F2F2" w:themeFill="background1" w:themeFillShade="F2"/>
        <w:tabs>
          <w:tab w:val="left" w:pos="1276"/>
        </w:tabs>
        <w:spacing w:before="120" w:after="12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1.5.</w:t>
      </w:r>
      <w:r w:rsidRPr="00841DC0">
        <w:rPr>
          <w:rFonts w:eastAsia="Times New Roman" w:cs="Times New Roman"/>
          <w:sz w:val="22"/>
          <w:u w:val="single"/>
          <w:lang w:eastAsia="cs-CZ"/>
        </w:rPr>
        <w:tab/>
        <w:t>Návrhy opatrení</w:t>
      </w:r>
    </w:p>
    <w:p w:rsidR="00841DC0" w:rsidRPr="00841DC0" w:rsidRDefault="00841DC0" w:rsidP="00827CF2">
      <w:pPr>
        <w:shd w:val="clear" w:color="auto" w:fill="F2F2F2" w:themeFill="background1" w:themeFillShade="F2"/>
        <w:spacing w:before="120" w:after="120" w:line="240" w:lineRule="auto"/>
        <w:ind w:firstLine="709"/>
        <w:jc w:val="both"/>
        <w:rPr>
          <w:rFonts w:cs="Times New Roman"/>
          <w:sz w:val="22"/>
        </w:rPr>
      </w:pPr>
      <w:r w:rsidRPr="00841DC0">
        <w:rPr>
          <w:rFonts w:eastAsia="Times New Roman" w:cs="Times New Roman"/>
          <w:sz w:val="22"/>
          <w:lang w:eastAsia="cs-CZ"/>
        </w:rPr>
        <w:t xml:space="preserve">Na úseku stavebného poriadku ministerstvo dopravy </w:t>
      </w:r>
      <w:r w:rsidRPr="00841DC0">
        <w:rPr>
          <w:rFonts w:cs="Times New Roman"/>
          <w:sz w:val="22"/>
        </w:rPr>
        <w:t>navrhuje zabezpečiť prípravu nového zákona o územnom plánovaní a výstavbe, ako aj zákona o vyvlastňovaní pozemkov a stavieb, v ktorých bude lepšie prepracovaný systém stavebného práva a vzťahy k ostatným oblastiam verejnej správy a hospodárskeho života, založená kvalifikovaná sústava stavebných úradov prípadne aj druhostupňových orgánov, zabezpečené podmienky pre spravodlivé vyvlastnenie, systém získania kvalifikačných predpokladov a spôsobilosti zamestnancov.</w:t>
      </w:r>
    </w:p>
    <w:p w:rsidR="00841DC0" w:rsidRPr="00841DC0" w:rsidRDefault="00841DC0" w:rsidP="00827CF2">
      <w:pPr>
        <w:shd w:val="clear" w:color="auto" w:fill="F2F2F2" w:themeFill="background1" w:themeFillShade="F2"/>
        <w:spacing w:after="0" w:line="240" w:lineRule="auto"/>
        <w:ind w:firstLine="709"/>
        <w:jc w:val="both"/>
        <w:rPr>
          <w:rFonts w:cs="Times New Roman"/>
          <w:sz w:val="22"/>
          <w:lang w:val="cs-CZ"/>
        </w:rPr>
      </w:pPr>
      <w:r w:rsidRPr="00841DC0">
        <w:rPr>
          <w:rFonts w:eastAsia="Times New Roman" w:cs="Times New Roman"/>
          <w:sz w:val="22"/>
          <w:lang w:eastAsia="cs-CZ"/>
        </w:rPr>
        <w:t xml:space="preserve">V rámci prípravy novely uvedeného zákona po dohode so </w:t>
      </w:r>
      <w:proofErr w:type="spellStart"/>
      <w:r w:rsidRPr="00841DC0">
        <w:rPr>
          <w:rFonts w:eastAsia="Times New Roman" w:cs="Times New Roman"/>
          <w:sz w:val="22"/>
          <w:lang w:eastAsia="cs-CZ"/>
        </w:rPr>
        <w:t>ZMOS-om</w:t>
      </w:r>
      <w:proofErr w:type="spellEnd"/>
      <w:r w:rsidRPr="00841DC0">
        <w:rPr>
          <w:rFonts w:eastAsia="Times New Roman" w:cs="Times New Roman"/>
          <w:sz w:val="22"/>
          <w:lang w:eastAsia="cs-CZ"/>
        </w:rPr>
        <w:t xml:space="preserve"> navrhuje ponechanie stavebného úradu obciam. </w:t>
      </w:r>
      <w:r w:rsidRPr="00841DC0">
        <w:rPr>
          <w:rFonts w:cs="Times New Roman"/>
          <w:sz w:val="22"/>
        </w:rPr>
        <w:t>V rámci skvalitnenia činnosti obcí na úseku prenesenej štátnej stavebnej správy ministerstvo dopravy navrhuje zabezpečenie prijatia nasledovných opatrení:</w:t>
      </w:r>
    </w:p>
    <w:p w:rsidR="00841DC0" w:rsidRPr="00841DC0" w:rsidRDefault="00841DC0" w:rsidP="00827CF2">
      <w:pPr>
        <w:numPr>
          <w:ilvl w:val="0"/>
          <w:numId w:val="6"/>
        </w:numPr>
        <w:shd w:val="clear" w:color="auto" w:fill="F2F2F2" w:themeFill="background1" w:themeFillShade="F2"/>
        <w:tabs>
          <w:tab w:val="num" w:pos="720"/>
        </w:tabs>
        <w:spacing w:before="60" w:after="0" w:line="240" w:lineRule="auto"/>
        <w:ind w:left="1066" w:hanging="357"/>
        <w:jc w:val="both"/>
        <w:rPr>
          <w:rFonts w:eastAsia="Times New Roman" w:cs="Times New Roman"/>
          <w:sz w:val="22"/>
          <w:lang w:eastAsia="sk-SK"/>
        </w:rPr>
      </w:pPr>
      <w:r w:rsidRPr="00841DC0">
        <w:rPr>
          <w:rFonts w:eastAsia="Times New Roman" w:cs="Times New Roman"/>
          <w:sz w:val="22"/>
          <w:lang w:eastAsia="sk-SK"/>
        </w:rPr>
        <w:t xml:space="preserve">legislatívne doriešiť otázku stavebných obvodov z hľadiska zjednodušenia ich financovania ako aj hmotno-právnej zodpovednosti za prenesený výkon štátnej správy, </w:t>
      </w:r>
    </w:p>
    <w:p w:rsidR="00841DC0" w:rsidRPr="00841DC0" w:rsidRDefault="00841DC0" w:rsidP="00827CF2">
      <w:pPr>
        <w:numPr>
          <w:ilvl w:val="0"/>
          <w:numId w:val="6"/>
        </w:numPr>
        <w:shd w:val="clear" w:color="auto" w:fill="F2F2F2" w:themeFill="background1" w:themeFillShade="F2"/>
        <w:tabs>
          <w:tab w:val="num" w:pos="720"/>
        </w:tabs>
        <w:spacing w:after="0" w:line="240" w:lineRule="auto"/>
        <w:ind w:left="1066" w:hanging="357"/>
        <w:jc w:val="both"/>
        <w:rPr>
          <w:rFonts w:eastAsia="Times New Roman" w:cs="Times New Roman"/>
          <w:sz w:val="22"/>
          <w:lang w:eastAsia="sk-SK"/>
        </w:rPr>
      </w:pPr>
      <w:r w:rsidRPr="00841DC0">
        <w:rPr>
          <w:rFonts w:eastAsia="Times New Roman" w:cs="Times New Roman"/>
          <w:sz w:val="22"/>
          <w:lang w:eastAsia="sk-SK"/>
        </w:rPr>
        <w:t xml:space="preserve">navýšiť finančné prostriedky poskytnuté štátom na prenesený výkon štátnej správy, </w:t>
      </w:r>
    </w:p>
    <w:p w:rsidR="00841DC0" w:rsidRPr="00841DC0" w:rsidRDefault="00841DC0" w:rsidP="00827CF2">
      <w:pPr>
        <w:numPr>
          <w:ilvl w:val="0"/>
          <w:numId w:val="6"/>
        </w:numPr>
        <w:shd w:val="clear" w:color="auto" w:fill="F2F2F2" w:themeFill="background1" w:themeFillShade="F2"/>
        <w:tabs>
          <w:tab w:val="num" w:pos="720"/>
        </w:tabs>
        <w:spacing w:after="0" w:line="240" w:lineRule="auto"/>
        <w:ind w:left="1066" w:hanging="357"/>
        <w:jc w:val="both"/>
        <w:rPr>
          <w:rFonts w:eastAsia="Times New Roman" w:cs="Times New Roman"/>
          <w:sz w:val="22"/>
          <w:lang w:eastAsia="sk-SK"/>
        </w:rPr>
      </w:pPr>
      <w:r w:rsidRPr="00841DC0">
        <w:rPr>
          <w:rFonts w:eastAsia="Times New Roman" w:cs="Times New Roman"/>
          <w:sz w:val="22"/>
          <w:lang w:eastAsia="sk-SK"/>
        </w:rPr>
        <w:t xml:space="preserve">pokračovať vo zvyšovaní odbornej kvalifikácie zamestnancov stavebných úradov, </w:t>
      </w:r>
    </w:p>
    <w:p w:rsidR="00841DC0" w:rsidRPr="00841DC0" w:rsidRDefault="00841DC0" w:rsidP="00827CF2">
      <w:pPr>
        <w:numPr>
          <w:ilvl w:val="0"/>
          <w:numId w:val="6"/>
        </w:numPr>
        <w:shd w:val="clear" w:color="auto" w:fill="F2F2F2" w:themeFill="background1" w:themeFillShade="F2"/>
        <w:tabs>
          <w:tab w:val="num" w:pos="720"/>
        </w:tabs>
        <w:spacing w:after="0" w:line="240" w:lineRule="auto"/>
        <w:ind w:left="1066" w:hanging="357"/>
        <w:jc w:val="both"/>
        <w:rPr>
          <w:rFonts w:eastAsia="Times New Roman" w:cs="Times New Roman"/>
          <w:sz w:val="22"/>
          <w:lang w:eastAsia="sk-SK"/>
        </w:rPr>
      </w:pPr>
      <w:r w:rsidRPr="00841DC0">
        <w:rPr>
          <w:rFonts w:eastAsia="Times New Roman" w:cs="Times New Roman"/>
          <w:sz w:val="22"/>
          <w:lang w:eastAsia="sk-SK"/>
        </w:rPr>
        <w:t>vytvoriť účinné mechanizmy pre zamedzenie subjektívnych zásahov volených funkcionárov obce do výkonu odbornej činnosti stavebného úradu.</w:t>
      </w:r>
    </w:p>
    <w:p w:rsidR="00841DC0" w:rsidRPr="00841DC0" w:rsidRDefault="00841DC0" w:rsidP="00827CF2">
      <w:pPr>
        <w:shd w:val="clear" w:color="auto" w:fill="F2F2F2" w:themeFill="background1" w:themeFillShade="F2"/>
        <w:spacing w:before="120" w:after="120" w:line="240" w:lineRule="auto"/>
        <w:ind w:firstLine="709"/>
        <w:jc w:val="both"/>
        <w:rPr>
          <w:rFonts w:cs="Times New Roman"/>
          <w:bCs/>
          <w:sz w:val="22"/>
        </w:rPr>
      </w:pPr>
      <w:r w:rsidRPr="00841DC0">
        <w:rPr>
          <w:rFonts w:cs="Times New Roman"/>
          <w:bCs/>
          <w:sz w:val="22"/>
        </w:rPr>
        <w:t xml:space="preserve">Ministerstvo dopravy ďalej navrhuje zavedenie projektu OPIS „Elektronické služby stavebného poriadku“ a zabezpečenie jednotného systémového riešenia pre štátnu stavebnú správu od obcí cez obvodné úrady v sídle kraja až po ministerstvo. </w:t>
      </w:r>
    </w:p>
    <w:p w:rsidR="00841DC0" w:rsidRPr="00841DC0" w:rsidRDefault="00841DC0" w:rsidP="00827CF2">
      <w:pPr>
        <w:shd w:val="clear" w:color="auto" w:fill="F2F2F2" w:themeFill="background1" w:themeFillShade="F2"/>
        <w:spacing w:before="120" w:after="120" w:line="240" w:lineRule="auto"/>
        <w:jc w:val="both"/>
        <w:rPr>
          <w:rFonts w:eastAsia="Times New Roman" w:cs="Times New Roman"/>
          <w:sz w:val="22"/>
          <w:lang w:eastAsia="cs-CZ"/>
        </w:rPr>
      </w:pPr>
      <w:r w:rsidRPr="00841DC0">
        <w:rPr>
          <w:rFonts w:eastAsia="Times New Roman" w:cs="Times New Roman"/>
          <w:sz w:val="22"/>
          <w:lang w:eastAsia="cs-CZ"/>
        </w:rPr>
        <w:tab/>
        <w:t>Na úseku pozemných komunikácií ministerstvo dopravy svoje návrhy sformulovalo neisto, čo znamená, že na riešenie niektorých problémov navrhuje viac možností a nezaujalo jednoznačné stanovisko. Navrhuje buď presun pôsobností na obvodné úrady alebo zavedenie zákonnej povinnosti zriadiť spoločné obecné úrady.</w:t>
      </w:r>
    </w:p>
    <w:p w:rsidR="00841DC0" w:rsidRPr="00841DC0" w:rsidRDefault="00841DC0" w:rsidP="00827CF2">
      <w:pPr>
        <w:shd w:val="clear" w:color="auto" w:fill="F2F2F2" w:themeFill="background1" w:themeFillShade="F2"/>
        <w:spacing w:before="120" w:after="120" w:line="240" w:lineRule="auto"/>
        <w:jc w:val="both"/>
        <w:rPr>
          <w:rFonts w:eastAsia="Times New Roman" w:cs="Times New Roman"/>
          <w:sz w:val="22"/>
          <w:lang w:eastAsia="cs-CZ"/>
        </w:rPr>
      </w:pPr>
      <w:r w:rsidRPr="00841DC0">
        <w:rPr>
          <w:rFonts w:eastAsia="Times New Roman" w:cs="Times New Roman"/>
          <w:sz w:val="22"/>
          <w:lang w:eastAsia="cs-CZ"/>
        </w:rPr>
        <w:tab/>
        <w:t xml:space="preserve">Na úseku bývania ministerstvo dopravy vzhľadom na rozsah preneseného výkonu štátnej správy nenavrhuje žiadne opatrenia.  </w:t>
      </w:r>
    </w:p>
    <w:p w:rsidR="00841DC0" w:rsidRPr="00841DC0" w:rsidRDefault="00841DC0" w:rsidP="00827CF2">
      <w:pPr>
        <w:shd w:val="clear" w:color="auto" w:fill="F2F2F2" w:themeFill="background1" w:themeFillShade="F2"/>
        <w:tabs>
          <w:tab w:val="left" w:pos="1276"/>
          <w:tab w:val="left" w:pos="1418"/>
        </w:tabs>
        <w:spacing w:before="120" w:after="12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Kritické stanovisko</w:t>
      </w:r>
    </w:p>
    <w:p w:rsidR="00841DC0" w:rsidRPr="00841DC0" w:rsidRDefault="00841DC0" w:rsidP="00827CF2">
      <w:pPr>
        <w:shd w:val="clear" w:color="auto" w:fill="F2F2F2" w:themeFill="background1" w:themeFillShade="F2"/>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 xml:space="preserve">Údaje poskytnuté ministerstvom dopravy jednak v čiastkových správach a jednak v tabuľkách nemožno považovať za úplné a správne. Na úseku dráh sú jednotlivé úlohy na úsekoch a ich financovanie uvedené v správe a v tabuľkách oddelene, čo pôsobí neprehľadnosť celkového stavu na danom úseku. Na úseku stavebného poriadku je nesprávne uvedený počet obcí, ktoré sú združené resp. vykonávajú úlohy stavebného úradu samostatne, ďalej niektoré tabuľky nie sú dostatočne vyplnené, ako napríklad tabuľka zhodnotenia kvality.     </w:t>
      </w:r>
    </w:p>
    <w:p w:rsidR="00841DC0" w:rsidRPr="00841DC0" w:rsidRDefault="00841DC0" w:rsidP="00827CF2">
      <w:pPr>
        <w:shd w:val="clear" w:color="auto" w:fill="F2F2F2" w:themeFill="background1" w:themeFillShade="F2"/>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 xml:space="preserve">Ministerstvo dopravy nevypracovalo súhrnnú správu za celé ministerstvo, ale zaslalo čiastkové správy za všetky relevantné úseky samostatne. Tabuľky boli taktiež vyplnené zvlášť za každý úsek. Pri vypracovaní čiastkových správ niektoré odbory nepostupovali podľa jednotnej metodiky a nedodržali jej štruktúru, preto je finálny výstup zo strany ministerstva dopravy celkovo nejednotný a neprehľadný. </w:t>
      </w:r>
    </w:p>
    <w:p w:rsidR="00841DC0" w:rsidRPr="00841DC0" w:rsidRDefault="00841DC0" w:rsidP="00827CF2">
      <w:pPr>
        <w:shd w:val="clear" w:color="auto" w:fill="F2F2F2" w:themeFill="background1" w:themeFillShade="F2"/>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Chýba zhodnotenie kvality</w:t>
      </w:r>
      <w:r w:rsidR="006C70FF">
        <w:rPr>
          <w:rFonts w:eastAsia="Times New Roman" w:cs="Times New Roman"/>
          <w:sz w:val="22"/>
          <w:lang w:eastAsia="cs-CZ"/>
        </w:rPr>
        <w:t xml:space="preserve"> </w:t>
      </w:r>
      <w:r w:rsidRPr="00841DC0">
        <w:rPr>
          <w:rFonts w:eastAsia="Times New Roman" w:cs="Times New Roman"/>
          <w:sz w:val="22"/>
          <w:lang w:eastAsia="cs-CZ"/>
        </w:rPr>
        <w:t>a to tak jeho stručné popisné definovanie (okrem úseku dráh a cestnej dopravy), ako aj definovanie kritérií kvality (na všetkých úsekoch).</w:t>
      </w:r>
      <w:r w:rsidRPr="00841DC0">
        <w:rPr>
          <w:rFonts w:eastAsia="Times New Roman" w:cs="Times New Roman"/>
          <w:sz w:val="22"/>
          <w:lang w:eastAsia="cs-CZ"/>
        </w:rPr>
        <w:tab/>
      </w:r>
    </w:p>
    <w:p w:rsidR="00841DC0" w:rsidRPr="00841DC0" w:rsidRDefault="00841DC0" w:rsidP="00827CF2">
      <w:pPr>
        <w:shd w:val="clear" w:color="auto" w:fill="F2F2F2" w:themeFill="background1" w:themeFillShade="F2"/>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Chýba názor na decentralizáciu, ďalej zhodnotenie výkonu prenesených pôsobností s dôrazom na veľkosť obce a následné vyjadrenie názoru k možnosti vybudovania siete spoločných obecných úradov.</w:t>
      </w:r>
    </w:p>
    <w:p w:rsidR="00841DC0" w:rsidRPr="00841DC0" w:rsidRDefault="00841DC0" w:rsidP="00827CF2">
      <w:pPr>
        <w:shd w:val="clear" w:color="auto" w:fill="F2F2F2" w:themeFill="background1" w:themeFillShade="F2"/>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lastRenderedPageBreak/>
        <w:t xml:space="preserve">Chýba jasné uvedenie názoru, či je potrebné ponechať prenesené pôsobnosti alebo je potrebné ich presunúť. </w:t>
      </w:r>
    </w:p>
    <w:p w:rsidR="00841DC0" w:rsidRPr="00841DC0" w:rsidRDefault="00841DC0" w:rsidP="00827CF2">
      <w:pPr>
        <w:shd w:val="clear" w:color="auto" w:fill="F2F2F2" w:themeFill="background1" w:themeFillShade="F2"/>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 xml:space="preserve">Chýba identifikovanie pôsobností, ktoré možno zrušiť bez náhrady. </w:t>
      </w:r>
    </w:p>
    <w:p w:rsidR="00841DC0" w:rsidRPr="00841DC0" w:rsidRDefault="00841DC0" w:rsidP="00827CF2">
      <w:pPr>
        <w:shd w:val="clear" w:color="auto" w:fill="F2F2F2" w:themeFill="background1" w:themeFillShade="F2"/>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Nie sú uvedené relevantné a konkrétne návrhy opatrení.</w:t>
      </w:r>
    </w:p>
    <w:p w:rsidR="00841DC0" w:rsidRDefault="00841DC0" w:rsidP="00510A26">
      <w:pPr>
        <w:keepNext/>
        <w:spacing w:before="240" w:after="240" w:line="240" w:lineRule="auto"/>
        <w:jc w:val="both"/>
        <w:rPr>
          <w:rFonts w:cs="Times New Roman"/>
          <w:b/>
          <w:szCs w:val="24"/>
        </w:rPr>
      </w:pPr>
      <w:r w:rsidRPr="00841DC0">
        <w:rPr>
          <w:rFonts w:cs="Times New Roman"/>
          <w:b/>
          <w:szCs w:val="24"/>
        </w:rPr>
        <w:t>Ministerstvo hospodárstva Slovenskej republiky</w:t>
      </w:r>
    </w:p>
    <w:p w:rsidR="00D861B9" w:rsidRPr="00D861B9" w:rsidRDefault="00D861B9" w:rsidP="00D861B9">
      <w:pPr>
        <w:keepNext/>
        <w:shd w:val="clear" w:color="auto" w:fill="FFFFFF" w:themeFill="background1"/>
        <w:tabs>
          <w:tab w:val="left" w:pos="1276"/>
        </w:tabs>
        <w:spacing w:before="120" w:after="120" w:line="240" w:lineRule="auto"/>
        <w:ind w:firstLine="709"/>
        <w:jc w:val="both"/>
        <w:rPr>
          <w:rFonts w:eastAsia="Times New Roman" w:cs="Times New Roman"/>
          <w:sz w:val="22"/>
          <w:u w:val="single"/>
          <w:lang w:eastAsia="cs-CZ"/>
        </w:rPr>
      </w:pPr>
      <w:r w:rsidRPr="00D861B9">
        <w:rPr>
          <w:rFonts w:eastAsia="Times New Roman" w:cs="Times New Roman"/>
          <w:sz w:val="22"/>
          <w:u w:val="single"/>
          <w:lang w:eastAsia="cs-CZ"/>
        </w:rPr>
        <w:t>1.1.</w:t>
      </w:r>
      <w:r w:rsidRPr="00D861B9">
        <w:rPr>
          <w:rFonts w:eastAsia="Times New Roman" w:cs="Times New Roman"/>
          <w:sz w:val="22"/>
          <w:u w:val="single"/>
          <w:lang w:eastAsia="cs-CZ"/>
        </w:rPr>
        <w:tab/>
        <w:t>Katalóg prenesených pôsobností</w:t>
      </w:r>
    </w:p>
    <w:p w:rsidR="00D861B9" w:rsidRPr="00D861B9" w:rsidRDefault="00D861B9" w:rsidP="00D861B9">
      <w:pPr>
        <w:keepNext/>
        <w:shd w:val="clear" w:color="auto" w:fill="FFFFFF" w:themeFill="background1"/>
        <w:tabs>
          <w:tab w:val="left" w:pos="1276"/>
        </w:tabs>
        <w:spacing w:before="120" w:after="120" w:line="240" w:lineRule="auto"/>
        <w:ind w:firstLine="709"/>
        <w:jc w:val="both"/>
        <w:rPr>
          <w:rFonts w:eastAsia="Times New Roman" w:cs="Times New Roman"/>
          <w:sz w:val="22"/>
          <w:lang w:eastAsia="cs-CZ"/>
        </w:rPr>
      </w:pPr>
      <w:r w:rsidRPr="00D861B9">
        <w:rPr>
          <w:rFonts w:eastAsia="Times New Roman" w:cs="Times New Roman"/>
          <w:sz w:val="22"/>
          <w:lang w:eastAsia="cs-CZ"/>
        </w:rPr>
        <w:t>Zoznam úsekov štátnej správy prenesených na obce a samosprávne kraje</w:t>
      </w:r>
      <w:r>
        <w:rPr>
          <w:rFonts w:eastAsia="Times New Roman" w:cs="Times New Roman"/>
          <w:sz w:val="22"/>
          <w:lang w:eastAsia="cs-CZ"/>
        </w:rPr>
        <w:t xml:space="preserve"> s údajmi o počte úloh:</w:t>
      </w:r>
    </w:p>
    <w:tbl>
      <w:tblPr>
        <w:tblStyle w:val="Mriekatabuky"/>
        <w:tblW w:w="0" w:type="auto"/>
        <w:jc w:val="center"/>
        <w:tblLook w:val="04A0" w:firstRow="1" w:lastRow="0" w:firstColumn="1" w:lastColumn="0" w:noHBand="0" w:noVBand="1"/>
      </w:tblPr>
      <w:tblGrid>
        <w:gridCol w:w="2126"/>
        <w:gridCol w:w="2552"/>
        <w:gridCol w:w="1275"/>
        <w:gridCol w:w="1620"/>
      </w:tblGrid>
      <w:tr w:rsidR="00D861B9" w:rsidRPr="00D861B9" w:rsidTr="00D861B9">
        <w:trPr>
          <w:jc w:val="center"/>
        </w:trPr>
        <w:tc>
          <w:tcPr>
            <w:tcW w:w="2126" w:type="dxa"/>
            <w:shd w:val="clear" w:color="auto" w:fill="auto"/>
          </w:tcPr>
          <w:p w:rsidR="00D861B9" w:rsidRPr="00310690" w:rsidRDefault="00D861B9" w:rsidP="00310690">
            <w:pPr>
              <w:rPr>
                <w:b/>
                <w:sz w:val="16"/>
                <w:szCs w:val="16"/>
              </w:rPr>
            </w:pPr>
            <w:r w:rsidRPr="00310690">
              <w:rPr>
                <w:b/>
                <w:sz w:val="16"/>
                <w:szCs w:val="16"/>
              </w:rPr>
              <w:t>obce</w:t>
            </w:r>
            <w:r w:rsidR="00310690" w:rsidRPr="00310690">
              <w:rPr>
                <w:b/>
                <w:sz w:val="16"/>
                <w:szCs w:val="16"/>
              </w:rPr>
              <w:tab/>
            </w:r>
          </w:p>
        </w:tc>
        <w:tc>
          <w:tcPr>
            <w:tcW w:w="2552" w:type="dxa"/>
            <w:shd w:val="clear" w:color="auto" w:fill="auto"/>
          </w:tcPr>
          <w:p w:rsidR="00D861B9" w:rsidRPr="00310690" w:rsidRDefault="00D861B9" w:rsidP="00310690">
            <w:pPr>
              <w:rPr>
                <w:b/>
                <w:sz w:val="16"/>
                <w:szCs w:val="16"/>
              </w:rPr>
            </w:pPr>
            <w:r w:rsidRPr="00310690">
              <w:rPr>
                <w:b/>
                <w:sz w:val="16"/>
                <w:szCs w:val="16"/>
              </w:rPr>
              <w:t>samosprávne kraje</w:t>
            </w:r>
          </w:p>
        </w:tc>
        <w:tc>
          <w:tcPr>
            <w:tcW w:w="1275" w:type="dxa"/>
            <w:tcBorders>
              <w:right w:val="single" w:sz="4" w:space="0" w:color="auto"/>
            </w:tcBorders>
            <w:shd w:val="clear" w:color="auto" w:fill="auto"/>
          </w:tcPr>
          <w:p w:rsidR="00D861B9" w:rsidRPr="00310690" w:rsidRDefault="00D861B9" w:rsidP="00310690">
            <w:pPr>
              <w:rPr>
                <w:b/>
                <w:sz w:val="16"/>
                <w:szCs w:val="16"/>
              </w:rPr>
            </w:pPr>
            <w:r w:rsidRPr="00310690">
              <w:rPr>
                <w:b/>
                <w:sz w:val="16"/>
                <w:szCs w:val="16"/>
              </w:rPr>
              <w:t>obce</w:t>
            </w:r>
          </w:p>
        </w:tc>
        <w:tc>
          <w:tcPr>
            <w:tcW w:w="1620" w:type="dxa"/>
            <w:tcBorders>
              <w:left w:val="single" w:sz="4" w:space="0" w:color="auto"/>
              <w:right w:val="single" w:sz="12" w:space="0" w:color="auto"/>
            </w:tcBorders>
            <w:shd w:val="clear" w:color="auto" w:fill="auto"/>
          </w:tcPr>
          <w:p w:rsidR="00D861B9" w:rsidRPr="00310690" w:rsidRDefault="00D861B9" w:rsidP="00310690">
            <w:pPr>
              <w:rPr>
                <w:b/>
                <w:sz w:val="16"/>
                <w:szCs w:val="16"/>
              </w:rPr>
            </w:pPr>
            <w:r w:rsidRPr="00310690">
              <w:rPr>
                <w:b/>
                <w:sz w:val="16"/>
                <w:szCs w:val="16"/>
              </w:rPr>
              <w:t>samosprávne kraje</w:t>
            </w:r>
          </w:p>
        </w:tc>
      </w:tr>
      <w:tr w:rsidR="00D861B9" w:rsidRPr="00D861B9" w:rsidTr="00D861B9">
        <w:trPr>
          <w:jc w:val="center"/>
        </w:trPr>
        <w:tc>
          <w:tcPr>
            <w:tcW w:w="2126" w:type="dxa"/>
            <w:shd w:val="clear" w:color="auto" w:fill="auto"/>
          </w:tcPr>
          <w:p w:rsidR="00D861B9" w:rsidRPr="00D861B9" w:rsidRDefault="00D861B9" w:rsidP="00D861B9">
            <w:pPr>
              <w:spacing w:before="120" w:after="60"/>
              <w:jc w:val="left"/>
              <w:rPr>
                <w:sz w:val="16"/>
                <w:szCs w:val="16"/>
              </w:rPr>
            </w:pPr>
            <w:r w:rsidRPr="00D861B9">
              <w:rPr>
                <w:sz w:val="16"/>
                <w:szCs w:val="16"/>
              </w:rPr>
              <w:t>úsek hospodárskej mobilizácie</w:t>
            </w:r>
          </w:p>
        </w:tc>
        <w:tc>
          <w:tcPr>
            <w:tcW w:w="2552" w:type="dxa"/>
            <w:shd w:val="clear" w:color="auto" w:fill="auto"/>
            <w:vAlign w:val="center"/>
          </w:tcPr>
          <w:p w:rsidR="00D861B9" w:rsidRPr="00D861B9" w:rsidRDefault="00D861B9" w:rsidP="00D861B9">
            <w:pPr>
              <w:spacing w:before="120" w:after="60"/>
              <w:rPr>
                <w:sz w:val="16"/>
                <w:szCs w:val="16"/>
              </w:rPr>
            </w:pPr>
            <w:r w:rsidRPr="00D861B9">
              <w:rPr>
                <w:sz w:val="16"/>
                <w:szCs w:val="16"/>
              </w:rPr>
              <w:t>úsek hospodárskej mobilizácie</w:t>
            </w:r>
          </w:p>
        </w:tc>
        <w:tc>
          <w:tcPr>
            <w:tcW w:w="1275" w:type="dxa"/>
            <w:tcBorders>
              <w:right w:val="single" w:sz="4" w:space="0" w:color="auto"/>
            </w:tcBorders>
            <w:shd w:val="clear" w:color="auto" w:fill="auto"/>
            <w:vAlign w:val="center"/>
          </w:tcPr>
          <w:p w:rsidR="00D861B9" w:rsidRPr="00D861B9" w:rsidRDefault="00D861B9" w:rsidP="00D861B9">
            <w:pPr>
              <w:spacing w:before="120" w:after="60"/>
              <w:jc w:val="right"/>
              <w:rPr>
                <w:sz w:val="16"/>
                <w:szCs w:val="16"/>
              </w:rPr>
            </w:pPr>
            <w:r w:rsidRPr="00D861B9">
              <w:rPr>
                <w:sz w:val="16"/>
                <w:szCs w:val="16"/>
              </w:rPr>
              <w:t>3 A</w:t>
            </w:r>
          </w:p>
        </w:tc>
        <w:tc>
          <w:tcPr>
            <w:tcW w:w="1620" w:type="dxa"/>
            <w:tcBorders>
              <w:left w:val="single" w:sz="4" w:space="0" w:color="auto"/>
              <w:right w:val="single" w:sz="12" w:space="0" w:color="auto"/>
            </w:tcBorders>
            <w:shd w:val="clear" w:color="auto" w:fill="auto"/>
            <w:vAlign w:val="center"/>
          </w:tcPr>
          <w:p w:rsidR="00D861B9" w:rsidRPr="00D861B9" w:rsidRDefault="00D861B9" w:rsidP="00D861B9">
            <w:pPr>
              <w:spacing w:before="120" w:after="60"/>
              <w:jc w:val="right"/>
              <w:rPr>
                <w:sz w:val="16"/>
                <w:szCs w:val="16"/>
              </w:rPr>
            </w:pPr>
            <w:r w:rsidRPr="00D861B9">
              <w:rPr>
                <w:sz w:val="16"/>
                <w:szCs w:val="16"/>
              </w:rPr>
              <w:t>3A</w:t>
            </w:r>
          </w:p>
        </w:tc>
      </w:tr>
    </w:tbl>
    <w:p w:rsidR="00841DC0" w:rsidRPr="00841DC0" w:rsidRDefault="00841DC0" w:rsidP="00841DC0">
      <w:pPr>
        <w:spacing w:before="120" w:after="0" w:line="240" w:lineRule="auto"/>
        <w:ind w:firstLine="709"/>
        <w:jc w:val="both"/>
        <w:rPr>
          <w:rFonts w:cs="Times New Roman"/>
          <w:sz w:val="22"/>
        </w:rPr>
      </w:pPr>
      <w:r w:rsidRPr="00841DC0">
        <w:rPr>
          <w:rFonts w:cs="Times New Roman"/>
          <w:sz w:val="22"/>
        </w:rPr>
        <w:t xml:space="preserve">Na vypracovanie auditu použilo </w:t>
      </w:r>
      <w:r w:rsidR="006C70FF">
        <w:rPr>
          <w:rFonts w:cs="Times New Roman"/>
          <w:sz w:val="22"/>
        </w:rPr>
        <w:t>M</w:t>
      </w:r>
      <w:r w:rsidRPr="00841DC0">
        <w:rPr>
          <w:rFonts w:cs="Times New Roman"/>
          <w:sz w:val="22"/>
        </w:rPr>
        <w:t xml:space="preserve">inisterstvo hospodárstva </w:t>
      </w:r>
      <w:r w:rsidR="006C70FF" w:rsidRPr="006C70FF">
        <w:rPr>
          <w:rFonts w:cs="Times New Roman"/>
          <w:sz w:val="22"/>
        </w:rPr>
        <w:t>Slovenskej republiky</w:t>
      </w:r>
      <w:r w:rsidR="006C70FF">
        <w:rPr>
          <w:rFonts w:cs="Times New Roman"/>
          <w:sz w:val="22"/>
        </w:rPr>
        <w:t xml:space="preserve"> (ďalej len „ministerstvo hospodárstva“) </w:t>
      </w:r>
      <w:r w:rsidRPr="00841DC0">
        <w:rPr>
          <w:rFonts w:cs="Times New Roman"/>
          <w:sz w:val="22"/>
        </w:rPr>
        <w:t>nasledujúce zdroje informácií: údaje a dokumentáciu ministerstva hospodárstva, analýzu všeobecne záväzných právnych predpisov, komunikáciu s obcami a</w:t>
      </w:r>
      <w:r w:rsidR="006C70FF">
        <w:rPr>
          <w:rFonts w:cs="Times New Roman"/>
          <w:sz w:val="22"/>
        </w:rPr>
        <w:t> </w:t>
      </w:r>
      <w:r w:rsidRPr="00841DC0">
        <w:rPr>
          <w:rFonts w:cs="Times New Roman"/>
          <w:sz w:val="22"/>
        </w:rPr>
        <w:t>samosprávnymi krajmi, internet.</w:t>
      </w:r>
    </w:p>
    <w:p w:rsidR="00841DC0" w:rsidRPr="00841DC0" w:rsidRDefault="00841DC0" w:rsidP="00841DC0">
      <w:pPr>
        <w:keepNext/>
        <w:tabs>
          <w:tab w:val="left" w:pos="1276"/>
        </w:tabs>
        <w:spacing w:before="120" w:after="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1.2.</w:t>
      </w:r>
      <w:r w:rsidRPr="00841DC0">
        <w:rPr>
          <w:rFonts w:eastAsia="Times New Roman" w:cs="Times New Roman"/>
          <w:sz w:val="22"/>
          <w:u w:val="single"/>
          <w:lang w:eastAsia="cs-CZ"/>
        </w:rPr>
        <w:tab/>
        <w:t>Kvantifikácia výkonu prenesených pôsobností</w:t>
      </w:r>
    </w:p>
    <w:p w:rsidR="00841DC0" w:rsidRPr="00841DC0" w:rsidRDefault="00841DC0" w:rsidP="00841DC0">
      <w:pPr>
        <w:spacing w:before="120" w:after="0" w:line="240" w:lineRule="auto"/>
        <w:ind w:firstLine="709"/>
        <w:jc w:val="both"/>
        <w:rPr>
          <w:rFonts w:cs="Times New Roman"/>
          <w:sz w:val="22"/>
        </w:rPr>
      </w:pPr>
      <w:r w:rsidRPr="00841DC0">
        <w:rPr>
          <w:rFonts w:cs="Times New Roman"/>
          <w:sz w:val="22"/>
        </w:rPr>
        <w:t>Výkon prenesených pôsobností obcí a samosprávnych krajov v stave bezpečnosti nie je možné kvantifikovať, pretože nevydávajú žiadne rozhodnutia, neriešia odvolania a pod. Jedinou kvantifikovateľnou činnosťou bola v roku 2011 účasť cca 1 200 zamestnancov obecných a mestských úradov na školeniach organizovaných ministerstvom hospodárstva. Školenia sa týkali nového špecifického aplikačného programu. Samosprávne kraje museli v roku 2011, ale aj v roku 2012 aktualizovať svoj krízový plán hospodárskej mobilizácie. Obciam zo zákona č. 179/2011 Z. z. o hospodárskej mobilizácii takáto úloha nevyplýva.</w:t>
      </w:r>
    </w:p>
    <w:p w:rsidR="00841DC0" w:rsidRPr="00841DC0" w:rsidRDefault="00841DC0" w:rsidP="00841DC0">
      <w:pPr>
        <w:tabs>
          <w:tab w:val="left" w:pos="1276"/>
        </w:tabs>
        <w:spacing w:before="120" w:after="120" w:line="240" w:lineRule="auto"/>
        <w:ind w:firstLine="709"/>
        <w:jc w:val="both"/>
        <w:rPr>
          <w:rFonts w:eastAsia="Times New Roman" w:cs="Times New Roman"/>
          <w:sz w:val="22"/>
          <w:lang w:eastAsia="cs-CZ"/>
        </w:rPr>
      </w:pPr>
      <w:r w:rsidRPr="00841DC0">
        <w:rPr>
          <w:rFonts w:eastAsia="Times New Roman" w:cs="Times New Roman"/>
          <w:sz w:val="22"/>
          <w:u w:val="single"/>
          <w:lang w:eastAsia="cs-CZ"/>
        </w:rPr>
        <w:t>1.3.</w:t>
      </w:r>
      <w:r w:rsidRPr="00841DC0">
        <w:rPr>
          <w:rFonts w:eastAsia="Times New Roman" w:cs="Times New Roman"/>
          <w:sz w:val="22"/>
          <w:u w:val="single"/>
          <w:lang w:eastAsia="cs-CZ"/>
        </w:rPr>
        <w:tab/>
        <w:t>Zhodnotenie kvality výkonu prenesených pôsobností</w:t>
      </w:r>
    </w:p>
    <w:p w:rsidR="00841DC0" w:rsidRPr="00841DC0" w:rsidRDefault="00841DC0" w:rsidP="00841DC0">
      <w:pPr>
        <w:spacing w:before="120" w:after="0" w:line="240" w:lineRule="auto"/>
        <w:ind w:firstLine="709"/>
        <w:jc w:val="both"/>
        <w:rPr>
          <w:rFonts w:cs="Times New Roman"/>
          <w:sz w:val="22"/>
        </w:rPr>
      </w:pPr>
      <w:r w:rsidRPr="00841DC0">
        <w:rPr>
          <w:rFonts w:cs="Times New Roman"/>
          <w:sz w:val="22"/>
        </w:rPr>
        <w:t xml:space="preserve">Vzhľadom na nemožnosť kvantifikovať činnosti, ktoré obce a samosprávne kraje v oblasti hospodárskej mobilizácie vykonávajú, je ťažké hodnotiť kvalitu ich výkonu. Vychádzajúc z podkladov je možné konštatovať, že činnosti prenesené na obce a samosprávne kraje boli v roku 2011 vykonávané kvalitne. </w:t>
      </w:r>
    </w:p>
    <w:p w:rsidR="00841DC0" w:rsidRPr="00841DC0" w:rsidRDefault="00841DC0" w:rsidP="006674ED">
      <w:pPr>
        <w:keepNext/>
        <w:tabs>
          <w:tab w:val="left" w:pos="1276"/>
        </w:tabs>
        <w:spacing w:before="120" w:after="12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1.4.</w:t>
      </w:r>
      <w:r w:rsidRPr="00841DC0">
        <w:rPr>
          <w:rFonts w:eastAsia="Times New Roman" w:cs="Times New Roman"/>
          <w:sz w:val="22"/>
          <w:u w:val="single"/>
          <w:lang w:eastAsia="cs-CZ"/>
        </w:rPr>
        <w:tab/>
        <w:t>Financovanie výkonu prenesených pôsobností</w:t>
      </w:r>
    </w:p>
    <w:p w:rsidR="003F4D5C" w:rsidRPr="000A2C80" w:rsidRDefault="003F4D5C" w:rsidP="003F4D5C">
      <w:pPr>
        <w:tabs>
          <w:tab w:val="left" w:pos="1276"/>
        </w:tabs>
        <w:spacing w:before="120" w:after="120" w:line="240" w:lineRule="auto"/>
        <w:ind w:firstLine="709"/>
        <w:jc w:val="both"/>
        <w:rPr>
          <w:rFonts w:eastAsia="Times New Roman" w:cs="Times New Roman"/>
          <w:sz w:val="22"/>
          <w:lang w:eastAsia="cs-CZ"/>
        </w:rPr>
      </w:pPr>
      <w:r w:rsidRPr="000A2C80">
        <w:rPr>
          <w:rFonts w:eastAsia="Times New Roman" w:cs="Times New Roman"/>
          <w:sz w:val="22"/>
          <w:lang w:eastAsia="cs-CZ"/>
        </w:rPr>
        <w:t>V oblasti hospodárskej mobilizácie obce a samosprávne kraje nemali žiadne priame výdavky v rokoch 2001, 2005 a 2011.</w:t>
      </w:r>
    </w:p>
    <w:p w:rsidR="00841DC0" w:rsidRPr="00841DC0" w:rsidRDefault="00841DC0" w:rsidP="00CD765C">
      <w:pPr>
        <w:tabs>
          <w:tab w:val="left" w:pos="1276"/>
        </w:tabs>
        <w:spacing w:before="120" w:after="12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1.5.</w:t>
      </w:r>
      <w:r w:rsidRPr="00841DC0">
        <w:rPr>
          <w:rFonts w:eastAsia="Times New Roman" w:cs="Times New Roman"/>
          <w:sz w:val="22"/>
          <w:u w:val="single"/>
          <w:lang w:eastAsia="cs-CZ"/>
        </w:rPr>
        <w:tab/>
        <w:t>Návrhy opatrení</w:t>
      </w:r>
    </w:p>
    <w:p w:rsidR="00841DC0" w:rsidRPr="00841DC0" w:rsidRDefault="00841DC0" w:rsidP="00841DC0">
      <w:pPr>
        <w:tabs>
          <w:tab w:val="left" w:pos="1276"/>
        </w:tabs>
        <w:spacing w:before="120" w:after="120" w:line="240" w:lineRule="auto"/>
        <w:ind w:firstLine="709"/>
        <w:jc w:val="both"/>
        <w:rPr>
          <w:rFonts w:eastAsia="Times New Roman" w:cs="Times New Roman"/>
          <w:sz w:val="22"/>
          <w:lang w:eastAsia="cs-CZ"/>
        </w:rPr>
      </w:pPr>
      <w:r w:rsidRPr="00841DC0">
        <w:rPr>
          <w:rFonts w:eastAsia="Times New Roman" w:cs="Times New Roman"/>
          <w:sz w:val="22"/>
          <w:lang w:eastAsia="cs-CZ"/>
        </w:rPr>
        <w:t xml:space="preserve">Momentálne je táto oblasť v prebiehajúcom procese optimalizácie, </w:t>
      </w:r>
      <w:r w:rsidR="005035A7">
        <w:rPr>
          <w:rFonts w:eastAsia="Times New Roman" w:cs="Times New Roman"/>
          <w:sz w:val="22"/>
          <w:lang w:eastAsia="cs-CZ"/>
        </w:rPr>
        <w:t>ktorá spočíva najmä v</w:t>
      </w:r>
      <w:r w:rsidR="00C764D0">
        <w:rPr>
          <w:rFonts w:eastAsia="Times New Roman" w:cs="Times New Roman"/>
          <w:sz w:val="22"/>
          <w:lang w:eastAsia="cs-CZ"/>
        </w:rPr>
        <w:t> zavedení Jednotného informačného systému, ktorý prinesie potrebné informovanie a v neposlednom rade zlepšenie koordinácie činností subjektov hospodárskej mobilizácie v období krízovej situácie, ale aj mimo nej.</w:t>
      </w:r>
      <w:r w:rsidR="005035A7">
        <w:rPr>
          <w:rFonts w:eastAsia="Times New Roman" w:cs="Times New Roman"/>
          <w:sz w:val="22"/>
          <w:lang w:eastAsia="cs-CZ"/>
        </w:rPr>
        <w:t xml:space="preserve"> </w:t>
      </w:r>
      <w:r w:rsidR="00C764D0">
        <w:rPr>
          <w:rFonts w:eastAsia="Times New Roman" w:cs="Times New Roman"/>
          <w:sz w:val="22"/>
          <w:lang w:eastAsia="cs-CZ"/>
        </w:rPr>
        <w:t>Z tohto dôvodu</w:t>
      </w:r>
      <w:r w:rsidR="005035A7">
        <w:rPr>
          <w:rFonts w:eastAsia="Times New Roman" w:cs="Times New Roman"/>
          <w:sz w:val="22"/>
          <w:lang w:eastAsia="cs-CZ"/>
        </w:rPr>
        <w:t xml:space="preserve"> </w:t>
      </w:r>
      <w:r w:rsidR="00C764D0">
        <w:rPr>
          <w:rFonts w:eastAsia="Times New Roman" w:cs="Times New Roman"/>
          <w:sz w:val="22"/>
          <w:lang w:eastAsia="cs-CZ"/>
        </w:rPr>
        <w:t>ministerstvo hospodárstva</w:t>
      </w:r>
      <w:r w:rsidRPr="00841DC0">
        <w:rPr>
          <w:rFonts w:eastAsia="Times New Roman" w:cs="Times New Roman"/>
          <w:sz w:val="22"/>
          <w:lang w:eastAsia="cs-CZ"/>
        </w:rPr>
        <w:t xml:space="preserve"> navrh</w:t>
      </w:r>
      <w:r w:rsidR="00C764D0">
        <w:rPr>
          <w:rFonts w:eastAsia="Times New Roman" w:cs="Times New Roman"/>
          <w:sz w:val="22"/>
          <w:lang w:eastAsia="cs-CZ"/>
        </w:rPr>
        <w:t>lo</w:t>
      </w:r>
      <w:r w:rsidRPr="00841DC0">
        <w:rPr>
          <w:rFonts w:eastAsia="Times New Roman" w:cs="Times New Roman"/>
          <w:sz w:val="22"/>
          <w:lang w:eastAsia="cs-CZ"/>
        </w:rPr>
        <w:t xml:space="preserve"> žiadne opatrenia.</w:t>
      </w:r>
    </w:p>
    <w:p w:rsidR="00841DC0" w:rsidRPr="00841DC0" w:rsidRDefault="00841DC0" w:rsidP="00841DC0">
      <w:pPr>
        <w:tabs>
          <w:tab w:val="left" w:pos="1276"/>
        </w:tabs>
        <w:spacing w:before="120" w:after="120" w:line="240" w:lineRule="auto"/>
        <w:ind w:firstLine="709"/>
        <w:jc w:val="both"/>
        <w:rPr>
          <w:rFonts w:eastAsia="Times New Roman" w:cs="Times New Roman"/>
          <w:sz w:val="22"/>
          <w:u w:val="single"/>
          <w:lang w:eastAsia="cs-CZ"/>
        </w:rPr>
      </w:pPr>
      <w:r w:rsidRPr="00841DC0">
        <w:rPr>
          <w:rFonts w:eastAsia="Times New Roman" w:cs="Times New Roman"/>
          <w:sz w:val="22"/>
          <w:lang w:eastAsia="cs-CZ"/>
        </w:rPr>
        <w:t xml:space="preserve"> </w:t>
      </w:r>
      <w:r w:rsidRPr="00841DC0">
        <w:rPr>
          <w:rFonts w:eastAsia="Times New Roman" w:cs="Times New Roman"/>
          <w:sz w:val="22"/>
          <w:u w:val="single"/>
          <w:lang w:eastAsia="cs-CZ"/>
        </w:rPr>
        <w:t>Kritické stanovisko</w:t>
      </w:r>
    </w:p>
    <w:p w:rsidR="00841DC0" w:rsidRPr="00841DC0" w:rsidRDefault="00841DC0" w:rsidP="00841DC0">
      <w:pPr>
        <w:spacing w:before="120" w:after="0" w:line="240" w:lineRule="auto"/>
        <w:ind w:firstLine="708"/>
        <w:jc w:val="both"/>
        <w:rPr>
          <w:rFonts w:eastAsia="Times New Roman" w:cs="Times New Roman"/>
          <w:sz w:val="22"/>
          <w:lang w:eastAsia="cs-CZ"/>
        </w:rPr>
      </w:pPr>
      <w:r w:rsidRPr="00841DC0">
        <w:rPr>
          <w:rFonts w:eastAsia="Times New Roman" w:cs="Times New Roman"/>
          <w:sz w:val="22"/>
          <w:lang w:eastAsia="cs-CZ"/>
        </w:rPr>
        <w:t>Ministerstvo hospodárstva z  dôvodov uvedených vyššie nehodnotilo obce podľa veľkostných kategórií, preto správa obsahuje len minimum informácii použiteľných pre naplnenie cieľa vykonávaného auditu. V poskytnutej správe chýba skúmanie efektivity výkonu prenesených pôsobností obcami a samosprávnymi krajmi. Z dôvodu uvedeného v časti 1.5 správa neobsahuje návrhy opatrení na zlepšenie efektivity výkonu prenesených pôsobností.</w:t>
      </w:r>
    </w:p>
    <w:p w:rsidR="00841DC0" w:rsidRPr="00841DC0" w:rsidRDefault="00841DC0" w:rsidP="00827CF2">
      <w:pPr>
        <w:keepNext/>
        <w:shd w:val="clear" w:color="auto" w:fill="F2F2F2" w:themeFill="background1" w:themeFillShade="F2"/>
        <w:spacing w:before="240" w:after="240" w:line="240" w:lineRule="auto"/>
        <w:jc w:val="both"/>
        <w:rPr>
          <w:rFonts w:cs="Times New Roman"/>
          <w:b/>
          <w:szCs w:val="24"/>
        </w:rPr>
      </w:pPr>
      <w:r w:rsidRPr="00841DC0">
        <w:rPr>
          <w:rFonts w:cs="Times New Roman"/>
          <w:b/>
          <w:szCs w:val="24"/>
        </w:rPr>
        <w:lastRenderedPageBreak/>
        <w:t>Ministerstvo školstva, vedy, výskumu a športu Slovenskej republiky</w:t>
      </w:r>
    </w:p>
    <w:p w:rsidR="00D861B9" w:rsidRPr="00D861B9" w:rsidRDefault="00D861B9" w:rsidP="00D861B9">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u w:val="single"/>
          <w:lang w:eastAsia="cs-CZ"/>
        </w:rPr>
      </w:pPr>
      <w:r w:rsidRPr="00D861B9">
        <w:rPr>
          <w:rFonts w:eastAsia="Times New Roman" w:cs="Times New Roman"/>
          <w:sz w:val="22"/>
          <w:u w:val="single"/>
          <w:lang w:eastAsia="cs-CZ"/>
        </w:rPr>
        <w:t>1.1.</w:t>
      </w:r>
      <w:r w:rsidRPr="00D861B9">
        <w:rPr>
          <w:rFonts w:eastAsia="Times New Roman" w:cs="Times New Roman"/>
          <w:sz w:val="22"/>
          <w:u w:val="single"/>
          <w:lang w:eastAsia="cs-CZ"/>
        </w:rPr>
        <w:tab/>
        <w:t>Katalóg prenesených pôsobností</w:t>
      </w:r>
    </w:p>
    <w:p w:rsidR="00D861B9" w:rsidRPr="00D861B9" w:rsidRDefault="00D861B9" w:rsidP="00D861B9">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D861B9">
        <w:rPr>
          <w:rFonts w:eastAsia="Times New Roman" w:cs="Times New Roman"/>
          <w:sz w:val="22"/>
          <w:lang w:eastAsia="cs-CZ"/>
        </w:rPr>
        <w:t>Zoznam úsekov štátnej správy prenesených na obce a samosprávne kraje</w:t>
      </w:r>
      <w:r>
        <w:rPr>
          <w:rFonts w:eastAsia="Times New Roman" w:cs="Times New Roman"/>
          <w:sz w:val="22"/>
          <w:lang w:eastAsia="cs-CZ"/>
        </w:rPr>
        <w:t xml:space="preserve"> s údajmi o počte úloh:</w:t>
      </w:r>
    </w:p>
    <w:tbl>
      <w:tblPr>
        <w:tblStyle w:val="Mriekatabuky"/>
        <w:tblW w:w="0" w:type="auto"/>
        <w:jc w:val="center"/>
        <w:tblLook w:val="04A0" w:firstRow="1" w:lastRow="0" w:firstColumn="1" w:lastColumn="0" w:noHBand="0" w:noVBand="1"/>
      </w:tblPr>
      <w:tblGrid>
        <w:gridCol w:w="2126"/>
        <w:gridCol w:w="2552"/>
        <w:gridCol w:w="1275"/>
        <w:gridCol w:w="1620"/>
      </w:tblGrid>
      <w:tr w:rsidR="00D861B9" w:rsidRPr="00D861B9" w:rsidTr="005D0177">
        <w:trPr>
          <w:jc w:val="center"/>
        </w:trPr>
        <w:tc>
          <w:tcPr>
            <w:tcW w:w="2126" w:type="dxa"/>
            <w:shd w:val="clear" w:color="auto" w:fill="auto"/>
          </w:tcPr>
          <w:p w:rsidR="00D861B9" w:rsidRPr="009766D2" w:rsidRDefault="00D861B9" w:rsidP="00D861B9">
            <w:pPr>
              <w:shd w:val="clear" w:color="auto" w:fill="F2F2F2" w:themeFill="background1" w:themeFillShade="F2"/>
              <w:spacing w:before="120" w:after="60"/>
              <w:jc w:val="left"/>
              <w:rPr>
                <w:b/>
                <w:sz w:val="16"/>
                <w:szCs w:val="16"/>
              </w:rPr>
            </w:pPr>
            <w:r w:rsidRPr="009766D2">
              <w:rPr>
                <w:b/>
                <w:sz w:val="16"/>
                <w:szCs w:val="16"/>
              </w:rPr>
              <w:t>obce</w:t>
            </w:r>
          </w:p>
        </w:tc>
        <w:tc>
          <w:tcPr>
            <w:tcW w:w="2552" w:type="dxa"/>
            <w:shd w:val="clear" w:color="auto" w:fill="auto"/>
          </w:tcPr>
          <w:p w:rsidR="00D861B9" w:rsidRPr="009766D2" w:rsidRDefault="00D861B9" w:rsidP="00D861B9">
            <w:pPr>
              <w:shd w:val="clear" w:color="auto" w:fill="F2F2F2" w:themeFill="background1" w:themeFillShade="F2"/>
              <w:spacing w:before="120" w:after="60"/>
              <w:rPr>
                <w:b/>
                <w:sz w:val="16"/>
                <w:szCs w:val="16"/>
              </w:rPr>
            </w:pPr>
            <w:r w:rsidRPr="009766D2">
              <w:rPr>
                <w:b/>
                <w:sz w:val="16"/>
                <w:szCs w:val="16"/>
              </w:rPr>
              <w:t>samosprávne kraje</w:t>
            </w:r>
          </w:p>
        </w:tc>
        <w:tc>
          <w:tcPr>
            <w:tcW w:w="1275" w:type="dxa"/>
            <w:tcBorders>
              <w:right w:val="single" w:sz="4" w:space="0" w:color="auto"/>
            </w:tcBorders>
            <w:shd w:val="clear" w:color="auto" w:fill="auto"/>
          </w:tcPr>
          <w:p w:rsidR="00D861B9" w:rsidRPr="009766D2" w:rsidRDefault="00D861B9" w:rsidP="00D861B9">
            <w:pPr>
              <w:shd w:val="clear" w:color="auto" w:fill="F2F2F2" w:themeFill="background1" w:themeFillShade="F2"/>
              <w:spacing w:before="120" w:after="60"/>
              <w:rPr>
                <w:b/>
                <w:sz w:val="16"/>
                <w:szCs w:val="16"/>
              </w:rPr>
            </w:pPr>
            <w:r w:rsidRPr="009766D2">
              <w:rPr>
                <w:b/>
                <w:sz w:val="16"/>
                <w:szCs w:val="16"/>
              </w:rPr>
              <w:t>obce</w:t>
            </w:r>
          </w:p>
        </w:tc>
        <w:tc>
          <w:tcPr>
            <w:tcW w:w="1620" w:type="dxa"/>
            <w:tcBorders>
              <w:left w:val="single" w:sz="4" w:space="0" w:color="auto"/>
              <w:right w:val="single" w:sz="12" w:space="0" w:color="auto"/>
            </w:tcBorders>
            <w:shd w:val="clear" w:color="auto" w:fill="auto"/>
          </w:tcPr>
          <w:p w:rsidR="00D861B9" w:rsidRPr="009766D2" w:rsidRDefault="00D861B9" w:rsidP="00D861B9">
            <w:pPr>
              <w:shd w:val="clear" w:color="auto" w:fill="F2F2F2" w:themeFill="background1" w:themeFillShade="F2"/>
              <w:spacing w:before="120" w:after="60"/>
              <w:rPr>
                <w:b/>
                <w:sz w:val="16"/>
                <w:szCs w:val="16"/>
              </w:rPr>
            </w:pPr>
            <w:r w:rsidRPr="009766D2">
              <w:rPr>
                <w:b/>
                <w:sz w:val="16"/>
                <w:szCs w:val="16"/>
              </w:rPr>
              <w:t>samosprávne kraje</w:t>
            </w:r>
          </w:p>
        </w:tc>
      </w:tr>
      <w:tr w:rsidR="00D861B9" w:rsidRPr="00D861B9" w:rsidTr="008B7049">
        <w:trPr>
          <w:jc w:val="center"/>
        </w:trPr>
        <w:tc>
          <w:tcPr>
            <w:tcW w:w="2126" w:type="dxa"/>
            <w:shd w:val="clear" w:color="auto" w:fill="F2F2F2" w:themeFill="background1" w:themeFillShade="F2"/>
            <w:vAlign w:val="center"/>
          </w:tcPr>
          <w:p w:rsidR="00D861B9" w:rsidRPr="00146AA7" w:rsidRDefault="00D861B9" w:rsidP="00D861B9">
            <w:pPr>
              <w:spacing w:before="120" w:after="60"/>
              <w:jc w:val="left"/>
              <w:rPr>
                <w:sz w:val="16"/>
                <w:szCs w:val="16"/>
              </w:rPr>
            </w:pPr>
            <w:r w:rsidRPr="00146AA7">
              <w:rPr>
                <w:sz w:val="16"/>
                <w:szCs w:val="16"/>
              </w:rPr>
              <w:t xml:space="preserve">úsek školstva </w:t>
            </w:r>
            <w:r>
              <w:rPr>
                <w:sz w:val="16"/>
                <w:szCs w:val="16"/>
              </w:rPr>
              <w:t>(</w:t>
            </w:r>
            <w:r w:rsidRPr="00146AA7">
              <w:rPr>
                <w:sz w:val="16"/>
                <w:szCs w:val="16"/>
              </w:rPr>
              <w:t>zriaďovateľská pôsobnosť</w:t>
            </w:r>
            <w:r>
              <w:rPr>
                <w:sz w:val="16"/>
                <w:szCs w:val="16"/>
              </w:rPr>
              <w:t xml:space="preserve"> vo vzťahu k základným školám</w:t>
            </w:r>
            <w:r w:rsidRPr="00146AA7">
              <w:rPr>
                <w:sz w:val="16"/>
                <w:szCs w:val="16"/>
              </w:rPr>
              <w:t>)</w:t>
            </w:r>
          </w:p>
        </w:tc>
        <w:tc>
          <w:tcPr>
            <w:tcW w:w="2552" w:type="dxa"/>
            <w:shd w:val="clear" w:color="auto" w:fill="F2F2F2" w:themeFill="background1" w:themeFillShade="F2"/>
            <w:vAlign w:val="center"/>
          </w:tcPr>
          <w:p w:rsidR="00D861B9" w:rsidRPr="00146AA7" w:rsidRDefault="00D861B9" w:rsidP="00D861B9">
            <w:pPr>
              <w:spacing w:before="120" w:after="60"/>
              <w:jc w:val="left"/>
              <w:rPr>
                <w:sz w:val="16"/>
                <w:szCs w:val="16"/>
              </w:rPr>
            </w:pPr>
            <w:r w:rsidRPr="00146AA7">
              <w:rPr>
                <w:sz w:val="16"/>
                <w:szCs w:val="16"/>
              </w:rPr>
              <w:t>úsek školstva (zriaďovateľská pôsobnosť</w:t>
            </w:r>
            <w:r>
              <w:rPr>
                <w:sz w:val="16"/>
                <w:szCs w:val="16"/>
              </w:rPr>
              <w:t xml:space="preserve"> vo vzťahu k stredným školám a strediskám praktického vyučovania</w:t>
            </w:r>
            <w:r w:rsidRPr="00146AA7">
              <w:rPr>
                <w:sz w:val="16"/>
                <w:szCs w:val="16"/>
              </w:rPr>
              <w:t>)</w:t>
            </w:r>
          </w:p>
        </w:tc>
        <w:tc>
          <w:tcPr>
            <w:tcW w:w="1275" w:type="dxa"/>
            <w:tcBorders>
              <w:right w:val="single" w:sz="4" w:space="0" w:color="auto"/>
            </w:tcBorders>
            <w:shd w:val="clear" w:color="auto" w:fill="F2F2F2" w:themeFill="background1" w:themeFillShade="F2"/>
            <w:vAlign w:val="center"/>
          </w:tcPr>
          <w:p w:rsidR="00D861B9" w:rsidRPr="009766D2" w:rsidRDefault="00D861B9" w:rsidP="00D861B9">
            <w:pPr>
              <w:spacing w:before="120" w:after="60"/>
              <w:jc w:val="left"/>
              <w:rPr>
                <w:sz w:val="16"/>
                <w:szCs w:val="16"/>
              </w:rPr>
            </w:pPr>
            <w:r>
              <w:rPr>
                <w:sz w:val="16"/>
                <w:szCs w:val="16"/>
              </w:rPr>
              <w:t>7 A/ 8 V</w:t>
            </w:r>
          </w:p>
        </w:tc>
        <w:tc>
          <w:tcPr>
            <w:tcW w:w="1620" w:type="dxa"/>
            <w:tcBorders>
              <w:left w:val="single" w:sz="4" w:space="0" w:color="auto"/>
              <w:right w:val="single" w:sz="12" w:space="0" w:color="auto"/>
            </w:tcBorders>
            <w:shd w:val="clear" w:color="auto" w:fill="F2F2F2" w:themeFill="background1" w:themeFillShade="F2"/>
            <w:vAlign w:val="center"/>
          </w:tcPr>
          <w:p w:rsidR="00D861B9" w:rsidRPr="009766D2" w:rsidRDefault="00D861B9" w:rsidP="00D861B9">
            <w:pPr>
              <w:spacing w:before="120" w:after="60"/>
              <w:jc w:val="left"/>
              <w:rPr>
                <w:sz w:val="16"/>
                <w:szCs w:val="16"/>
              </w:rPr>
            </w:pPr>
            <w:r>
              <w:rPr>
                <w:sz w:val="16"/>
                <w:szCs w:val="16"/>
              </w:rPr>
              <w:t>3 A/ 7 V</w:t>
            </w:r>
          </w:p>
        </w:tc>
      </w:tr>
    </w:tbl>
    <w:p w:rsidR="00841DC0" w:rsidRPr="00841DC0" w:rsidRDefault="00841DC0" w:rsidP="00827CF2">
      <w:pPr>
        <w:keepNext/>
        <w:shd w:val="clear" w:color="auto" w:fill="F2F2F2" w:themeFill="background1" w:themeFillShade="F2"/>
        <w:spacing w:before="120" w:after="0" w:line="240" w:lineRule="auto"/>
        <w:ind w:firstLine="708"/>
        <w:jc w:val="both"/>
        <w:rPr>
          <w:rFonts w:cs="Times New Roman"/>
          <w:sz w:val="22"/>
        </w:rPr>
      </w:pPr>
      <w:r w:rsidRPr="00841DC0">
        <w:rPr>
          <w:rFonts w:cs="Times New Roman"/>
          <w:sz w:val="22"/>
        </w:rPr>
        <w:t xml:space="preserve">Pre účely získania relevantných údajov Ministerstvo školstva, vedy, výskumu a športu Slovenskej republiky (ďalej len „ministerstvo školstva“) oslovilo obvodné úrady (odbory školstva), samosprávne kraje, využili doteraz vypracované materiály (napr. správy o činnosti obcí a samosprávnych krajov v oblasti preneseného výkonu štátnej správy, výročné správy krajských školských úradov a samosprávnych krajov atď.).  </w:t>
      </w:r>
    </w:p>
    <w:p w:rsidR="00841DC0" w:rsidRPr="00841DC0" w:rsidRDefault="00841DC0" w:rsidP="00827CF2">
      <w:pPr>
        <w:keepNext/>
        <w:shd w:val="clear" w:color="auto" w:fill="F2F2F2" w:themeFill="background1" w:themeFillShade="F2"/>
        <w:tabs>
          <w:tab w:val="left" w:pos="1276"/>
        </w:tabs>
        <w:spacing w:before="120" w:after="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1.2.</w:t>
      </w:r>
      <w:r w:rsidRPr="00841DC0">
        <w:rPr>
          <w:rFonts w:eastAsia="Times New Roman" w:cs="Times New Roman"/>
          <w:sz w:val="22"/>
          <w:u w:val="single"/>
          <w:lang w:eastAsia="cs-CZ"/>
        </w:rPr>
        <w:tab/>
        <w:t>Kvantifikácia výkonu prenesených pôsobností</w:t>
      </w:r>
    </w:p>
    <w:p w:rsidR="00841DC0" w:rsidRPr="00841DC0" w:rsidRDefault="00841DC0" w:rsidP="00827CF2">
      <w:pPr>
        <w:shd w:val="clear" w:color="auto" w:fill="F2F2F2" w:themeFill="background1" w:themeFillShade="F2"/>
        <w:spacing w:before="120" w:after="0" w:line="240" w:lineRule="auto"/>
        <w:ind w:firstLine="709"/>
        <w:jc w:val="both"/>
        <w:rPr>
          <w:rFonts w:cs="Times New Roman"/>
          <w:sz w:val="22"/>
        </w:rPr>
      </w:pPr>
      <w:r w:rsidRPr="00841DC0">
        <w:rPr>
          <w:rFonts w:cs="Times New Roman"/>
          <w:sz w:val="22"/>
        </w:rPr>
        <w:t xml:space="preserve">Kvantifikáciu výkonov prenesených pôsobností nebolo možné z podkladov </w:t>
      </w:r>
      <w:r w:rsidR="00EF7A17">
        <w:rPr>
          <w:rFonts w:cs="Times New Roman"/>
          <w:sz w:val="22"/>
        </w:rPr>
        <w:t>m</w:t>
      </w:r>
      <w:r w:rsidRPr="00841DC0">
        <w:rPr>
          <w:rFonts w:cs="Times New Roman"/>
          <w:sz w:val="22"/>
        </w:rPr>
        <w:t xml:space="preserve">inisterstva školstva spracovať objektívne, pretože sumárne údaje v tabuľkách 1b-1 až 1b-4 uvádzali iba za úlohy, ktoré sú finančne saturované zo štátneho rozpočtu (pôsobnosť obce ako školského úradu), pričom obce vykonávajú  aj zriaďovateľskú pôsobnosť v rámci preneseného výkonu štátnej správy.  </w:t>
      </w:r>
    </w:p>
    <w:p w:rsidR="00841DC0" w:rsidRPr="00841DC0" w:rsidRDefault="00841DC0" w:rsidP="00827CF2">
      <w:pPr>
        <w:shd w:val="clear" w:color="auto" w:fill="F2F2F2" w:themeFill="background1" w:themeFillShade="F2"/>
        <w:spacing w:before="120" w:after="0" w:line="240" w:lineRule="auto"/>
        <w:ind w:firstLine="709"/>
        <w:jc w:val="both"/>
        <w:rPr>
          <w:rFonts w:cs="Times New Roman"/>
          <w:sz w:val="22"/>
        </w:rPr>
      </w:pPr>
      <w:r w:rsidRPr="00841DC0">
        <w:rPr>
          <w:rFonts w:cs="Times New Roman"/>
          <w:sz w:val="22"/>
        </w:rPr>
        <w:t xml:space="preserve">Z tabuliek vyplýva, že obce kategórie A, B  nespĺňajú kritériá byť školským úradom (musia mať celkovo najmenej 1000 žiakov), a preto využívajú možnosť združovať sa do spoločného obecného úradu (ďalej len „SOÚ“), ktorý im zabezpečuje úlohy preneseného výkonu štátnej správy. Preto uvádzajú aj nulový počet zamestnancov pri obciach kategórie A, v kategórii B síce uvádzajú 5 zamestnancov, ale nie je jasné, o akých zamestnancov ide, keďže obec túto agendu nevykonáva samostatne. Je možné len predpokladať, že uvedenú agendu vykonáva SOÚ a zamestnanci sú zamestnancami SOÚ. Pozoruhodné pri obciach v kategórii C je, že v tabuľkách je uvedený nulový počet obcí, ktoré plnia úlohy samostatne, oproti tomu uvádzajú najviac obcí združených v SOÚ (493), a pritom ide o obce s počtom obyvateľov od 1001 do 5000, kde je predpoklad, že budú spĺňať kritériá na zriadenie školského úradu. </w:t>
      </w:r>
    </w:p>
    <w:p w:rsidR="00841DC0" w:rsidRPr="00841DC0" w:rsidRDefault="00841DC0" w:rsidP="00827CF2">
      <w:pPr>
        <w:shd w:val="clear" w:color="auto" w:fill="F2F2F2" w:themeFill="background1" w:themeFillShade="F2"/>
        <w:spacing w:before="120" w:after="0" w:line="240" w:lineRule="auto"/>
        <w:ind w:firstLine="709"/>
        <w:jc w:val="both"/>
        <w:rPr>
          <w:rFonts w:cs="Times New Roman"/>
          <w:sz w:val="22"/>
        </w:rPr>
      </w:pPr>
      <w:r w:rsidRPr="00841DC0">
        <w:rPr>
          <w:rFonts w:cs="Times New Roman"/>
          <w:sz w:val="22"/>
        </w:rPr>
        <w:t>Je potrebné skonštatovať, že postupný nárast úkonov orgánov územnej samosprávy napr. počet rozhodnutí v správnom konaní stúpol zo 4 704 v roku 2005 na 5 538 v roku 2011. Obdobne to bolo v počte odvolaní (z 32 stúpol na 49) a taktiež pri počte iných úkonov (z 29 087 stúpli na 31 343). Z uvedeného vyplýva, že postupne rástli nároky na poskytovanie určitých služieb v oblasti školstva na zriaďovateľov základných škôl, čo sa odrazilo aj v náraste finančných prostriedkov na zabezpečenie preneseného výkonu štátnej správy obcami. Pri hodnotení údajov získaných od obcí k uvedenej problematike  ministerstvo školstva zistilo, že sú rozdielne oproti údajom, ktorými disponuje ministerstvo školstva a ktoré považujú za relevantné, nakoľko sa viažu na určovanie a následné čerpanie finančných prostriedkov kvantifikovaných na základe ex</w:t>
      </w:r>
      <w:r w:rsidR="00E82B5C">
        <w:rPr>
          <w:rFonts w:cs="Times New Roman"/>
          <w:sz w:val="22"/>
        </w:rPr>
        <w:t>istujúcich všeobecne záväzných</w:t>
      </w:r>
      <w:r w:rsidRPr="00841DC0">
        <w:rPr>
          <w:rFonts w:cs="Times New Roman"/>
          <w:sz w:val="22"/>
        </w:rPr>
        <w:t xml:space="preserve"> právnych predpisov (zákon, smernice).    </w:t>
      </w:r>
    </w:p>
    <w:p w:rsidR="00841DC0" w:rsidRPr="00841DC0" w:rsidRDefault="00841DC0" w:rsidP="00827CF2">
      <w:pPr>
        <w:shd w:val="clear" w:color="auto" w:fill="F2F2F2" w:themeFill="background1" w:themeFillShade="F2"/>
        <w:spacing w:before="120" w:after="0" w:line="240" w:lineRule="auto"/>
        <w:ind w:firstLine="709"/>
        <w:jc w:val="both"/>
        <w:rPr>
          <w:rFonts w:cs="Times New Roman"/>
          <w:sz w:val="22"/>
        </w:rPr>
      </w:pPr>
      <w:r w:rsidRPr="00841DC0">
        <w:rPr>
          <w:rFonts w:cs="Times New Roman"/>
          <w:sz w:val="22"/>
        </w:rPr>
        <w:t>Pre kvantifikáciu preneseného výkonu štátnej správy na samosprávne kraje na úseku školstva ministerstvo školstva poskytlo opäť sumárne údaje iba za úlohy, ktoré sú finančne saturované zo štátneho rozpočtu (úlohy školského úradu). Môžeme len konštatovať, že v porovnaní s rokom 2005 počet rozhodnutí v správnom konaní mal oproti obciam klesajúcu tendenciu (klesol viac ako dvojnásobne), rovnako ako aj počet odvolaní voči rozhodnuti</w:t>
      </w:r>
      <w:r w:rsidR="00EF7A17">
        <w:rPr>
          <w:rFonts w:cs="Times New Roman"/>
          <w:sz w:val="22"/>
        </w:rPr>
        <w:t>am</w:t>
      </w:r>
      <w:r w:rsidRPr="00841DC0">
        <w:rPr>
          <w:rFonts w:cs="Times New Roman"/>
          <w:sz w:val="22"/>
        </w:rPr>
        <w:t xml:space="preserve"> v správnom konaní (zo 430 kleslo na 31). Ale oproti tomu stúpol počet iných úkonov (zo 14 475 na 16 192). </w:t>
      </w:r>
    </w:p>
    <w:p w:rsidR="00841DC0" w:rsidRPr="00841DC0" w:rsidRDefault="00841DC0" w:rsidP="00827CF2">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841DC0">
        <w:rPr>
          <w:rFonts w:eastAsia="Times New Roman" w:cs="Times New Roman"/>
          <w:sz w:val="22"/>
          <w:u w:val="single"/>
          <w:lang w:eastAsia="cs-CZ"/>
        </w:rPr>
        <w:t>1.3.</w:t>
      </w:r>
      <w:r w:rsidRPr="00841DC0">
        <w:rPr>
          <w:rFonts w:eastAsia="Times New Roman" w:cs="Times New Roman"/>
          <w:sz w:val="22"/>
          <w:u w:val="single"/>
          <w:lang w:eastAsia="cs-CZ"/>
        </w:rPr>
        <w:tab/>
        <w:t>Zhodnotenie kvality výkonu prenesených pôsobností</w:t>
      </w:r>
    </w:p>
    <w:p w:rsidR="00841DC0" w:rsidRPr="00841DC0" w:rsidRDefault="00841DC0" w:rsidP="00827CF2">
      <w:pPr>
        <w:shd w:val="clear" w:color="auto" w:fill="F2F2F2" w:themeFill="background1" w:themeFillShade="F2"/>
        <w:spacing w:before="120" w:after="0" w:line="240" w:lineRule="auto"/>
        <w:ind w:firstLine="709"/>
        <w:jc w:val="both"/>
        <w:rPr>
          <w:rFonts w:cs="Times New Roman"/>
          <w:sz w:val="22"/>
        </w:rPr>
      </w:pPr>
      <w:r w:rsidRPr="00841DC0">
        <w:rPr>
          <w:rFonts w:cs="Times New Roman"/>
          <w:sz w:val="22"/>
        </w:rPr>
        <w:t xml:space="preserve">Pri hodnotení výkonu prenesených pôsobností na obce na úseku školstva si ministerstvo školstva </w:t>
      </w:r>
      <w:r w:rsidR="00EF7A17">
        <w:rPr>
          <w:rFonts w:cs="Times New Roman"/>
          <w:sz w:val="22"/>
        </w:rPr>
        <w:t xml:space="preserve">niekoľko </w:t>
      </w:r>
      <w:r w:rsidRPr="00841DC0">
        <w:rPr>
          <w:rFonts w:cs="Times New Roman"/>
          <w:sz w:val="22"/>
        </w:rPr>
        <w:t xml:space="preserve">krát vo svojich konštatáciách odporovalo. Súčasné zabezpečovanie úloh preneseného výkonu štátnej správy na úseku školstva prostredníctvom školských úradov  hodnotí </w:t>
      </w:r>
      <w:r w:rsidRPr="00841DC0">
        <w:rPr>
          <w:rFonts w:cs="Times New Roman"/>
          <w:sz w:val="22"/>
        </w:rPr>
        <w:lastRenderedPageBreak/>
        <w:t>ministerstvo školstva v textovej časti ako uspokojivé, v tabuľke č. 1c však uvádza kvalitné plnenie a vykazuje účinnosť. Ďalej v tabuľke č. 1c navrhuje zrušenie školských úradov zriaďovanými obcami, ale v textovej časti zastáva názor, že pre bezproblémový chod základných škôl sú potrebné a ich činnosť by mala rovnomerne pokryť celé územie Slovenska, čo chcú docieliť zriadením tzv. spádových obcí zo zákona, ktoré by svojou odbornou činnosťou systémovo zabezpečovali aj tento úsek preneseného výkonu štátnej správy.  Oproti tomu  nekvalitné plnenie uvádza pri zabezpečovaní úloh obcami pri zriaďovateľskej pôsobnosti, ale ďalej tomu nevenuje pozornosť a neuvádza ani žiadny návrh opatrení na riešenie danej situácie.</w:t>
      </w:r>
    </w:p>
    <w:p w:rsidR="00841DC0" w:rsidRPr="00841DC0" w:rsidRDefault="00841DC0" w:rsidP="00827CF2">
      <w:pPr>
        <w:shd w:val="clear" w:color="auto" w:fill="F2F2F2" w:themeFill="background1" w:themeFillShade="F2"/>
        <w:spacing w:before="120" w:after="0" w:line="240" w:lineRule="auto"/>
        <w:ind w:firstLine="709"/>
        <w:jc w:val="both"/>
        <w:rPr>
          <w:rFonts w:cs="Times New Roman"/>
          <w:sz w:val="22"/>
        </w:rPr>
      </w:pPr>
      <w:r w:rsidRPr="00841DC0">
        <w:rPr>
          <w:rFonts w:cs="Times New Roman"/>
          <w:sz w:val="22"/>
        </w:rPr>
        <w:t>Pri hodnotení kvality preneseného výkonu štátnej správy na úseku školstva na samosprávne kraje ministerstvo školstva uvádza kvalitné plnenie, napriek tomu, že boli zistené niektoré nedostatky. Pri menovaní a odvolávaní riaditeľov škôl a školských zariadení sa nedôsledne (najmä v roku 2005) dodržiavali právne predpisy (napr. spĺňanie kvalifikačných požiadaviek stanovených právnymi predpismi, menovanie uskutočniť výlučne na návrh rady školy). Často nebola rešpektovaná autonómia školy a riaditeľov škôl. Úroveň materiálno-technického vybavenia škôl znižovalo zabezpečenie učebnicami. Najmä v odborných predmetoch sa často využívali zastarané, zvyčajne ani novo vydané neboli inovované, mnohé sa v ponuke učebníc vôbec nenachádzali. K najvýraznejším negatívnym zisteniam patrilo neprimerane nízke využívanie informačných a komunikačných technológii na teoretickom vyučovaní. Podmienky výchovy a vzdelávania v školách boli hodnotené na priemernej úrovni.</w:t>
      </w:r>
    </w:p>
    <w:p w:rsidR="00841DC0" w:rsidRPr="00841DC0" w:rsidRDefault="00841DC0" w:rsidP="00827CF2">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1.4.</w:t>
      </w:r>
      <w:r w:rsidRPr="00841DC0">
        <w:rPr>
          <w:rFonts w:eastAsia="Times New Roman" w:cs="Times New Roman"/>
          <w:sz w:val="22"/>
          <w:u w:val="single"/>
          <w:lang w:eastAsia="cs-CZ"/>
        </w:rPr>
        <w:tab/>
        <w:t>Financovanie výkonu prenesených pôsobností</w:t>
      </w:r>
    </w:p>
    <w:p w:rsidR="00270D36" w:rsidRPr="00841DC0" w:rsidRDefault="00270D36" w:rsidP="00270D36">
      <w:pPr>
        <w:shd w:val="clear" w:color="auto" w:fill="F2F2F2" w:themeFill="background1" w:themeFillShade="F2"/>
        <w:spacing w:before="120" w:after="0" w:line="240" w:lineRule="auto"/>
        <w:ind w:firstLine="709"/>
        <w:jc w:val="both"/>
        <w:rPr>
          <w:rFonts w:cs="Times New Roman"/>
          <w:sz w:val="22"/>
        </w:rPr>
      </w:pPr>
      <w:r>
        <w:rPr>
          <w:rFonts w:cs="Times New Roman"/>
          <w:sz w:val="22"/>
        </w:rPr>
        <w:t xml:space="preserve">Hodnotenie financovania preneseného výkonu štátnej správy na úseku školstva ministerstvo školstva vykonalo iba za školské úrady. Údaje boli uvádzané za roky 2005 a 2011, nakoľko v roku 2001školské úrady neboli zriadené,  a preto údaje nebolo možné uviesť.  </w:t>
      </w:r>
    </w:p>
    <w:p w:rsidR="00D467A7" w:rsidRPr="00962FE9" w:rsidRDefault="00D467A7" w:rsidP="00310690">
      <w:pPr>
        <w:shd w:val="clear" w:color="auto" w:fill="F2F2F2" w:themeFill="background1" w:themeFillShade="F2"/>
        <w:spacing w:before="120" w:after="120" w:line="240" w:lineRule="auto"/>
        <w:ind w:firstLine="709"/>
        <w:jc w:val="both"/>
        <w:rPr>
          <w:rFonts w:cs="Times New Roman"/>
        </w:rPr>
      </w:pPr>
      <w:r w:rsidRPr="00962FE9">
        <w:rPr>
          <w:rFonts w:cs="Times New Roman"/>
        </w:rPr>
        <w:t>Financovanie výkonu prenesených pôsobností:</w:t>
      </w:r>
    </w:p>
    <w:tbl>
      <w:tblPr>
        <w:tblStyle w:val="Mriekatabuky"/>
        <w:tblW w:w="9180" w:type="dxa"/>
        <w:tblLayout w:type="fixed"/>
        <w:tblLook w:val="04A0" w:firstRow="1" w:lastRow="0" w:firstColumn="1" w:lastColumn="0" w:noHBand="0" w:noVBand="1"/>
      </w:tblPr>
      <w:tblGrid>
        <w:gridCol w:w="1384"/>
        <w:gridCol w:w="1276"/>
        <w:gridCol w:w="1276"/>
        <w:gridCol w:w="850"/>
        <w:gridCol w:w="851"/>
        <w:gridCol w:w="992"/>
        <w:gridCol w:w="992"/>
        <w:gridCol w:w="851"/>
        <w:gridCol w:w="708"/>
      </w:tblGrid>
      <w:tr w:rsidR="00D467A7" w:rsidRPr="00962FE9" w:rsidTr="00D467A7">
        <w:trPr>
          <w:trHeight w:val="410"/>
        </w:trPr>
        <w:tc>
          <w:tcPr>
            <w:tcW w:w="1384" w:type="dxa"/>
            <w:vMerge w:val="restart"/>
            <w:shd w:val="clear" w:color="auto" w:fill="auto"/>
            <w:vAlign w:val="center"/>
          </w:tcPr>
          <w:p w:rsidR="00D467A7" w:rsidRPr="00962FE9" w:rsidRDefault="00D467A7" w:rsidP="00310690">
            <w:pPr>
              <w:shd w:val="clear" w:color="auto" w:fill="F2F2F2" w:themeFill="background1" w:themeFillShade="F2"/>
              <w:jc w:val="center"/>
              <w:rPr>
                <w:b/>
                <w:sz w:val="18"/>
                <w:szCs w:val="18"/>
              </w:rPr>
            </w:pPr>
            <w:r w:rsidRPr="00962FE9">
              <w:rPr>
                <w:b/>
                <w:sz w:val="18"/>
                <w:szCs w:val="18"/>
              </w:rPr>
              <w:t>Zriaďovateľ</w:t>
            </w:r>
          </w:p>
        </w:tc>
        <w:tc>
          <w:tcPr>
            <w:tcW w:w="2552" w:type="dxa"/>
            <w:gridSpan w:val="2"/>
            <w:shd w:val="clear" w:color="auto" w:fill="auto"/>
            <w:vAlign w:val="center"/>
          </w:tcPr>
          <w:p w:rsidR="00D467A7" w:rsidRPr="00962FE9" w:rsidRDefault="00D467A7" w:rsidP="00310690">
            <w:pPr>
              <w:shd w:val="clear" w:color="auto" w:fill="F2F2F2" w:themeFill="background1" w:themeFillShade="F2"/>
              <w:spacing w:before="120"/>
              <w:jc w:val="center"/>
              <w:rPr>
                <w:b/>
                <w:sz w:val="18"/>
                <w:szCs w:val="18"/>
              </w:rPr>
            </w:pPr>
            <w:r w:rsidRPr="00962FE9">
              <w:rPr>
                <w:b/>
                <w:sz w:val="18"/>
                <w:szCs w:val="18"/>
              </w:rPr>
              <w:t>Územná pôsobnosť</w:t>
            </w:r>
          </w:p>
        </w:tc>
        <w:tc>
          <w:tcPr>
            <w:tcW w:w="1701" w:type="dxa"/>
            <w:gridSpan w:val="2"/>
            <w:shd w:val="clear" w:color="auto" w:fill="auto"/>
            <w:vAlign w:val="center"/>
          </w:tcPr>
          <w:p w:rsidR="00D467A7" w:rsidRPr="00962FE9" w:rsidRDefault="00D467A7" w:rsidP="00310690">
            <w:pPr>
              <w:shd w:val="clear" w:color="auto" w:fill="F2F2F2" w:themeFill="background1" w:themeFillShade="F2"/>
              <w:spacing w:before="120"/>
              <w:jc w:val="center"/>
              <w:rPr>
                <w:b/>
                <w:sz w:val="18"/>
                <w:szCs w:val="18"/>
              </w:rPr>
            </w:pPr>
            <w:r w:rsidRPr="00962FE9">
              <w:rPr>
                <w:b/>
                <w:sz w:val="18"/>
                <w:szCs w:val="18"/>
              </w:rPr>
              <w:t>Počet zamestnancov</w:t>
            </w:r>
          </w:p>
        </w:tc>
        <w:tc>
          <w:tcPr>
            <w:tcW w:w="1984" w:type="dxa"/>
            <w:gridSpan w:val="2"/>
            <w:shd w:val="clear" w:color="auto" w:fill="auto"/>
            <w:vAlign w:val="center"/>
          </w:tcPr>
          <w:p w:rsidR="00D467A7" w:rsidRPr="00962FE9" w:rsidRDefault="00D467A7" w:rsidP="00310690">
            <w:pPr>
              <w:shd w:val="clear" w:color="auto" w:fill="F2F2F2" w:themeFill="background1" w:themeFillShade="F2"/>
              <w:spacing w:before="120"/>
              <w:jc w:val="center"/>
              <w:rPr>
                <w:b/>
                <w:sz w:val="18"/>
                <w:szCs w:val="18"/>
              </w:rPr>
            </w:pPr>
            <w:r w:rsidRPr="00962FE9">
              <w:rPr>
                <w:b/>
                <w:sz w:val="18"/>
                <w:szCs w:val="18"/>
              </w:rPr>
              <w:t>Celkové finančné náklady (v EUR) zo štátneho rozpočtu</w:t>
            </w:r>
          </w:p>
        </w:tc>
        <w:tc>
          <w:tcPr>
            <w:tcW w:w="1559" w:type="dxa"/>
            <w:gridSpan w:val="2"/>
            <w:shd w:val="clear" w:color="auto" w:fill="auto"/>
          </w:tcPr>
          <w:p w:rsidR="00D467A7" w:rsidRPr="00962FE9" w:rsidRDefault="00D467A7" w:rsidP="00310690">
            <w:pPr>
              <w:shd w:val="clear" w:color="auto" w:fill="F2F2F2" w:themeFill="background1" w:themeFillShade="F2"/>
              <w:spacing w:before="120"/>
              <w:jc w:val="center"/>
              <w:rPr>
                <w:b/>
                <w:sz w:val="18"/>
                <w:szCs w:val="18"/>
              </w:rPr>
            </w:pPr>
            <w:r w:rsidRPr="00962FE9">
              <w:rPr>
                <w:b/>
                <w:sz w:val="18"/>
                <w:szCs w:val="18"/>
              </w:rPr>
              <w:t xml:space="preserve">Priemerné náklady </w:t>
            </w:r>
            <w:r>
              <w:rPr>
                <w:b/>
                <w:sz w:val="18"/>
                <w:szCs w:val="18"/>
              </w:rPr>
              <w:t xml:space="preserve">         </w:t>
            </w:r>
            <w:r w:rsidRPr="00962FE9">
              <w:rPr>
                <w:b/>
                <w:sz w:val="18"/>
                <w:szCs w:val="18"/>
              </w:rPr>
              <w:t xml:space="preserve">   (v EUR) na </w:t>
            </w:r>
            <w:r>
              <w:rPr>
                <w:b/>
                <w:sz w:val="18"/>
                <w:szCs w:val="18"/>
              </w:rPr>
              <w:t xml:space="preserve">         </w:t>
            </w:r>
            <w:r w:rsidRPr="00962FE9">
              <w:rPr>
                <w:b/>
                <w:sz w:val="18"/>
                <w:szCs w:val="18"/>
              </w:rPr>
              <w:t xml:space="preserve">1 zamestnanca za </w:t>
            </w:r>
            <w:r>
              <w:rPr>
                <w:b/>
                <w:sz w:val="18"/>
                <w:szCs w:val="18"/>
              </w:rPr>
              <w:t xml:space="preserve"> </w:t>
            </w:r>
            <w:r w:rsidRPr="00962FE9">
              <w:rPr>
                <w:b/>
                <w:sz w:val="18"/>
                <w:szCs w:val="18"/>
              </w:rPr>
              <w:t>1 mes.</w:t>
            </w:r>
          </w:p>
        </w:tc>
      </w:tr>
      <w:tr w:rsidR="00D467A7" w:rsidRPr="00962FE9" w:rsidTr="00D467A7">
        <w:trPr>
          <w:trHeight w:val="410"/>
        </w:trPr>
        <w:tc>
          <w:tcPr>
            <w:tcW w:w="1384" w:type="dxa"/>
            <w:vMerge/>
            <w:shd w:val="clear" w:color="auto" w:fill="auto"/>
          </w:tcPr>
          <w:p w:rsidR="00D467A7" w:rsidRPr="00962FE9" w:rsidRDefault="00D467A7" w:rsidP="00310690">
            <w:pPr>
              <w:shd w:val="clear" w:color="auto" w:fill="F2F2F2" w:themeFill="background1" w:themeFillShade="F2"/>
              <w:spacing w:before="120"/>
              <w:jc w:val="center"/>
              <w:rPr>
                <w:b/>
                <w:sz w:val="18"/>
                <w:szCs w:val="18"/>
              </w:rPr>
            </w:pPr>
          </w:p>
        </w:tc>
        <w:tc>
          <w:tcPr>
            <w:tcW w:w="1276" w:type="dxa"/>
            <w:shd w:val="clear" w:color="auto" w:fill="auto"/>
          </w:tcPr>
          <w:p w:rsidR="00D467A7" w:rsidRDefault="00D467A7" w:rsidP="00310690">
            <w:pPr>
              <w:shd w:val="clear" w:color="auto" w:fill="F2F2F2" w:themeFill="background1" w:themeFillShade="F2"/>
              <w:spacing w:before="120"/>
              <w:jc w:val="center"/>
              <w:rPr>
                <w:b/>
                <w:sz w:val="18"/>
                <w:szCs w:val="18"/>
              </w:rPr>
            </w:pPr>
            <w:r w:rsidRPr="00962FE9">
              <w:rPr>
                <w:b/>
                <w:sz w:val="18"/>
                <w:szCs w:val="18"/>
              </w:rPr>
              <w:t xml:space="preserve">rok </w:t>
            </w:r>
          </w:p>
          <w:p w:rsidR="00D467A7" w:rsidRPr="00962FE9" w:rsidRDefault="00D467A7" w:rsidP="00310690">
            <w:pPr>
              <w:shd w:val="clear" w:color="auto" w:fill="F2F2F2" w:themeFill="background1" w:themeFillShade="F2"/>
              <w:jc w:val="center"/>
              <w:rPr>
                <w:b/>
                <w:sz w:val="18"/>
                <w:szCs w:val="18"/>
              </w:rPr>
            </w:pPr>
            <w:r w:rsidRPr="00962FE9">
              <w:rPr>
                <w:b/>
                <w:sz w:val="18"/>
                <w:szCs w:val="18"/>
              </w:rPr>
              <w:t>2005</w:t>
            </w:r>
          </w:p>
        </w:tc>
        <w:tc>
          <w:tcPr>
            <w:tcW w:w="1276" w:type="dxa"/>
            <w:shd w:val="clear" w:color="auto" w:fill="auto"/>
          </w:tcPr>
          <w:p w:rsidR="00D467A7" w:rsidRDefault="00D467A7" w:rsidP="00310690">
            <w:pPr>
              <w:shd w:val="clear" w:color="auto" w:fill="F2F2F2" w:themeFill="background1" w:themeFillShade="F2"/>
              <w:spacing w:before="120"/>
              <w:jc w:val="center"/>
              <w:rPr>
                <w:b/>
                <w:sz w:val="18"/>
                <w:szCs w:val="18"/>
              </w:rPr>
            </w:pPr>
            <w:r w:rsidRPr="00962FE9">
              <w:rPr>
                <w:b/>
                <w:sz w:val="18"/>
                <w:szCs w:val="18"/>
              </w:rPr>
              <w:t xml:space="preserve">rok </w:t>
            </w:r>
          </w:p>
          <w:p w:rsidR="00D467A7" w:rsidRPr="00962FE9" w:rsidRDefault="00D467A7" w:rsidP="00310690">
            <w:pPr>
              <w:shd w:val="clear" w:color="auto" w:fill="F2F2F2" w:themeFill="background1" w:themeFillShade="F2"/>
              <w:jc w:val="center"/>
              <w:rPr>
                <w:b/>
                <w:sz w:val="18"/>
                <w:szCs w:val="18"/>
              </w:rPr>
            </w:pPr>
            <w:r w:rsidRPr="00962FE9">
              <w:rPr>
                <w:b/>
                <w:sz w:val="18"/>
                <w:szCs w:val="18"/>
              </w:rPr>
              <w:t>2011</w:t>
            </w:r>
          </w:p>
        </w:tc>
        <w:tc>
          <w:tcPr>
            <w:tcW w:w="850" w:type="dxa"/>
            <w:shd w:val="clear" w:color="auto" w:fill="auto"/>
          </w:tcPr>
          <w:p w:rsidR="00D467A7" w:rsidRPr="00962FE9" w:rsidRDefault="00D467A7" w:rsidP="00310690">
            <w:pPr>
              <w:shd w:val="clear" w:color="auto" w:fill="F2F2F2" w:themeFill="background1" w:themeFillShade="F2"/>
              <w:spacing w:before="120"/>
              <w:jc w:val="center"/>
              <w:rPr>
                <w:b/>
                <w:sz w:val="18"/>
                <w:szCs w:val="18"/>
              </w:rPr>
            </w:pPr>
            <w:r w:rsidRPr="00962FE9">
              <w:rPr>
                <w:b/>
                <w:sz w:val="18"/>
                <w:szCs w:val="18"/>
              </w:rPr>
              <w:t>rok 2005</w:t>
            </w:r>
          </w:p>
        </w:tc>
        <w:tc>
          <w:tcPr>
            <w:tcW w:w="851" w:type="dxa"/>
            <w:shd w:val="clear" w:color="auto" w:fill="auto"/>
          </w:tcPr>
          <w:p w:rsidR="00D467A7" w:rsidRPr="00962FE9" w:rsidRDefault="00D467A7" w:rsidP="00310690">
            <w:pPr>
              <w:shd w:val="clear" w:color="auto" w:fill="F2F2F2" w:themeFill="background1" w:themeFillShade="F2"/>
              <w:spacing w:before="120"/>
              <w:jc w:val="center"/>
              <w:rPr>
                <w:b/>
                <w:sz w:val="18"/>
                <w:szCs w:val="18"/>
              </w:rPr>
            </w:pPr>
            <w:r w:rsidRPr="00962FE9">
              <w:rPr>
                <w:b/>
                <w:sz w:val="18"/>
                <w:szCs w:val="18"/>
              </w:rPr>
              <w:t>rok 2011</w:t>
            </w:r>
          </w:p>
        </w:tc>
        <w:tc>
          <w:tcPr>
            <w:tcW w:w="992" w:type="dxa"/>
            <w:shd w:val="clear" w:color="auto" w:fill="auto"/>
          </w:tcPr>
          <w:p w:rsidR="00D467A7" w:rsidRDefault="00D467A7" w:rsidP="00310690">
            <w:pPr>
              <w:shd w:val="clear" w:color="auto" w:fill="F2F2F2" w:themeFill="background1" w:themeFillShade="F2"/>
              <w:spacing w:before="120"/>
              <w:jc w:val="center"/>
              <w:rPr>
                <w:b/>
                <w:sz w:val="18"/>
                <w:szCs w:val="18"/>
              </w:rPr>
            </w:pPr>
            <w:r w:rsidRPr="00962FE9">
              <w:rPr>
                <w:b/>
                <w:sz w:val="18"/>
                <w:szCs w:val="18"/>
              </w:rPr>
              <w:t>rok</w:t>
            </w:r>
          </w:p>
          <w:p w:rsidR="00D467A7" w:rsidRPr="00962FE9" w:rsidRDefault="00D467A7" w:rsidP="00310690">
            <w:pPr>
              <w:shd w:val="clear" w:color="auto" w:fill="F2F2F2" w:themeFill="background1" w:themeFillShade="F2"/>
              <w:jc w:val="center"/>
              <w:rPr>
                <w:b/>
                <w:sz w:val="18"/>
                <w:szCs w:val="18"/>
              </w:rPr>
            </w:pPr>
            <w:r w:rsidRPr="00962FE9">
              <w:rPr>
                <w:b/>
                <w:sz w:val="18"/>
                <w:szCs w:val="18"/>
              </w:rPr>
              <w:t xml:space="preserve"> 2005</w:t>
            </w:r>
          </w:p>
        </w:tc>
        <w:tc>
          <w:tcPr>
            <w:tcW w:w="992" w:type="dxa"/>
            <w:shd w:val="clear" w:color="auto" w:fill="auto"/>
          </w:tcPr>
          <w:p w:rsidR="00D467A7" w:rsidRDefault="00D467A7" w:rsidP="00310690">
            <w:pPr>
              <w:shd w:val="clear" w:color="auto" w:fill="F2F2F2" w:themeFill="background1" w:themeFillShade="F2"/>
              <w:spacing w:before="120"/>
              <w:jc w:val="center"/>
              <w:rPr>
                <w:b/>
                <w:sz w:val="18"/>
                <w:szCs w:val="18"/>
              </w:rPr>
            </w:pPr>
            <w:r w:rsidRPr="00962FE9">
              <w:rPr>
                <w:b/>
                <w:sz w:val="18"/>
                <w:szCs w:val="18"/>
              </w:rPr>
              <w:t xml:space="preserve">rok </w:t>
            </w:r>
          </w:p>
          <w:p w:rsidR="00D467A7" w:rsidRPr="00962FE9" w:rsidRDefault="00D467A7" w:rsidP="00310690">
            <w:pPr>
              <w:shd w:val="clear" w:color="auto" w:fill="F2F2F2" w:themeFill="background1" w:themeFillShade="F2"/>
              <w:jc w:val="center"/>
              <w:rPr>
                <w:b/>
                <w:sz w:val="18"/>
                <w:szCs w:val="18"/>
              </w:rPr>
            </w:pPr>
            <w:r w:rsidRPr="00962FE9">
              <w:rPr>
                <w:b/>
                <w:sz w:val="18"/>
                <w:szCs w:val="18"/>
              </w:rPr>
              <w:t>2011</w:t>
            </w:r>
          </w:p>
        </w:tc>
        <w:tc>
          <w:tcPr>
            <w:tcW w:w="851" w:type="dxa"/>
            <w:shd w:val="clear" w:color="auto" w:fill="auto"/>
          </w:tcPr>
          <w:p w:rsidR="00D467A7" w:rsidRPr="00962FE9" w:rsidRDefault="00D467A7" w:rsidP="00310690">
            <w:pPr>
              <w:shd w:val="clear" w:color="auto" w:fill="F2F2F2" w:themeFill="background1" w:themeFillShade="F2"/>
              <w:spacing w:before="120"/>
              <w:jc w:val="center"/>
              <w:rPr>
                <w:b/>
                <w:sz w:val="18"/>
                <w:szCs w:val="18"/>
              </w:rPr>
            </w:pPr>
            <w:r w:rsidRPr="00962FE9">
              <w:rPr>
                <w:b/>
                <w:sz w:val="18"/>
                <w:szCs w:val="18"/>
              </w:rPr>
              <w:t>rok 2005</w:t>
            </w:r>
          </w:p>
        </w:tc>
        <w:tc>
          <w:tcPr>
            <w:tcW w:w="708" w:type="dxa"/>
            <w:shd w:val="clear" w:color="auto" w:fill="auto"/>
          </w:tcPr>
          <w:p w:rsidR="00D467A7" w:rsidRPr="00962FE9" w:rsidRDefault="00D467A7" w:rsidP="00310690">
            <w:pPr>
              <w:shd w:val="clear" w:color="auto" w:fill="F2F2F2" w:themeFill="background1" w:themeFillShade="F2"/>
              <w:spacing w:before="120"/>
              <w:jc w:val="center"/>
              <w:rPr>
                <w:b/>
                <w:sz w:val="18"/>
                <w:szCs w:val="18"/>
              </w:rPr>
            </w:pPr>
            <w:r w:rsidRPr="00962FE9">
              <w:rPr>
                <w:b/>
                <w:sz w:val="18"/>
                <w:szCs w:val="18"/>
              </w:rPr>
              <w:t>rok 2011</w:t>
            </w:r>
          </w:p>
        </w:tc>
      </w:tr>
      <w:tr w:rsidR="00D467A7" w:rsidRPr="00962FE9" w:rsidTr="00D467A7">
        <w:trPr>
          <w:trHeight w:val="119"/>
        </w:trPr>
        <w:tc>
          <w:tcPr>
            <w:tcW w:w="1384" w:type="dxa"/>
            <w:shd w:val="clear" w:color="auto" w:fill="auto"/>
          </w:tcPr>
          <w:p w:rsidR="00D467A7" w:rsidRPr="00962FE9" w:rsidRDefault="00D467A7" w:rsidP="00310690">
            <w:pPr>
              <w:shd w:val="clear" w:color="auto" w:fill="F2F2F2" w:themeFill="background1" w:themeFillShade="F2"/>
              <w:jc w:val="center"/>
              <w:rPr>
                <w:b/>
                <w:sz w:val="18"/>
                <w:szCs w:val="18"/>
              </w:rPr>
            </w:pPr>
            <w:r w:rsidRPr="00962FE9">
              <w:rPr>
                <w:b/>
                <w:sz w:val="18"/>
                <w:szCs w:val="18"/>
              </w:rPr>
              <w:t>Krajské školské úrady</w:t>
            </w:r>
          </w:p>
        </w:tc>
        <w:tc>
          <w:tcPr>
            <w:tcW w:w="1276" w:type="dxa"/>
            <w:shd w:val="clear" w:color="auto" w:fill="auto"/>
          </w:tcPr>
          <w:p w:rsidR="00D467A7" w:rsidRPr="00962FE9" w:rsidRDefault="00D467A7" w:rsidP="00310690">
            <w:pPr>
              <w:shd w:val="clear" w:color="auto" w:fill="F2F2F2" w:themeFill="background1" w:themeFillShade="F2"/>
              <w:jc w:val="center"/>
              <w:rPr>
                <w:sz w:val="18"/>
                <w:szCs w:val="18"/>
              </w:rPr>
            </w:pPr>
            <w:r w:rsidRPr="00962FE9">
              <w:rPr>
                <w:sz w:val="18"/>
                <w:szCs w:val="18"/>
              </w:rPr>
              <w:t>Územie SR a 728 obcí nezaradených do ŠÚ</w:t>
            </w:r>
          </w:p>
        </w:tc>
        <w:tc>
          <w:tcPr>
            <w:tcW w:w="1276" w:type="dxa"/>
            <w:shd w:val="clear" w:color="auto" w:fill="auto"/>
          </w:tcPr>
          <w:p w:rsidR="00D467A7" w:rsidRPr="00962FE9" w:rsidRDefault="00D467A7" w:rsidP="00310690">
            <w:pPr>
              <w:shd w:val="clear" w:color="auto" w:fill="F2F2F2" w:themeFill="background1" w:themeFillShade="F2"/>
              <w:jc w:val="center"/>
              <w:rPr>
                <w:sz w:val="18"/>
                <w:szCs w:val="18"/>
              </w:rPr>
            </w:pPr>
            <w:r w:rsidRPr="00962FE9">
              <w:rPr>
                <w:sz w:val="18"/>
                <w:szCs w:val="18"/>
              </w:rPr>
              <w:t>Územie SR (</w:t>
            </w:r>
            <w:proofErr w:type="spellStart"/>
            <w:r w:rsidRPr="00962FE9">
              <w:rPr>
                <w:sz w:val="18"/>
                <w:szCs w:val="18"/>
              </w:rPr>
              <w:t>špec</w:t>
            </w:r>
            <w:proofErr w:type="spellEnd"/>
            <w:r w:rsidRPr="00962FE9">
              <w:rPr>
                <w:sz w:val="18"/>
                <w:szCs w:val="18"/>
              </w:rPr>
              <w:t>. školy) a</w:t>
            </w:r>
            <w:r>
              <w:rPr>
                <w:sz w:val="18"/>
                <w:szCs w:val="18"/>
              </w:rPr>
              <w:t> </w:t>
            </w:r>
            <w:r w:rsidRPr="00962FE9">
              <w:rPr>
                <w:sz w:val="18"/>
                <w:szCs w:val="18"/>
              </w:rPr>
              <w:t>526</w:t>
            </w:r>
            <w:r>
              <w:rPr>
                <w:sz w:val="18"/>
                <w:szCs w:val="18"/>
              </w:rPr>
              <w:t xml:space="preserve"> </w:t>
            </w:r>
            <w:r w:rsidRPr="00962FE9">
              <w:rPr>
                <w:sz w:val="18"/>
                <w:szCs w:val="18"/>
              </w:rPr>
              <w:t>obcí nezaradených do ŠÚ</w:t>
            </w:r>
          </w:p>
        </w:tc>
        <w:tc>
          <w:tcPr>
            <w:tcW w:w="850" w:type="dxa"/>
            <w:shd w:val="clear" w:color="auto" w:fill="auto"/>
          </w:tcPr>
          <w:p w:rsidR="00D467A7" w:rsidRPr="00962FE9" w:rsidRDefault="00D467A7" w:rsidP="00310690">
            <w:pPr>
              <w:shd w:val="clear" w:color="auto" w:fill="F2F2F2" w:themeFill="background1" w:themeFillShade="F2"/>
              <w:jc w:val="center"/>
              <w:rPr>
                <w:sz w:val="18"/>
                <w:szCs w:val="18"/>
              </w:rPr>
            </w:pPr>
            <w:r w:rsidRPr="00962FE9">
              <w:rPr>
                <w:sz w:val="18"/>
                <w:szCs w:val="18"/>
              </w:rPr>
              <w:t>361</w:t>
            </w:r>
          </w:p>
        </w:tc>
        <w:tc>
          <w:tcPr>
            <w:tcW w:w="851" w:type="dxa"/>
            <w:shd w:val="clear" w:color="auto" w:fill="auto"/>
          </w:tcPr>
          <w:p w:rsidR="00D467A7" w:rsidRPr="00962FE9" w:rsidRDefault="00D467A7" w:rsidP="00310690">
            <w:pPr>
              <w:keepNext/>
              <w:keepLines/>
              <w:shd w:val="clear" w:color="auto" w:fill="F2F2F2" w:themeFill="background1" w:themeFillShade="F2"/>
              <w:jc w:val="center"/>
              <w:rPr>
                <w:sz w:val="18"/>
                <w:szCs w:val="18"/>
              </w:rPr>
            </w:pPr>
            <w:r w:rsidRPr="00962FE9">
              <w:rPr>
                <w:sz w:val="18"/>
                <w:szCs w:val="18"/>
              </w:rPr>
              <w:t>245</w:t>
            </w:r>
          </w:p>
        </w:tc>
        <w:tc>
          <w:tcPr>
            <w:tcW w:w="992" w:type="dxa"/>
            <w:shd w:val="clear" w:color="auto" w:fill="auto"/>
          </w:tcPr>
          <w:p w:rsidR="00D467A7" w:rsidRPr="00962FE9" w:rsidRDefault="00D467A7" w:rsidP="00310690">
            <w:pPr>
              <w:shd w:val="clear" w:color="auto" w:fill="F2F2F2" w:themeFill="background1" w:themeFillShade="F2"/>
              <w:jc w:val="right"/>
              <w:rPr>
                <w:sz w:val="18"/>
                <w:szCs w:val="18"/>
              </w:rPr>
            </w:pPr>
            <w:r w:rsidRPr="00962FE9">
              <w:rPr>
                <w:sz w:val="18"/>
                <w:szCs w:val="18"/>
              </w:rPr>
              <w:t>6 008 522</w:t>
            </w:r>
          </w:p>
        </w:tc>
        <w:tc>
          <w:tcPr>
            <w:tcW w:w="992" w:type="dxa"/>
            <w:shd w:val="clear" w:color="auto" w:fill="auto"/>
          </w:tcPr>
          <w:p w:rsidR="00D467A7" w:rsidRPr="00962FE9" w:rsidRDefault="00D467A7" w:rsidP="00310690">
            <w:pPr>
              <w:keepNext/>
              <w:keepLines/>
              <w:shd w:val="clear" w:color="auto" w:fill="F2F2F2" w:themeFill="background1" w:themeFillShade="F2"/>
              <w:jc w:val="right"/>
              <w:rPr>
                <w:sz w:val="18"/>
                <w:szCs w:val="18"/>
              </w:rPr>
            </w:pPr>
            <w:r w:rsidRPr="00962FE9">
              <w:rPr>
                <w:sz w:val="18"/>
                <w:szCs w:val="18"/>
              </w:rPr>
              <w:t>5 056 926</w:t>
            </w:r>
          </w:p>
        </w:tc>
        <w:tc>
          <w:tcPr>
            <w:tcW w:w="851" w:type="dxa"/>
            <w:shd w:val="clear" w:color="auto" w:fill="auto"/>
          </w:tcPr>
          <w:p w:rsidR="00D467A7" w:rsidRPr="00962FE9" w:rsidRDefault="00D467A7" w:rsidP="00310690">
            <w:pPr>
              <w:shd w:val="clear" w:color="auto" w:fill="F2F2F2" w:themeFill="background1" w:themeFillShade="F2"/>
              <w:jc w:val="right"/>
              <w:rPr>
                <w:sz w:val="18"/>
                <w:szCs w:val="18"/>
              </w:rPr>
            </w:pPr>
            <w:r w:rsidRPr="00962FE9">
              <w:rPr>
                <w:sz w:val="18"/>
                <w:szCs w:val="18"/>
              </w:rPr>
              <w:t>1 387</w:t>
            </w:r>
          </w:p>
        </w:tc>
        <w:tc>
          <w:tcPr>
            <w:tcW w:w="708" w:type="dxa"/>
            <w:shd w:val="clear" w:color="auto" w:fill="auto"/>
          </w:tcPr>
          <w:p w:rsidR="00D467A7" w:rsidRPr="00962FE9" w:rsidRDefault="00D467A7" w:rsidP="00310690">
            <w:pPr>
              <w:keepNext/>
              <w:keepLines/>
              <w:shd w:val="clear" w:color="auto" w:fill="F2F2F2" w:themeFill="background1" w:themeFillShade="F2"/>
              <w:jc w:val="right"/>
              <w:rPr>
                <w:sz w:val="18"/>
                <w:szCs w:val="18"/>
              </w:rPr>
            </w:pPr>
            <w:r w:rsidRPr="00962FE9">
              <w:rPr>
                <w:sz w:val="18"/>
                <w:szCs w:val="18"/>
              </w:rPr>
              <w:t>1 720</w:t>
            </w:r>
          </w:p>
        </w:tc>
      </w:tr>
      <w:tr w:rsidR="00D467A7" w:rsidRPr="00962FE9" w:rsidTr="00D467A7">
        <w:tc>
          <w:tcPr>
            <w:tcW w:w="1384" w:type="dxa"/>
            <w:shd w:val="clear" w:color="auto" w:fill="auto"/>
          </w:tcPr>
          <w:p w:rsidR="00D467A7" w:rsidRPr="00962FE9" w:rsidRDefault="00D467A7" w:rsidP="00310690">
            <w:pPr>
              <w:shd w:val="clear" w:color="auto" w:fill="F2F2F2" w:themeFill="background1" w:themeFillShade="F2"/>
              <w:jc w:val="center"/>
              <w:rPr>
                <w:b/>
                <w:sz w:val="18"/>
                <w:szCs w:val="18"/>
              </w:rPr>
            </w:pPr>
            <w:r w:rsidRPr="00962FE9">
              <w:rPr>
                <w:b/>
                <w:sz w:val="18"/>
                <w:szCs w:val="18"/>
              </w:rPr>
              <w:t>Obce ako školské úrady</w:t>
            </w:r>
          </w:p>
        </w:tc>
        <w:tc>
          <w:tcPr>
            <w:tcW w:w="1276" w:type="dxa"/>
            <w:shd w:val="clear" w:color="auto" w:fill="auto"/>
          </w:tcPr>
          <w:p w:rsidR="00D467A7" w:rsidRPr="00962FE9" w:rsidRDefault="00D467A7" w:rsidP="00310690">
            <w:pPr>
              <w:shd w:val="clear" w:color="auto" w:fill="F2F2F2" w:themeFill="background1" w:themeFillShade="F2"/>
              <w:jc w:val="center"/>
              <w:rPr>
                <w:sz w:val="18"/>
                <w:szCs w:val="18"/>
              </w:rPr>
            </w:pPr>
            <w:r w:rsidRPr="00962FE9">
              <w:rPr>
                <w:sz w:val="18"/>
                <w:szCs w:val="18"/>
              </w:rPr>
              <w:t xml:space="preserve">946 obcí (37 samostatných, 909 </w:t>
            </w:r>
            <w:r>
              <w:rPr>
                <w:sz w:val="18"/>
                <w:szCs w:val="18"/>
              </w:rPr>
              <w:t>z</w:t>
            </w:r>
            <w:r w:rsidRPr="00962FE9">
              <w:rPr>
                <w:sz w:val="18"/>
                <w:szCs w:val="18"/>
              </w:rPr>
              <w:t>družených)- ZŠ</w:t>
            </w:r>
          </w:p>
        </w:tc>
        <w:tc>
          <w:tcPr>
            <w:tcW w:w="1276" w:type="dxa"/>
            <w:shd w:val="clear" w:color="auto" w:fill="auto"/>
          </w:tcPr>
          <w:p w:rsidR="00D467A7" w:rsidRPr="00962FE9" w:rsidRDefault="00D467A7" w:rsidP="00310690">
            <w:pPr>
              <w:keepNext/>
              <w:keepLines/>
              <w:shd w:val="clear" w:color="auto" w:fill="F2F2F2" w:themeFill="background1" w:themeFillShade="F2"/>
              <w:jc w:val="center"/>
              <w:rPr>
                <w:sz w:val="18"/>
                <w:szCs w:val="18"/>
              </w:rPr>
            </w:pPr>
            <w:r w:rsidRPr="00962FE9">
              <w:rPr>
                <w:sz w:val="18"/>
                <w:szCs w:val="18"/>
              </w:rPr>
              <w:t>1061 obcí (41 samostatných, 1020 združených)- ZŠ</w:t>
            </w:r>
          </w:p>
        </w:tc>
        <w:tc>
          <w:tcPr>
            <w:tcW w:w="850" w:type="dxa"/>
            <w:shd w:val="clear" w:color="auto" w:fill="auto"/>
          </w:tcPr>
          <w:p w:rsidR="00D467A7" w:rsidRPr="00962FE9" w:rsidRDefault="00D467A7" w:rsidP="00310690">
            <w:pPr>
              <w:shd w:val="clear" w:color="auto" w:fill="F2F2F2" w:themeFill="background1" w:themeFillShade="F2"/>
              <w:jc w:val="center"/>
              <w:rPr>
                <w:sz w:val="18"/>
                <w:szCs w:val="18"/>
              </w:rPr>
            </w:pPr>
            <w:r w:rsidRPr="00962FE9">
              <w:rPr>
                <w:sz w:val="18"/>
                <w:szCs w:val="18"/>
              </w:rPr>
              <w:t>254</w:t>
            </w:r>
          </w:p>
        </w:tc>
        <w:tc>
          <w:tcPr>
            <w:tcW w:w="851" w:type="dxa"/>
            <w:shd w:val="clear" w:color="auto" w:fill="auto"/>
          </w:tcPr>
          <w:p w:rsidR="00D467A7" w:rsidRPr="00962FE9" w:rsidRDefault="00D467A7" w:rsidP="00310690">
            <w:pPr>
              <w:keepNext/>
              <w:keepLines/>
              <w:shd w:val="clear" w:color="auto" w:fill="F2F2F2" w:themeFill="background1" w:themeFillShade="F2"/>
              <w:jc w:val="center"/>
              <w:rPr>
                <w:sz w:val="18"/>
                <w:szCs w:val="18"/>
              </w:rPr>
            </w:pPr>
            <w:r w:rsidRPr="00962FE9">
              <w:rPr>
                <w:sz w:val="18"/>
                <w:szCs w:val="18"/>
              </w:rPr>
              <w:t>233</w:t>
            </w:r>
          </w:p>
        </w:tc>
        <w:tc>
          <w:tcPr>
            <w:tcW w:w="992" w:type="dxa"/>
            <w:shd w:val="clear" w:color="auto" w:fill="auto"/>
          </w:tcPr>
          <w:p w:rsidR="00D467A7" w:rsidRPr="00962FE9" w:rsidRDefault="00D467A7" w:rsidP="00310690">
            <w:pPr>
              <w:shd w:val="clear" w:color="auto" w:fill="F2F2F2" w:themeFill="background1" w:themeFillShade="F2"/>
              <w:jc w:val="right"/>
              <w:rPr>
                <w:sz w:val="18"/>
                <w:szCs w:val="18"/>
              </w:rPr>
            </w:pPr>
            <w:r w:rsidRPr="00962FE9">
              <w:rPr>
                <w:sz w:val="18"/>
                <w:szCs w:val="18"/>
              </w:rPr>
              <w:t>2 402 000</w:t>
            </w:r>
          </w:p>
        </w:tc>
        <w:tc>
          <w:tcPr>
            <w:tcW w:w="992" w:type="dxa"/>
            <w:shd w:val="clear" w:color="auto" w:fill="auto"/>
          </w:tcPr>
          <w:p w:rsidR="00D467A7" w:rsidRPr="00962FE9" w:rsidRDefault="00D467A7" w:rsidP="00310690">
            <w:pPr>
              <w:keepNext/>
              <w:keepLines/>
              <w:shd w:val="clear" w:color="auto" w:fill="F2F2F2" w:themeFill="background1" w:themeFillShade="F2"/>
              <w:jc w:val="right"/>
              <w:rPr>
                <w:sz w:val="18"/>
                <w:szCs w:val="18"/>
              </w:rPr>
            </w:pPr>
            <w:r w:rsidRPr="00962FE9">
              <w:rPr>
                <w:sz w:val="18"/>
                <w:szCs w:val="18"/>
              </w:rPr>
              <w:t>2 904 098</w:t>
            </w:r>
          </w:p>
        </w:tc>
        <w:tc>
          <w:tcPr>
            <w:tcW w:w="851" w:type="dxa"/>
            <w:shd w:val="clear" w:color="auto" w:fill="auto"/>
          </w:tcPr>
          <w:p w:rsidR="00D467A7" w:rsidRPr="00962FE9" w:rsidRDefault="00D467A7" w:rsidP="00310690">
            <w:pPr>
              <w:shd w:val="clear" w:color="auto" w:fill="F2F2F2" w:themeFill="background1" w:themeFillShade="F2"/>
              <w:jc w:val="right"/>
              <w:rPr>
                <w:sz w:val="18"/>
                <w:szCs w:val="18"/>
              </w:rPr>
            </w:pPr>
            <w:r w:rsidRPr="00962FE9">
              <w:rPr>
                <w:sz w:val="18"/>
                <w:szCs w:val="18"/>
              </w:rPr>
              <w:t>788</w:t>
            </w:r>
          </w:p>
        </w:tc>
        <w:tc>
          <w:tcPr>
            <w:tcW w:w="708" w:type="dxa"/>
            <w:shd w:val="clear" w:color="auto" w:fill="auto"/>
          </w:tcPr>
          <w:p w:rsidR="00D467A7" w:rsidRPr="00962FE9" w:rsidRDefault="00D467A7" w:rsidP="00310690">
            <w:pPr>
              <w:keepNext/>
              <w:keepLines/>
              <w:shd w:val="clear" w:color="auto" w:fill="F2F2F2" w:themeFill="background1" w:themeFillShade="F2"/>
              <w:jc w:val="right"/>
              <w:rPr>
                <w:sz w:val="18"/>
                <w:szCs w:val="18"/>
              </w:rPr>
            </w:pPr>
            <w:r w:rsidRPr="00962FE9">
              <w:rPr>
                <w:sz w:val="18"/>
                <w:szCs w:val="18"/>
              </w:rPr>
              <w:t>1 039</w:t>
            </w:r>
          </w:p>
        </w:tc>
      </w:tr>
      <w:tr w:rsidR="00D467A7" w:rsidRPr="00962FE9" w:rsidTr="00D467A7">
        <w:trPr>
          <w:trHeight w:val="58"/>
        </w:trPr>
        <w:tc>
          <w:tcPr>
            <w:tcW w:w="1384" w:type="dxa"/>
            <w:shd w:val="clear" w:color="auto" w:fill="auto"/>
          </w:tcPr>
          <w:p w:rsidR="00D467A7" w:rsidRPr="00962FE9" w:rsidRDefault="00D467A7" w:rsidP="00310690">
            <w:pPr>
              <w:shd w:val="clear" w:color="auto" w:fill="F2F2F2" w:themeFill="background1" w:themeFillShade="F2"/>
              <w:jc w:val="center"/>
              <w:rPr>
                <w:b/>
                <w:sz w:val="18"/>
                <w:szCs w:val="18"/>
              </w:rPr>
            </w:pPr>
            <w:r w:rsidRPr="00962FE9">
              <w:rPr>
                <w:b/>
                <w:sz w:val="18"/>
                <w:szCs w:val="18"/>
              </w:rPr>
              <w:t>Samosprávne kraje (VÚC)</w:t>
            </w:r>
          </w:p>
        </w:tc>
        <w:tc>
          <w:tcPr>
            <w:tcW w:w="1276" w:type="dxa"/>
            <w:shd w:val="clear" w:color="auto" w:fill="auto"/>
          </w:tcPr>
          <w:p w:rsidR="00D467A7" w:rsidRPr="00962FE9" w:rsidRDefault="00D467A7" w:rsidP="00310690">
            <w:pPr>
              <w:shd w:val="clear" w:color="auto" w:fill="F2F2F2" w:themeFill="background1" w:themeFillShade="F2"/>
              <w:jc w:val="center"/>
              <w:rPr>
                <w:sz w:val="18"/>
                <w:szCs w:val="18"/>
              </w:rPr>
            </w:pPr>
            <w:r w:rsidRPr="00962FE9">
              <w:rPr>
                <w:sz w:val="18"/>
                <w:szCs w:val="18"/>
              </w:rPr>
              <w:t>Územie SR - SŠ</w:t>
            </w:r>
          </w:p>
        </w:tc>
        <w:tc>
          <w:tcPr>
            <w:tcW w:w="1276" w:type="dxa"/>
            <w:shd w:val="clear" w:color="auto" w:fill="auto"/>
          </w:tcPr>
          <w:p w:rsidR="00D467A7" w:rsidRPr="00962FE9" w:rsidRDefault="00D467A7" w:rsidP="00310690">
            <w:pPr>
              <w:keepNext/>
              <w:keepLines/>
              <w:shd w:val="clear" w:color="auto" w:fill="F2F2F2" w:themeFill="background1" w:themeFillShade="F2"/>
              <w:jc w:val="center"/>
              <w:rPr>
                <w:sz w:val="18"/>
                <w:szCs w:val="18"/>
              </w:rPr>
            </w:pPr>
            <w:r w:rsidRPr="00962FE9">
              <w:rPr>
                <w:sz w:val="18"/>
                <w:szCs w:val="18"/>
              </w:rPr>
              <w:t>Územie SR - SŠ</w:t>
            </w:r>
          </w:p>
        </w:tc>
        <w:tc>
          <w:tcPr>
            <w:tcW w:w="850" w:type="dxa"/>
            <w:shd w:val="clear" w:color="auto" w:fill="auto"/>
          </w:tcPr>
          <w:p w:rsidR="00D467A7" w:rsidRPr="00962FE9" w:rsidRDefault="00D467A7" w:rsidP="00310690">
            <w:pPr>
              <w:shd w:val="clear" w:color="auto" w:fill="F2F2F2" w:themeFill="background1" w:themeFillShade="F2"/>
              <w:jc w:val="center"/>
              <w:rPr>
                <w:sz w:val="18"/>
                <w:szCs w:val="18"/>
              </w:rPr>
            </w:pPr>
            <w:r w:rsidRPr="00962FE9">
              <w:rPr>
                <w:sz w:val="18"/>
                <w:szCs w:val="18"/>
              </w:rPr>
              <w:t>32</w:t>
            </w:r>
          </w:p>
        </w:tc>
        <w:tc>
          <w:tcPr>
            <w:tcW w:w="851" w:type="dxa"/>
            <w:shd w:val="clear" w:color="auto" w:fill="auto"/>
          </w:tcPr>
          <w:p w:rsidR="00D467A7" w:rsidRPr="00962FE9" w:rsidRDefault="00D467A7" w:rsidP="00310690">
            <w:pPr>
              <w:keepNext/>
              <w:keepLines/>
              <w:shd w:val="clear" w:color="auto" w:fill="F2F2F2" w:themeFill="background1" w:themeFillShade="F2"/>
              <w:jc w:val="center"/>
              <w:rPr>
                <w:sz w:val="18"/>
                <w:szCs w:val="18"/>
              </w:rPr>
            </w:pPr>
            <w:r w:rsidRPr="00962FE9">
              <w:rPr>
                <w:sz w:val="18"/>
                <w:szCs w:val="18"/>
              </w:rPr>
              <w:t>27</w:t>
            </w:r>
          </w:p>
        </w:tc>
        <w:tc>
          <w:tcPr>
            <w:tcW w:w="992" w:type="dxa"/>
            <w:shd w:val="clear" w:color="auto" w:fill="auto"/>
          </w:tcPr>
          <w:p w:rsidR="00D467A7" w:rsidRPr="00962FE9" w:rsidRDefault="00D467A7" w:rsidP="00310690">
            <w:pPr>
              <w:shd w:val="clear" w:color="auto" w:fill="F2F2F2" w:themeFill="background1" w:themeFillShade="F2"/>
              <w:jc w:val="right"/>
              <w:rPr>
                <w:sz w:val="18"/>
                <w:szCs w:val="18"/>
              </w:rPr>
            </w:pPr>
            <w:r w:rsidRPr="00962FE9">
              <w:rPr>
                <w:sz w:val="18"/>
                <w:szCs w:val="18"/>
              </w:rPr>
              <w:t>397 000</w:t>
            </w:r>
          </w:p>
        </w:tc>
        <w:tc>
          <w:tcPr>
            <w:tcW w:w="992" w:type="dxa"/>
            <w:shd w:val="clear" w:color="auto" w:fill="auto"/>
          </w:tcPr>
          <w:p w:rsidR="00D467A7" w:rsidRPr="00962FE9" w:rsidRDefault="00D467A7" w:rsidP="00310690">
            <w:pPr>
              <w:keepNext/>
              <w:keepLines/>
              <w:shd w:val="clear" w:color="auto" w:fill="F2F2F2" w:themeFill="background1" w:themeFillShade="F2"/>
              <w:jc w:val="right"/>
              <w:rPr>
                <w:sz w:val="18"/>
                <w:szCs w:val="18"/>
              </w:rPr>
            </w:pPr>
            <w:r w:rsidRPr="00962FE9">
              <w:rPr>
                <w:sz w:val="18"/>
                <w:szCs w:val="18"/>
              </w:rPr>
              <w:t>430 200</w:t>
            </w:r>
          </w:p>
        </w:tc>
        <w:tc>
          <w:tcPr>
            <w:tcW w:w="851" w:type="dxa"/>
            <w:shd w:val="clear" w:color="auto" w:fill="auto"/>
          </w:tcPr>
          <w:p w:rsidR="00D467A7" w:rsidRPr="00962FE9" w:rsidRDefault="00D467A7" w:rsidP="00310690">
            <w:pPr>
              <w:shd w:val="clear" w:color="auto" w:fill="F2F2F2" w:themeFill="background1" w:themeFillShade="F2"/>
              <w:jc w:val="right"/>
              <w:rPr>
                <w:sz w:val="18"/>
                <w:szCs w:val="18"/>
              </w:rPr>
            </w:pPr>
            <w:r w:rsidRPr="00962FE9">
              <w:rPr>
                <w:sz w:val="18"/>
                <w:szCs w:val="18"/>
              </w:rPr>
              <w:t>1 034</w:t>
            </w:r>
          </w:p>
        </w:tc>
        <w:tc>
          <w:tcPr>
            <w:tcW w:w="708" w:type="dxa"/>
            <w:shd w:val="clear" w:color="auto" w:fill="auto"/>
          </w:tcPr>
          <w:p w:rsidR="00D467A7" w:rsidRPr="00962FE9" w:rsidRDefault="00D467A7" w:rsidP="00310690">
            <w:pPr>
              <w:keepNext/>
              <w:keepLines/>
              <w:shd w:val="clear" w:color="auto" w:fill="F2F2F2" w:themeFill="background1" w:themeFillShade="F2"/>
              <w:jc w:val="right"/>
              <w:rPr>
                <w:sz w:val="18"/>
                <w:szCs w:val="18"/>
              </w:rPr>
            </w:pPr>
            <w:r w:rsidRPr="00962FE9">
              <w:rPr>
                <w:sz w:val="18"/>
                <w:szCs w:val="18"/>
              </w:rPr>
              <w:t>1 328</w:t>
            </w:r>
          </w:p>
        </w:tc>
      </w:tr>
      <w:tr w:rsidR="00D467A7" w:rsidRPr="00962FE9" w:rsidTr="00D467A7">
        <w:trPr>
          <w:trHeight w:val="58"/>
        </w:trPr>
        <w:tc>
          <w:tcPr>
            <w:tcW w:w="1384" w:type="dxa"/>
            <w:shd w:val="clear" w:color="auto" w:fill="auto"/>
          </w:tcPr>
          <w:p w:rsidR="00D467A7" w:rsidRPr="00962FE9" w:rsidRDefault="00D467A7" w:rsidP="00310690">
            <w:pPr>
              <w:shd w:val="clear" w:color="auto" w:fill="F2F2F2" w:themeFill="background1" w:themeFillShade="F2"/>
              <w:jc w:val="center"/>
              <w:rPr>
                <w:b/>
                <w:sz w:val="18"/>
                <w:szCs w:val="18"/>
              </w:rPr>
            </w:pPr>
            <w:r>
              <w:rPr>
                <w:b/>
                <w:sz w:val="18"/>
                <w:szCs w:val="18"/>
              </w:rPr>
              <w:t>„</w:t>
            </w:r>
            <w:r w:rsidRPr="00962FE9">
              <w:rPr>
                <w:b/>
                <w:sz w:val="18"/>
                <w:szCs w:val="18"/>
              </w:rPr>
              <w:t>Cirkevné“ školské úrady</w:t>
            </w:r>
          </w:p>
        </w:tc>
        <w:tc>
          <w:tcPr>
            <w:tcW w:w="1276" w:type="dxa"/>
            <w:shd w:val="clear" w:color="auto" w:fill="auto"/>
          </w:tcPr>
          <w:p w:rsidR="00D467A7" w:rsidRPr="00962FE9" w:rsidRDefault="00D467A7" w:rsidP="00310690">
            <w:pPr>
              <w:shd w:val="clear" w:color="auto" w:fill="F2F2F2" w:themeFill="background1" w:themeFillShade="F2"/>
              <w:jc w:val="center"/>
              <w:rPr>
                <w:sz w:val="18"/>
                <w:szCs w:val="18"/>
              </w:rPr>
            </w:pPr>
            <w:r w:rsidRPr="00962FE9">
              <w:rPr>
                <w:sz w:val="18"/>
                <w:szCs w:val="18"/>
              </w:rPr>
              <w:t>x</w:t>
            </w:r>
          </w:p>
        </w:tc>
        <w:tc>
          <w:tcPr>
            <w:tcW w:w="1276" w:type="dxa"/>
            <w:shd w:val="clear" w:color="auto" w:fill="auto"/>
          </w:tcPr>
          <w:p w:rsidR="00D467A7" w:rsidRPr="00962FE9" w:rsidRDefault="00D467A7" w:rsidP="00310690">
            <w:pPr>
              <w:keepNext/>
              <w:keepLines/>
              <w:shd w:val="clear" w:color="auto" w:fill="F2F2F2" w:themeFill="background1" w:themeFillShade="F2"/>
              <w:jc w:val="center"/>
              <w:rPr>
                <w:sz w:val="18"/>
                <w:szCs w:val="18"/>
              </w:rPr>
            </w:pPr>
            <w:r w:rsidRPr="00962FE9">
              <w:rPr>
                <w:sz w:val="18"/>
                <w:szCs w:val="18"/>
              </w:rPr>
              <w:t>x</w:t>
            </w:r>
          </w:p>
        </w:tc>
        <w:tc>
          <w:tcPr>
            <w:tcW w:w="850" w:type="dxa"/>
            <w:shd w:val="clear" w:color="auto" w:fill="auto"/>
          </w:tcPr>
          <w:p w:rsidR="00D467A7" w:rsidRPr="00962FE9" w:rsidRDefault="00D467A7" w:rsidP="00310690">
            <w:pPr>
              <w:shd w:val="clear" w:color="auto" w:fill="F2F2F2" w:themeFill="background1" w:themeFillShade="F2"/>
              <w:jc w:val="center"/>
              <w:rPr>
                <w:sz w:val="18"/>
                <w:szCs w:val="18"/>
              </w:rPr>
            </w:pPr>
            <w:r w:rsidRPr="00962FE9">
              <w:rPr>
                <w:sz w:val="18"/>
                <w:szCs w:val="18"/>
              </w:rPr>
              <w:t>x</w:t>
            </w:r>
          </w:p>
        </w:tc>
        <w:tc>
          <w:tcPr>
            <w:tcW w:w="851" w:type="dxa"/>
            <w:shd w:val="clear" w:color="auto" w:fill="auto"/>
          </w:tcPr>
          <w:p w:rsidR="00D467A7" w:rsidRPr="00962FE9" w:rsidRDefault="00D467A7" w:rsidP="00310690">
            <w:pPr>
              <w:shd w:val="clear" w:color="auto" w:fill="F2F2F2" w:themeFill="background1" w:themeFillShade="F2"/>
              <w:jc w:val="center"/>
              <w:rPr>
                <w:sz w:val="18"/>
                <w:szCs w:val="18"/>
              </w:rPr>
            </w:pPr>
            <w:r w:rsidRPr="00962FE9">
              <w:rPr>
                <w:sz w:val="18"/>
                <w:szCs w:val="18"/>
              </w:rPr>
              <w:t>x</w:t>
            </w:r>
          </w:p>
        </w:tc>
        <w:tc>
          <w:tcPr>
            <w:tcW w:w="992" w:type="dxa"/>
            <w:shd w:val="clear" w:color="auto" w:fill="auto"/>
          </w:tcPr>
          <w:p w:rsidR="00D467A7" w:rsidRPr="00962FE9" w:rsidRDefault="00D467A7" w:rsidP="00310690">
            <w:pPr>
              <w:shd w:val="clear" w:color="auto" w:fill="F2F2F2" w:themeFill="background1" w:themeFillShade="F2"/>
              <w:jc w:val="right"/>
              <w:rPr>
                <w:sz w:val="18"/>
                <w:szCs w:val="18"/>
              </w:rPr>
            </w:pPr>
            <w:r w:rsidRPr="00962FE9">
              <w:rPr>
                <w:sz w:val="18"/>
                <w:szCs w:val="18"/>
              </w:rPr>
              <w:t>x</w:t>
            </w:r>
          </w:p>
        </w:tc>
        <w:tc>
          <w:tcPr>
            <w:tcW w:w="992" w:type="dxa"/>
            <w:shd w:val="clear" w:color="auto" w:fill="auto"/>
          </w:tcPr>
          <w:p w:rsidR="00D467A7" w:rsidRPr="00962FE9" w:rsidRDefault="00D467A7" w:rsidP="00310690">
            <w:pPr>
              <w:keepNext/>
              <w:keepLines/>
              <w:shd w:val="clear" w:color="auto" w:fill="F2F2F2" w:themeFill="background1" w:themeFillShade="F2"/>
              <w:jc w:val="right"/>
              <w:rPr>
                <w:sz w:val="18"/>
                <w:szCs w:val="18"/>
              </w:rPr>
            </w:pPr>
            <w:r w:rsidRPr="00962FE9">
              <w:rPr>
                <w:sz w:val="18"/>
                <w:szCs w:val="18"/>
              </w:rPr>
              <w:t>352 583</w:t>
            </w:r>
          </w:p>
        </w:tc>
        <w:tc>
          <w:tcPr>
            <w:tcW w:w="851" w:type="dxa"/>
            <w:shd w:val="clear" w:color="auto" w:fill="auto"/>
          </w:tcPr>
          <w:p w:rsidR="00D467A7" w:rsidRPr="00962FE9" w:rsidRDefault="00D467A7" w:rsidP="00310690">
            <w:pPr>
              <w:shd w:val="clear" w:color="auto" w:fill="F2F2F2" w:themeFill="background1" w:themeFillShade="F2"/>
              <w:jc w:val="right"/>
              <w:rPr>
                <w:sz w:val="18"/>
                <w:szCs w:val="18"/>
              </w:rPr>
            </w:pPr>
            <w:r w:rsidRPr="00962FE9">
              <w:rPr>
                <w:sz w:val="18"/>
                <w:szCs w:val="18"/>
              </w:rPr>
              <w:t>x</w:t>
            </w:r>
          </w:p>
        </w:tc>
        <w:tc>
          <w:tcPr>
            <w:tcW w:w="708" w:type="dxa"/>
            <w:shd w:val="clear" w:color="auto" w:fill="auto"/>
          </w:tcPr>
          <w:p w:rsidR="00D467A7" w:rsidRPr="00962FE9" w:rsidRDefault="00D467A7" w:rsidP="00310690">
            <w:pPr>
              <w:shd w:val="clear" w:color="auto" w:fill="F2F2F2" w:themeFill="background1" w:themeFillShade="F2"/>
              <w:jc w:val="right"/>
              <w:rPr>
                <w:sz w:val="18"/>
                <w:szCs w:val="18"/>
              </w:rPr>
            </w:pPr>
            <w:r w:rsidRPr="00962FE9">
              <w:rPr>
                <w:sz w:val="18"/>
                <w:szCs w:val="18"/>
              </w:rPr>
              <w:t>x</w:t>
            </w:r>
          </w:p>
        </w:tc>
      </w:tr>
    </w:tbl>
    <w:p w:rsidR="00D467A7" w:rsidRPr="00962FE9" w:rsidRDefault="00D467A7" w:rsidP="00310690">
      <w:pPr>
        <w:keepNext/>
        <w:keepLines/>
        <w:shd w:val="clear" w:color="auto" w:fill="F2F2F2" w:themeFill="background1" w:themeFillShade="F2"/>
        <w:spacing w:after="0" w:line="240" w:lineRule="auto"/>
        <w:jc w:val="both"/>
        <w:rPr>
          <w:rFonts w:cs="Times New Roman"/>
          <w:sz w:val="18"/>
          <w:szCs w:val="18"/>
        </w:rPr>
      </w:pPr>
      <w:r w:rsidRPr="00962FE9">
        <w:rPr>
          <w:rFonts w:cs="Times New Roman"/>
          <w:sz w:val="18"/>
          <w:szCs w:val="18"/>
        </w:rPr>
        <w:t xml:space="preserve">Zdroj: </w:t>
      </w:r>
      <w:r w:rsidRPr="00962FE9">
        <w:rPr>
          <w:rFonts w:eastAsia="Times New Roman" w:cs="Times New Roman"/>
          <w:sz w:val="18"/>
          <w:szCs w:val="18"/>
          <w:lang w:eastAsia="cs-CZ"/>
        </w:rPr>
        <w:t>Správa o audite verejnej správy za MŠVVŠ SR</w:t>
      </w:r>
    </w:p>
    <w:p w:rsidR="00D467A7" w:rsidRPr="00962FE9" w:rsidRDefault="00D467A7" w:rsidP="00310690">
      <w:pPr>
        <w:shd w:val="clear" w:color="auto" w:fill="F2F2F2" w:themeFill="background1" w:themeFillShade="F2"/>
        <w:spacing w:before="120" w:after="0" w:line="240" w:lineRule="auto"/>
        <w:ind w:firstLine="709"/>
        <w:jc w:val="both"/>
        <w:rPr>
          <w:rFonts w:cs="Times New Roman"/>
        </w:rPr>
      </w:pPr>
      <w:r w:rsidRPr="00962FE9">
        <w:rPr>
          <w:rFonts w:cs="Times New Roman"/>
        </w:rPr>
        <w:t xml:space="preserve">Na základe podkladov ministerstva školstva je možné konštatovať, že financovanie preneseného výkonu štátnej správy na úseku školstva za sledované obdobie bolo pri školských úradoch lacnejšie ako financovanie  krajských  školských  úradov. </w:t>
      </w:r>
    </w:p>
    <w:p w:rsidR="00863540" w:rsidRDefault="00D467A7" w:rsidP="00310690">
      <w:pPr>
        <w:shd w:val="clear" w:color="auto" w:fill="F2F2F2" w:themeFill="background1" w:themeFillShade="F2"/>
        <w:spacing w:before="120" w:after="0" w:line="240" w:lineRule="auto"/>
        <w:ind w:firstLine="709"/>
        <w:jc w:val="both"/>
        <w:rPr>
          <w:rFonts w:cs="Times New Roman"/>
        </w:rPr>
      </w:pPr>
      <w:r w:rsidRPr="00962FE9">
        <w:rPr>
          <w:rFonts w:cs="Times New Roman"/>
        </w:rPr>
        <w:t xml:space="preserve">Počas sledovaného obdobia počet zamestnancov krajských školských úradov, ako aj obcí a samosprávnych krajov mal klesajúcu tendenciu, no táto zmena nepriniesla výrazné zníženie nákladov na ich činnosť, ale práve naopak. Došlo k zvýšeniu celkových finančných </w:t>
      </w:r>
      <w:r w:rsidRPr="00962FE9">
        <w:rPr>
          <w:rFonts w:cs="Times New Roman"/>
        </w:rPr>
        <w:lastRenderedPageBreak/>
        <w:t xml:space="preserve">nákladov zo štátneho rozpočtu, ako aj zvýšeniu priemerných nákladov na 1 zamestnanca za </w:t>
      </w:r>
      <w:r>
        <w:rPr>
          <w:rFonts w:cs="Times New Roman"/>
        </w:rPr>
        <w:t xml:space="preserve">   </w:t>
      </w:r>
      <w:r w:rsidRPr="00962FE9">
        <w:rPr>
          <w:rFonts w:cs="Times New Roman"/>
        </w:rPr>
        <w:t xml:space="preserve">1 mesiac, tzn. že menej zamestnancov robilo drahšie.   </w:t>
      </w:r>
    </w:p>
    <w:p w:rsidR="00863540" w:rsidRPr="000A2C80" w:rsidRDefault="00863540" w:rsidP="00310690">
      <w:pPr>
        <w:shd w:val="clear" w:color="auto" w:fill="F2F2F2" w:themeFill="background1" w:themeFillShade="F2"/>
        <w:spacing w:before="120" w:after="0" w:line="240" w:lineRule="auto"/>
        <w:ind w:firstLine="709"/>
        <w:jc w:val="both"/>
        <w:rPr>
          <w:rFonts w:cs="Times New Roman"/>
        </w:rPr>
      </w:pPr>
      <w:r w:rsidRPr="000A2C80">
        <w:rPr>
          <w:rFonts w:cs="Times New Roman"/>
        </w:rPr>
        <w:t>Údaje za celkové finančné prostriedky poskytnuté na prenesený výkon štátnej správy v podmienkach obcí a samosprávnych krajov  ministerstvo školstva uvádzalo za celý úsek školstva a neboli členené podľa jednotlivých pôsobností, resp. úsekov. V správe sa k týmto údajom neuvádzal žiadny komentár.</w:t>
      </w:r>
    </w:p>
    <w:p w:rsidR="00863540" w:rsidRPr="000A2C80" w:rsidRDefault="00863540" w:rsidP="00310690">
      <w:pPr>
        <w:shd w:val="clear" w:color="auto" w:fill="F2F2F2" w:themeFill="background1" w:themeFillShade="F2"/>
        <w:spacing w:before="120" w:after="0" w:line="240" w:lineRule="auto"/>
        <w:ind w:firstLine="709"/>
        <w:jc w:val="both"/>
        <w:rPr>
          <w:rFonts w:cs="Times New Roman"/>
        </w:rPr>
      </w:pPr>
      <w:r w:rsidRPr="000A2C80">
        <w:rPr>
          <w:rFonts w:cs="Times New Roman"/>
        </w:rPr>
        <w:t xml:space="preserve">Ministerstvo školstva v rámci správy z auditu hodnotilo a posudzovalo náklady na chod školských úradov podľa ich jednotlivých úrovní (krajské školské úrady, školské úrady pri obciach, školské úrady pri samosprávnych krajoch) v prepočte priemerných nákladov na jedného zamestnanca. Podľa vykonaných prepočtov hodnotilo efektívnosť vynaložených finančných prostriedkov na zabezpečenie preneseného výkonu štátnej správy. Konštatovalo, že zabezpečenie preneseného výkonu štátnej správy prenesený na orgány územnej samosprávy na úseku školstva  je finančne najefektívnejšie prostredníctvom miestnej štátnej správy. </w:t>
      </w:r>
    </w:p>
    <w:p w:rsidR="00841DC0" w:rsidRPr="00841DC0" w:rsidRDefault="00841DC0" w:rsidP="00310690">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1.5.</w:t>
      </w:r>
      <w:r w:rsidRPr="00841DC0">
        <w:rPr>
          <w:rFonts w:eastAsia="Times New Roman" w:cs="Times New Roman"/>
          <w:sz w:val="22"/>
          <w:u w:val="single"/>
          <w:lang w:eastAsia="cs-CZ"/>
        </w:rPr>
        <w:tab/>
        <w:t>Návrhy opatrení</w:t>
      </w:r>
    </w:p>
    <w:p w:rsidR="00841DC0" w:rsidRPr="00841DC0" w:rsidRDefault="003C5D8B" w:rsidP="00310690">
      <w:pPr>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Pr>
          <w:rFonts w:eastAsia="Times New Roman" w:cs="Times New Roman"/>
          <w:sz w:val="22"/>
          <w:lang w:eastAsia="cs-CZ"/>
        </w:rPr>
        <w:t>Ministerstvo školstva v návrhoch opatrení form</w:t>
      </w:r>
      <w:r w:rsidR="00093015">
        <w:rPr>
          <w:rFonts w:eastAsia="Times New Roman" w:cs="Times New Roman"/>
          <w:sz w:val="22"/>
          <w:lang w:eastAsia="cs-CZ"/>
        </w:rPr>
        <w:t>ulovalo</w:t>
      </w:r>
      <w:r>
        <w:rPr>
          <w:rFonts w:eastAsia="Times New Roman" w:cs="Times New Roman"/>
          <w:sz w:val="22"/>
          <w:lang w:eastAsia="cs-CZ"/>
        </w:rPr>
        <w:t xml:space="preserve"> požiadavky na legislatívnu úpravu povinnosti ďalšieho vzdelávania starostov, primátorov a predsedov samosprávnych krajov, ďalej navrh</w:t>
      </w:r>
      <w:r w:rsidR="00093015">
        <w:rPr>
          <w:rFonts w:eastAsia="Times New Roman" w:cs="Times New Roman"/>
          <w:sz w:val="22"/>
          <w:lang w:eastAsia="cs-CZ"/>
        </w:rPr>
        <w:t>lo</w:t>
      </w:r>
      <w:r>
        <w:rPr>
          <w:rFonts w:eastAsia="Times New Roman" w:cs="Times New Roman"/>
          <w:sz w:val="22"/>
          <w:lang w:eastAsia="cs-CZ"/>
        </w:rPr>
        <w:t xml:space="preserve"> zrušenie školských úradov a ich kompetencie preniesť na obvodné (okresné) úrady v sídlach kraja alebo na ich vytvorené detašované pracoviská, resp. ustanovenie školských úradov v spádových obciach a samosprávnych krajoch. Rezort tiež navrh</w:t>
      </w:r>
      <w:r w:rsidR="00093015">
        <w:rPr>
          <w:rFonts w:eastAsia="Times New Roman" w:cs="Times New Roman"/>
          <w:sz w:val="22"/>
          <w:lang w:eastAsia="cs-CZ"/>
        </w:rPr>
        <w:t>ol</w:t>
      </w:r>
      <w:r>
        <w:rPr>
          <w:rFonts w:eastAsia="Times New Roman" w:cs="Times New Roman"/>
          <w:sz w:val="22"/>
          <w:lang w:eastAsia="cs-CZ"/>
        </w:rPr>
        <w:t xml:space="preserve"> legislatívne upraviť a podmieniť platnosť rozhodnutí orgánov územnej samosprávy na úseku školstva schválením príslušným orgánom miestnej štátnej správy.  </w:t>
      </w:r>
    </w:p>
    <w:p w:rsidR="00841DC0" w:rsidRPr="00841DC0" w:rsidRDefault="00841DC0" w:rsidP="00827CF2">
      <w:pPr>
        <w:keepNext/>
        <w:shd w:val="clear" w:color="auto" w:fill="F2F2F2" w:themeFill="background1" w:themeFillShade="F2"/>
        <w:tabs>
          <w:tab w:val="left" w:pos="1276"/>
          <w:tab w:val="left" w:pos="1418"/>
        </w:tabs>
        <w:spacing w:before="120" w:after="12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Kritické stanovisko</w:t>
      </w:r>
    </w:p>
    <w:p w:rsidR="00841DC0" w:rsidRPr="00841DC0" w:rsidRDefault="00841DC0" w:rsidP="00827CF2">
      <w:pPr>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841DC0">
        <w:rPr>
          <w:rFonts w:eastAsia="Times New Roman" w:cs="Times New Roman"/>
          <w:sz w:val="22"/>
          <w:lang w:eastAsia="cs-CZ"/>
        </w:rPr>
        <w:t>Ministerstvo školstva nepostupovalo pri spracovaní auditu podľa jednotnej metodiky, ale si ju upravilo. Audit zamerali na sledovanie kvality a nákladov preneseného výkonu štátnej správy vo</w:t>
      </w:r>
      <w:r w:rsidR="00EF7A17">
        <w:rPr>
          <w:rFonts w:eastAsia="Times New Roman" w:cs="Times New Roman"/>
          <w:sz w:val="22"/>
          <w:lang w:eastAsia="cs-CZ"/>
        </w:rPr>
        <w:t> </w:t>
      </w:r>
      <w:r w:rsidRPr="00841DC0">
        <w:rPr>
          <w:rFonts w:eastAsia="Times New Roman" w:cs="Times New Roman"/>
          <w:sz w:val="22"/>
          <w:lang w:eastAsia="cs-CZ"/>
        </w:rPr>
        <w:t xml:space="preserve">vzťahu  miestnej štátnej správy na úseku školstva k zriaďovateľom štátnych základných a stredných škôl (obce, samosprávne kraje), a nie vo vzťahu k obciam a samosprávnym krajom s prepočtom na počet obyvateľov obcí.   </w:t>
      </w:r>
    </w:p>
    <w:p w:rsidR="00841DC0" w:rsidRPr="00841DC0" w:rsidRDefault="00841DC0" w:rsidP="00827CF2">
      <w:pPr>
        <w:shd w:val="clear" w:color="auto" w:fill="F2F2F2" w:themeFill="background1" w:themeFillShade="F2"/>
        <w:spacing w:before="120" w:after="0" w:line="240" w:lineRule="auto"/>
        <w:ind w:firstLine="709"/>
        <w:jc w:val="both"/>
        <w:rPr>
          <w:rFonts w:cs="Times New Roman"/>
          <w:b/>
          <w:sz w:val="22"/>
        </w:rPr>
      </w:pPr>
      <w:r w:rsidRPr="00841DC0">
        <w:rPr>
          <w:rFonts w:cs="Times New Roman"/>
          <w:sz w:val="22"/>
        </w:rPr>
        <w:t>Kvantifikáciu výkonov prenesených pôsobností na obce a samosprávne kraje nebolo možné z podkladov ministerstva školstva spracovať objektívne, pretože sumárne údaje v tabuľkách uvádzali iba za úlohy, ktoré sú finančne saturované zo štátneho rozpočtu.</w:t>
      </w:r>
    </w:p>
    <w:p w:rsidR="00841DC0" w:rsidRPr="00841DC0" w:rsidRDefault="00841DC0" w:rsidP="00827CF2">
      <w:pPr>
        <w:shd w:val="clear" w:color="auto" w:fill="F2F2F2" w:themeFill="background1" w:themeFillShade="F2"/>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Chýba zhodnotenie výkonu prenesených pôsobností s dôrazom na veľkostné kategórie obcí.</w:t>
      </w:r>
    </w:p>
    <w:p w:rsidR="00841DC0" w:rsidRPr="00841DC0" w:rsidRDefault="00841DC0" w:rsidP="00827CF2">
      <w:pPr>
        <w:shd w:val="clear" w:color="auto" w:fill="F2F2F2" w:themeFill="background1" w:themeFillShade="F2"/>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 xml:space="preserve">Absentuje názor na decentralizáciu, ako aj identifikovanie pôsobností, ktoré možno zrušiť bez náhrady. </w:t>
      </w:r>
    </w:p>
    <w:p w:rsidR="00841DC0" w:rsidRPr="00841DC0" w:rsidRDefault="00841DC0" w:rsidP="00827CF2">
      <w:pPr>
        <w:shd w:val="clear" w:color="auto" w:fill="F2F2F2" w:themeFill="background1" w:themeFillShade="F2"/>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Chýba jasné uvedenie názoru, či je potrebné ponechať prenesené pôsobnosti alebo je potrebné ich presunúť. Ako je  už vyššie v texte uvedené, v tejto oblasti si ministerstvo školstva odporovalo. Na jednej strane navrhujú školské úradu zrušiť, na druhej ich ponechať a zriadiť tzv. spádové obce zo zákona.</w:t>
      </w:r>
    </w:p>
    <w:p w:rsidR="00841DC0" w:rsidRPr="00841DC0" w:rsidRDefault="00841DC0" w:rsidP="00827CF2">
      <w:pPr>
        <w:shd w:val="clear" w:color="auto" w:fill="F2F2F2" w:themeFill="background1" w:themeFillShade="F2"/>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 xml:space="preserve">Ministerstvo školstva nevenovalo pozornosť a neuviedlo ani žiadny návrh opatrenia na riešenie zisteného nekvalitného plnenia pri zabezpečovaní úloh obcami pri zriaďovateľskej pôsobnosti.    </w:t>
      </w:r>
    </w:p>
    <w:p w:rsidR="00841DC0" w:rsidRPr="00841DC0" w:rsidRDefault="00841DC0" w:rsidP="00510A26">
      <w:pPr>
        <w:keepNext/>
        <w:spacing w:before="240" w:after="240" w:line="240" w:lineRule="auto"/>
        <w:jc w:val="both"/>
        <w:rPr>
          <w:rFonts w:cs="Times New Roman"/>
          <w:b/>
          <w:szCs w:val="24"/>
        </w:rPr>
      </w:pPr>
      <w:r w:rsidRPr="00841DC0">
        <w:rPr>
          <w:rFonts w:cs="Times New Roman"/>
          <w:b/>
          <w:szCs w:val="24"/>
        </w:rPr>
        <w:t>Ministerstvo vnútra Slovenskej republiky</w:t>
      </w:r>
    </w:p>
    <w:p w:rsidR="008B7049" w:rsidRPr="00D861B9" w:rsidRDefault="008B7049" w:rsidP="008B7049">
      <w:pPr>
        <w:keepNext/>
        <w:shd w:val="clear" w:color="auto" w:fill="FFFFFF" w:themeFill="background1"/>
        <w:tabs>
          <w:tab w:val="left" w:pos="1276"/>
        </w:tabs>
        <w:spacing w:before="120" w:after="120" w:line="240" w:lineRule="auto"/>
        <w:ind w:firstLine="709"/>
        <w:jc w:val="both"/>
        <w:rPr>
          <w:rFonts w:eastAsia="Times New Roman" w:cs="Times New Roman"/>
          <w:sz w:val="22"/>
          <w:u w:val="single"/>
          <w:lang w:eastAsia="cs-CZ"/>
        </w:rPr>
      </w:pPr>
      <w:r w:rsidRPr="00D861B9">
        <w:rPr>
          <w:rFonts w:eastAsia="Times New Roman" w:cs="Times New Roman"/>
          <w:sz w:val="22"/>
          <w:u w:val="single"/>
          <w:lang w:eastAsia="cs-CZ"/>
        </w:rPr>
        <w:t>1.1.</w:t>
      </w:r>
      <w:r w:rsidRPr="00D861B9">
        <w:rPr>
          <w:rFonts w:eastAsia="Times New Roman" w:cs="Times New Roman"/>
          <w:sz w:val="22"/>
          <w:u w:val="single"/>
          <w:lang w:eastAsia="cs-CZ"/>
        </w:rPr>
        <w:tab/>
        <w:t>Katalóg prenesených pôsobností</w:t>
      </w:r>
    </w:p>
    <w:p w:rsidR="008B7049" w:rsidRPr="00D861B9" w:rsidRDefault="008B7049" w:rsidP="00310690">
      <w:pPr>
        <w:keepNext/>
        <w:tabs>
          <w:tab w:val="left" w:pos="1276"/>
        </w:tabs>
        <w:spacing w:before="120" w:after="120" w:line="240" w:lineRule="auto"/>
        <w:ind w:firstLine="709"/>
        <w:jc w:val="both"/>
        <w:rPr>
          <w:rFonts w:eastAsia="Times New Roman" w:cs="Times New Roman"/>
          <w:sz w:val="22"/>
          <w:lang w:eastAsia="cs-CZ"/>
        </w:rPr>
      </w:pPr>
      <w:r w:rsidRPr="00D861B9">
        <w:rPr>
          <w:rFonts w:eastAsia="Times New Roman" w:cs="Times New Roman"/>
          <w:sz w:val="22"/>
          <w:lang w:eastAsia="cs-CZ"/>
        </w:rPr>
        <w:t>Zoznam úsekov štátnej správy prenesených na obce a samosprávne kraje</w:t>
      </w:r>
      <w:r>
        <w:rPr>
          <w:rFonts w:eastAsia="Times New Roman" w:cs="Times New Roman"/>
          <w:sz w:val="22"/>
          <w:lang w:eastAsia="cs-CZ"/>
        </w:rPr>
        <w:t xml:space="preserve"> s údajmi o počte úloh:</w:t>
      </w:r>
    </w:p>
    <w:tbl>
      <w:tblPr>
        <w:tblStyle w:val="Mriekatabuky"/>
        <w:tblW w:w="0" w:type="auto"/>
        <w:jc w:val="center"/>
        <w:tblLook w:val="04A0" w:firstRow="1" w:lastRow="0" w:firstColumn="1" w:lastColumn="0" w:noHBand="0" w:noVBand="1"/>
      </w:tblPr>
      <w:tblGrid>
        <w:gridCol w:w="2126"/>
        <w:gridCol w:w="2552"/>
        <w:gridCol w:w="1275"/>
        <w:gridCol w:w="1620"/>
      </w:tblGrid>
      <w:tr w:rsidR="008B7049" w:rsidRPr="00D861B9" w:rsidTr="00310690">
        <w:trPr>
          <w:jc w:val="center"/>
        </w:trPr>
        <w:tc>
          <w:tcPr>
            <w:tcW w:w="2126" w:type="dxa"/>
            <w:shd w:val="clear" w:color="auto" w:fill="FFFFFF" w:themeFill="background1"/>
          </w:tcPr>
          <w:p w:rsidR="008B7049" w:rsidRPr="009766D2" w:rsidRDefault="008B7049" w:rsidP="00310690">
            <w:pPr>
              <w:spacing w:before="120" w:after="60"/>
              <w:jc w:val="left"/>
              <w:rPr>
                <w:b/>
                <w:sz w:val="16"/>
                <w:szCs w:val="16"/>
              </w:rPr>
            </w:pPr>
            <w:r w:rsidRPr="009766D2">
              <w:rPr>
                <w:b/>
                <w:sz w:val="16"/>
                <w:szCs w:val="16"/>
              </w:rPr>
              <w:t>obce</w:t>
            </w:r>
          </w:p>
        </w:tc>
        <w:tc>
          <w:tcPr>
            <w:tcW w:w="2552" w:type="dxa"/>
            <w:shd w:val="clear" w:color="auto" w:fill="FFFFFF" w:themeFill="background1"/>
          </w:tcPr>
          <w:p w:rsidR="008B7049" w:rsidRPr="009766D2" w:rsidRDefault="008B7049" w:rsidP="00310690">
            <w:pPr>
              <w:spacing w:before="120" w:after="60"/>
              <w:rPr>
                <w:b/>
                <w:sz w:val="16"/>
                <w:szCs w:val="16"/>
              </w:rPr>
            </w:pPr>
            <w:r w:rsidRPr="009766D2">
              <w:rPr>
                <w:b/>
                <w:sz w:val="16"/>
                <w:szCs w:val="16"/>
              </w:rPr>
              <w:t>samosprávne kraje</w:t>
            </w:r>
          </w:p>
        </w:tc>
        <w:tc>
          <w:tcPr>
            <w:tcW w:w="1275" w:type="dxa"/>
            <w:tcBorders>
              <w:right w:val="single" w:sz="4" w:space="0" w:color="auto"/>
            </w:tcBorders>
            <w:shd w:val="clear" w:color="auto" w:fill="FFFFFF" w:themeFill="background1"/>
          </w:tcPr>
          <w:p w:rsidR="008B7049" w:rsidRPr="009766D2" w:rsidRDefault="008B7049" w:rsidP="00310690">
            <w:pPr>
              <w:spacing w:before="120" w:after="60"/>
              <w:rPr>
                <w:b/>
                <w:sz w:val="16"/>
                <w:szCs w:val="16"/>
              </w:rPr>
            </w:pPr>
            <w:r w:rsidRPr="009766D2">
              <w:rPr>
                <w:b/>
                <w:sz w:val="16"/>
                <w:szCs w:val="16"/>
              </w:rPr>
              <w:t>obce</w:t>
            </w:r>
          </w:p>
        </w:tc>
        <w:tc>
          <w:tcPr>
            <w:tcW w:w="1620" w:type="dxa"/>
            <w:tcBorders>
              <w:left w:val="single" w:sz="4" w:space="0" w:color="auto"/>
              <w:right w:val="single" w:sz="12" w:space="0" w:color="auto"/>
            </w:tcBorders>
            <w:shd w:val="clear" w:color="auto" w:fill="FFFFFF" w:themeFill="background1"/>
          </w:tcPr>
          <w:p w:rsidR="008B7049" w:rsidRPr="009766D2" w:rsidRDefault="008B7049" w:rsidP="00310690">
            <w:pPr>
              <w:spacing w:before="120" w:after="60"/>
              <w:rPr>
                <w:b/>
                <w:sz w:val="16"/>
                <w:szCs w:val="16"/>
              </w:rPr>
            </w:pPr>
            <w:r w:rsidRPr="009766D2">
              <w:rPr>
                <w:b/>
                <w:sz w:val="16"/>
                <w:szCs w:val="16"/>
              </w:rPr>
              <w:t>samosprávne kraje</w:t>
            </w:r>
          </w:p>
        </w:tc>
      </w:tr>
      <w:tr w:rsidR="008B7049" w:rsidRPr="00D861B9" w:rsidTr="008B7049">
        <w:trPr>
          <w:jc w:val="center"/>
        </w:trPr>
        <w:tc>
          <w:tcPr>
            <w:tcW w:w="2126" w:type="dxa"/>
            <w:shd w:val="clear" w:color="auto" w:fill="auto"/>
          </w:tcPr>
          <w:p w:rsidR="008B7049" w:rsidRPr="009766D2" w:rsidRDefault="008B7049" w:rsidP="008B7049">
            <w:pPr>
              <w:spacing w:before="120" w:after="60"/>
              <w:jc w:val="left"/>
              <w:rPr>
                <w:sz w:val="16"/>
                <w:szCs w:val="16"/>
              </w:rPr>
            </w:pPr>
            <w:r w:rsidRPr="009766D2">
              <w:rPr>
                <w:sz w:val="16"/>
                <w:szCs w:val="16"/>
              </w:rPr>
              <w:lastRenderedPageBreak/>
              <w:t>úsek matrík</w:t>
            </w:r>
          </w:p>
        </w:tc>
        <w:tc>
          <w:tcPr>
            <w:tcW w:w="2552" w:type="dxa"/>
            <w:shd w:val="clear" w:color="auto" w:fill="auto"/>
          </w:tcPr>
          <w:p w:rsidR="008B7049" w:rsidRPr="009766D2" w:rsidRDefault="008B7049" w:rsidP="008B7049">
            <w:pPr>
              <w:spacing w:before="120" w:after="60"/>
              <w:jc w:val="left"/>
              <w:rPr>
                <w:sz w:val="16"/>
                <w:szCs w:val="16"/>
              </w:rPr>
            </w:pPr>
            <w:r w:rsidRPr="009766D2">
              <w:rPr>
                <w:sz w:val="16"/>
                <w:szCs w:val="16"/>
              </w:rPr>
              <w:t>-</w:t>
            </w:r>
          </w:p>
        </w:tc>
        <w:tc>
          <w:tcPr>
            <w:tcW w:w="1275" w:type="dxa"/>
            <w:tcBorders>
              <w:right w:val="single" w:sz="4" w:space="0" w:color="auto"/>
            </w:tcBorders>
            <w:shd w:val="clear" w:color="auto" w:fill="auto"/>
            <w:vAlign w:val="center"/>
          </w:tcPr>
          <w:p w:rsidR="008B7049" w:rsidRPr="009766D2" w:rsidRDefault="008B7049" w:rsidP="005D0177">
            <w:pPr>
              <w:spacing w:before="120" w:after="60"/>
              <w:jc w:val="right"/>
              <w:rPr>
                <w:sz w:val="16"/>
                <w:szCs w:val="16"/>
              </w:rPr>
            </w:pPr>
            <w:r>
              <w:rPr>
                <w:sz w:val="16"/>
                <w:szCs w:val="16"/>
              </w:rPr>
              <w:t>6 A</w:t>
            </w:r>
          </w:p>
        </w:tc>
        <w:tc>
          <w:tcPr>
            <w:tcW w:w="1620" w:type="dxa"/>
            <w:tcBorders>
              <w:left w:val="single" w:sz="4" w:space="0" w:color="auto"/>
              <w:right w:val="single" w:sz="12" w:space="0" w:color="auto"/>
            </w:tcBorders>
            <w:shd w:val="clear" w:color="auto" w:fill="auto"/>
            <w:vAlign w:val="center"/>
          </w:tcPr>
          <w:p w:rsidR="008B7049" w:rsidRPr="009766D2" w:rsidRDefault="008B7049" w:rsidP="005D0177">
            <w:pPr>
              <w:spacing w:before="120" w:after="60"/>
              <w:jc w:val="right"/>
              <w:rPr>
                <w:sz w:val="16"/>
                <w:szCs w:val="16"/>
              </w:rPr>
            </w:pPr>
            <w:r w:rsidRPr="009766D2">
              <w:rPr>
                <w:sz w:val="16"/>
                <w:szCs w:val="16"/>
              </w:rPr>
              <w:t>-</w:t>
            </w:r>
          </w:p>
        </w:tc>
      </w:tr>
      <w:tr w:rsidR="008B7049" w:rsidRPr="00D861B9" w:rsidTr="008B7049">
        <w:trPr>
          <w:jc w:val="center"/>
        </w:trPr>
        <w:tc>
          <w:tcPr>
            <w:tcW w:w="2126" w:type="dxa"/>
            <w:shd w:val="clear" w:color="auto" w:fill="auto"/>
          </w:tcPr>
          <w:p w:rsidR="008B7049" w:rsidRPr="009766D2" w:rsidRDefault="008B7049" w:rsidP="008B7049">
            <w:pPr>
              <w:spacing w:before="120" w:after="60"/>
              <w:jc w:val="left"/>
              <w:rPr>
                <w:sz w:val="16"/>
                <w:szCs w:val="16"/>
              </w:rPr>
            </w:pPr>
            <w:r w:rsidRPr="009766D2">
              <w:rPr>
                <w:sz w:val="16"/>
                <w:szCs w:val="16"/>
              </w:rPr>
              <w:t>úsek hlásenia pobytu</w:t>
            </w:r>
            <w:r>
              <w:rPr>
                <w:sz w:val="16"/>
                <w:szCs w:val="16"/>
              </w:rPr>
              <w:t xml:space="preserve"> a registra obyvateľov</w:t>
            </w:r>
          </w:p>
        </w:tc>
        <w:tc>
          <w:tcPr>
            <w:tcW w:w="2552" w:type="dxa"/>
            <w:shd w:val="clear" w:color="auto" w:fill="auto"/>
          </w:tcPr>
          <w:p w:rsidR="008B7049" w:rsidRPr="009766D2" w:rsidRDefault="008B7049" w:rsidP="008B7049">
            <w:pPr>
              <w:spacing w:before="120" w:after="60"/>
              <w:jc w:val="left"/>
              <w:rPr>
                <w:sz w:val="16"/>
                <w:szCs w:val="16"/>
              </w:rPr>
            </w:pPr>
            <w:r w:rsidRPr="009766D2">
              <w:rPr>
                <w:sz w:val="16"/>
                <w:szCs w:val="16"/>
              </w:rPr>
              <w:t>-</w:t>
            </w:r>
          </w:p>
        </w:tc>
        <w:tc>
          <w:tcPr>
            <w:tcW w:w="1275" w:type="dxa"/>
            <w:tcBorders>
              <w:right w:val="single" w:sz="4" w:space="0" w:color="auto"/>
            </w:tcBorders>
            <w:shd w:val="clear" w:color="auto" w:fill="auto"/>
            <w:vAlign w:val="center"/>
          </w:tcPr>
          <w:p w:rsidR="008B7049" w:rsidRPr="009766D2" w:rsidRDefault="008B7049" w:rsidP="005D0177">
            <w:pPr>
              <w:spacing w:before="120" w:after="60"/>
              <w:jc w:val="right"/>
              <w:rPr>
                <w:sz w:val="16"/>
                <w:szCs w:val="16"/>
              </w:rPr>
            </w:pPr>
            <w:r w:rsidRPr="00C0186E">
              <w:rPr>
                <w:sz w:val="16"/>
                <w:szCs w:val="16"/>
              </w:rPr>
              <w:t>10 A</w:t>
            </w:r>
          </w:p>
        </w:tc>
        <w:tc>
          <w:tcPr>
            <w:tcW w:w="1620" w:type="dxa"/>
            <w:tcBorders>
              <w:left w:val="single" w:sz="4" w:space="0" w:color="auto"/>
              <w:right w:val="single" w:sz="12" w:space="0" w:color="auto"/>
            </w:tcBorders>
            <w:shd w:val="clear" w:color="auto" w:fill="auto"/>
            <w:vAlign w:val="center"/>
          </w:tcPr>
          <w:p w:rsidR="008B7049" w:rsidRPr="009766D2" w:rsidRDefault="008B7049" w:rsidP="005D0177">
            <w:pPr>
              <w:spacing w:before="120" w:after="60"/>
              <w:jc w:val="right"/>
              <w:rPr>
                <w:sz w:val="16"/>
                <w:szCs w:val="16"/>
              </w:rPr>
            </w:pPr>
            <w:r w:rsidRPr="009766D2">
              <w:rPr>
                <w:sz w:val="16"/>
                <w:szCs w:val="16"/>
              </w:rPr>
              <w:t>-</w:t>
            </w:r>
          </w:p>
        </w:tc>
      </w:tr>
      <w:tr w:rsidR="008B7049" w:rsidRPr="00D861B9" w:rsidTr="008B7049">
        <w:trPr>
          <w:jc w:val="center"/>
        </w:trPr>
        <w:tc>
          <w:tcPr>
            <w:tcW w:w="2126" w:type="dxa"/>
            <w:shd w:val="clear" w:color="auto" w:fill="auto"/>
          </w:tcPr>
          <w:p w:rsidR="008B7049" w:rsidRPr="00146AA7" w:rsidRDefault="008B7049" w:rsidP="008B7049">
            <w:pPr>
              <w:spacing w:before="120" w:after="60"/>
              <w:jc w:val="left"/>
              <w:rPr>
                <w:sz w:val="16"/>
                <w:szCs w:val="16"/>
              </w:rPr>
            </w:pPr>
            <w:r w:rsidRPr="00146AA7">
              <w:rPr>
                <w:sz w:val="16"/>
                <w:szCs w:val="16"/>
              </w:rPr>
              <w:t>úsek ochrany pred požiarmi</w:t>
            </w:r>
          </w:p>
        </w:tc>
        <w:tc>
          <w:tcPr>
            <w:tcW w:w="2552" w:type="dxa"/>
            <w:shd w:val="clear" w:color="auto" w:fill="auto"/>
          </w:tcPr>
          <w:p w:rsidR="008B7049" w:rsidRPr="00146AA7" w:rsidRDefault="008B7049" w:rsidP="008B7049">
            <w:pPr>
              <w:spacing w:before="120" w:after="60"/>
              <w:jc w:val="left"/>
              <w:rPr>
                <w:sz w:val="16"/>
                <w:szCs w:val="16"/>
              </w:rPr>
            </w:pPr>
            <w:r w:rsidRPr="00146AA7">
              <w:rPr>
                <w:sz w:val="16"/>
                <w:szCs w:val="16"/>
              </w:rPr>
              <w:t>-</w:t>
            </w:r>
          </w:p>
        </w:tc>
        <w:tc>
          <w:tcPr>
            <w:tcW w:w="1275" w:type="dxa"/>
            <w:tcBorders>
              <w:right w:val="single" w:sz="4" w:space="0" w:color="auto"/>
            </w:tcBorders>
            <w:shd w:val="clear" w:color="auto" w:fill="auto"/>
            <w:vAlign w:val="center"/>
          </w:tcPr>
          <w:p w:rsidR="008B7049" w:rsidRPr="009766D2" w:rsidRDefault="008B7049" w:rsidP="005D0177">
            <w:pPr>
              <w:spacing w:before="120" w:after="60"/>
              <w:jc w:val="right"/>
              <w:rPr>
                <w:sz w:val="16"/>
                <w:szCs w:val="16"/>
              </w:rPr>
            </w:pPr>
            <w:r>
              <w:rPr>
                <w:sz w:val="16"/>
                <w:szCs w:val="16"/>
              </w:rPr>
              <w:t>4 A</w:t>
            </w:r>
          </w:p>
        </w:tc>
        <w:tc>
          <w:tcPr>
            <w:tcW w:w="1620" w:type="dxa"/>
            <w:tcBorders>
              <w:left w:val="single" w:sz="4" w:space="0" w:color="auto"/>
              <w:right w:val="single" w:sz="12" w:space="0" w:color="auto"/>
            </w:tcBorders>
            <w:shd w:val="clear" w:color="auto" w:fill="auto"/>
            <w:vAlign w:val="center"/>
          </w:tcPr>
          <w:p w:rsidR="008B7049" w:rsidRPr="009766D2" w:rsidRDefault="008B7049" w:rsidP="005D0177">
            <w:pPr>
              <w:spacing w:before="120" w:after="60"/>
              <w:jc w:val="right"/>
              <w:rPr>
                <w:sz w:val="16"/>
                <w:szCs w:val="16"/>
              </w:rPr>
            </w:pPr>
            <w:r>
              <w:rPr>
                <w:sz w:val="16"/>
                <w:szCs w:val="16"/>
              </w:rPr>
              <w:t>-</w:t>
            </w:r>
          </w:p>
        </w:tc>
      </w:tr>
      <w:tr w:rsidR="008B7049" w:rsidRPr="00D861B9" w:rsidTr="008B7049">
        <w:trPr>
          <w:jc w:val="center"/>
        </w:trPr>
        <w:tc>
          <w:tcPr>
            <w:tcW w:w="2126" w:type="dxa"/>
            <w:shd w:val="clear" w:color="auto" w:fill="auto"/>
          </w:tcPr>
          <w:p w:rsidR="008B7049" w:rsidRPr="00146AA7" w:rsidRDefault="008B7049" w:rsidP="008B7049">
            <w:pPr>
              <w:spacing w:before="120" w:after="60"/>
              <w:jc w:val="left"/>
              <w:rPr>
                <w:sz w:val="16"/>
                <w:szCs w:val="16"/>
              </w:rPr>
            </w:pPr>
            <w:r>
              <w:rPr>
                <w:sz w:val="16"/>
                <w:szCs w:val="16"/>
              </w:rPr>
              <w:t>úsek volieb a referenda</w:t>
            </w:r>
          </w:p>
        </w:tc>
        <w:tc>
          <w:tcPr>
            <w:tcW w:w="2552" w:type="dxa"/>
            <w:shd w:val="clear" w:color="auto" w:fill="auto"/>
          </w:tcPr>
          <w:p w:rsidR="008B7049" w:rsidRPr="00146AA7" w:rsidRDefault="008B7049" w:rsidP="008B7049">
            <w:pPr>
              <w:spacing w:before="120" w:after="60"/>
              <w:jc w:val="left"/>
              <w:rPr>
                <w:sz w:val="16"/>
                <w:szCs w:val="16"/>
              </w:rPr>
            </w:pPr>
            <w:r>
              <w:rPr>
                <w:sz w:val="16"/>
                <w:szCs w:val="16"/>
              </w:rPr>
              <w:t>-</w:t>
            </w:r>
          </w:p>
        </w:tc>
        <w:tc>
          <w:tcPr>
            <w:tcW w:w="1275" w:type="dxa"/>
            <w:tcBorders>
              <w:right w:val="single" w:sz="4" w:space="0" w:color="auto"/>
            </w:tcBorders>
            <w:shd w:val="clear" w:color="auto" w:fill="auto"/>
            <w:vAlign w:val="center"/>
          </w:tcPr>
          <w:p w:rsidR="008B7049" w:rsidRPr="009766D2" w:rsidRDefault="008B7049" w:rsidP="005D0177">
            <w:pPr>
              <w:spacing w:before="120" w:after="60"/>
              <w:jc w:val="right"/>
              <w:rPr>
                <w:sz w:val="16"/>
                <w:szCs w:val="16"/>
              </w:rPr>
            </w:pPr>
            <w:r>
              <w:rPr>
                <w:sz w:val="16"/>
                <w:szCs w:val="16"/>
              </w:rPr>
              <w:t>33 A / 17 V</w:t>
            </w:r>
          </w:p>
        </w:tc>
        <w:tc>
          <w:tcPr>
            <w:tcW w:w="1620" w:type="dxa"/>
            <w:tcBorders>
              <w:left w:val="single" w:sz="4" w:space="0" w:color="auto"/>
              <w:right w:val="single" w:sz="12" w:space="0" w:color="auto"/>
            </w:tcBorders>
            <w:shd w:val="clear" w:color="auto" w:fill="auto"/>
            <w:vAlign w:val="center"/>
          </w:tcPr>
          <w:p w:rsidR="008B7049" w:rsidRDefault="008B7049" w:rsidP="005D0177">
            <w:pPr>
              <w:spacing w:before="120" w:after="60"/>
              <w:jc w:val="right"/>
              <w:rPr>
                <w:sz w:val="16"/>
                <w:szCs w:val="16"/>
              </w:rPr>
            </w:pPr>
            <w:r>
              <w:rPr>
                <w:sz w:val="16"/>
                <w:szCs w:val="16"/>
              </w:rPr>
              <w:t>-</w:t>
            </w:r>
          </w:p>
        </w:tc>
      </w:tr>
    </w:tbl>
    <w:p w:rsidR="00841DC0" w:rsidRPr="00841DC0" w:rsidRDefault="00841DC0" w:rsidP="00841DC0">
      <w:pPr>
        <w:keepNext/>
        <w:tabs>
          <w:tab w:val="left" w:pos="1276"/>
        </w:tabs>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Ministerstvo vnútra</w:t>
      </w:r>
      <w:r w:rsidR="00205E46">
        <w:rPr>
          <w:rFonts w:eastAsia="Times New Roman" w:cs="Times New Roman"/>
          <w:sz w:val="22"/>
          <w:lang w:eastAsia="cs-CZ"/>
        </w:rPr>
        <w:t xml:space="preserve"> Slovenskej republiky (ďalej len „ministerstvo vnútra“)</w:t>
      </w:r>
      <w:r w:rsidRPr="00841DC0">
        <w:rPr>
          <w:rFonts w:eastAsia="Times New Roman" w:cs="Times New Roman"/>
          <w:sz w:val="22"/>
          <w:lang w:eastAsia="cs-CZ"/>
        </w:rPr>
        <w:t xml:space="preserve">  pri audite vychádzalo z rezortnej štatistiky a údajov poskytnutých obvodnými úradmi. Nakoľko ministerstvo vnútra nezbiera údaje o výkone prenesených pôsobností na úseku ochrany pred požiarmi, pre potreby získania podkladov oslovilo priamo 1345 obcí.   </w:t>
      </w:r>
    </w:p>
    <w:p w:rsidR="00841DC0" w:rsidRPr="00841DC0" w:rsidRDefault="00841DC0" w:rsidP="00841DC0">
      <w:pPr>
        <w:keepNext/>
        <w:tabs>
          <w:tab w:val="left" w:pos="1276"/>
        </w:tabs>
        <w:spacing w:before="120" w:after="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1.2.</w:t>
      </w:r>
      <w:r w:rsidRPr="00841DC0">
        <w:rPr>
          <w:rFonts w:eastAsia="Times New Roman" w:cs="Times New Roman"/>
          <w:sz w:val="22"/>
          <w:u w:val="single"/>
          <w:lang w:eastAsia="cs-CZ"/>
        </w:rPr>
        <w:tab/>
        <w:t>Kvantifikácia výkonu prenesených pôsobností</w:t>
      </w:r>
    </w:p>
    <w:p w:rsidR="00841DC0" w:rsidRPr="00841DC0" w:rsidRDefault="00841DC0" w:rsidP="00841DC0">
      <w:pPr>
        <w:spacing w:before="120" w:after="0" w:line="240" w:lineRule="auto"/>
        <w:ind w:firstLine="709"/>
        <w:jc w:val="both"/>
        <w:rPr>
          <w:rFonts w:cs="Times New Roman"/>
          <w:sz w:val="22"/>
        </w:rPr>
      </w:pPr>
      <w:r w:rsidRPr="00841DC0">
        <w:rPr>
          <w:rFonts w:cs="Times New Roman"/>
          <w:sz w:val="22"/>
        </w:rPr>
        <w:t xml:space="preserve">Špecifikom preneseného výkonu štátnej správy na úseku matrík je, že ju nevykonávajú všetky obce. </w:t>
      </w:r>
      <w:r w:rsidR="00545707">
        <w:rPr>
          <w:rFonts w:cs="Times New Roman"/>
          <w:sz w:val="22"/>
        </w:rPr>
        <w:t xml:space="preserve">Matriku ako výkon štátnej správy vedie obec (v hlavnom meste SR v Bratislave a meste Košiciach mestské časti), ktoré sú uvedené v prílohe zákona o matrikách (ďalej len „matričný úrad“). </w:t>
      </w:r>
      <w:r w:rsidRPr="00841DC0">
        <w:rPr>
          <w:rFonts w:cs="Times New Roman"/>
          <w:sz w:val="22"/>
        </w:rPr>
        <w:t>Matričných úradov</w:t>
      </w:r>
      <w:r w:rsidR="00331033">
        <w:rPr>
          <w:rFonts w:cs="Times New Roman"/>
          <w:sz w:val="22"/>
        </w:rPr>
        <w:t xml:space="preserve"> v gescii ministerstva vnútra </w:t>
      </w:r>
      <w:r w:rsidRPr="00841DC0">
        <w:rPr>
          <w:rFonts w:cs="Times New Roman"/>
          <w:sz w:val="22"/>
        </w:rPr>
        <w:t>je 97</w:t>
      </w:r>
      <w:r w:rsidR="00331033">
        <w:rPr>
          <w:rFonts w:cs="Times New Roman"/>
          <w:sz w:val="22"/>
        </w:rPr>
        <w:t>1 (</w:t>
      </w:r>
      <w:r w:rsidR="006B44C6">
        <w:rPr>
          <w:rFonts w:cs="Times New Roman"/>
          <w:sz w:val="22"/>
        </w:rPr>
        <w:t>3</w:t>
      </w:r>
      <w:r w:rsidR="00331033">
        <w:rPr>
          <w:rFonts w:cs="Times New Roman"/>
          <w:sz w:val="22"/>
        </w:rPr>
        <w:t xml:space="preserve"> vojenské obvody sú v gescii Ministerstva obrany Slovenskej republiky)</w:t>
      </w:r>
      <w:r w:rsidR="00545707">
        <w:rPr>
          <w:rFonts w:cs="Times New Roman"/>
          <w:sz w:val="22"/>
        </w:rPr>
        <w:t xml:space="preserve">. Územné </w:t>
      </w:r>
      <w:r w:rsidR="00545707" w:rsidRPr="00841DC0">
        <w:rPr>
          <w:rFonts w:cs="Times New Roman"/>
          <w:sz w:val="22"/>
        </w:rPr>
        <w:t xml:space="preserve"> obvody </w:t>
      </w:r>
      <w:r w:rsidR="00545707">
        <w:rPr>
          <w:rFonts w:cs="Times New Roman"/>
          <w:sz w:val="22"/>
        </w:rPr>
        <w:t xml:space="preserve">matričných úradov boli ustanovené Vyhláškou Ministerstva vnútra Slovenskej republiky č. 529/2001 Z. z.  </w:t>
      </w:r>
    </w:p>
    <w:p w:rsidR="008D08DF" w:rsidRPr="00EF7A17" w:rsidRDefault="008D08DF" w:rsidP="008D08DF">
      <w:pPr>
        <w:spacing w:before="120" w:after="0" w:line="240" w:lineRule="auto"/>
        <w:ind w:right="-115" w:firstLine="709"/>
        <w:jc w:val="both"/>
        <w:rPr>
          <w:rFonts w:cs="Times New Roman"/>
          <w:sz w:val="22"/>
        </w:rPr>
      </w:pPr>
      <w:r w:rsidRPr="00EF7A17">
        <w:rPr>
          <w:rFonts w:cs="Times New Roman"/>
          <w:sz w:val="22"/>
        </w:rPr>
        <w:t xml:space="preserve">V rezorte ministerstva vnútra sú úseky z hľadiska iných úkonov obcí značne frekventované. Na úseku matrík bol počet úkonov 342 253, na úseku hlásenia pobytu a registra obyvateľov 575 901. Je možné konštatovať, že počet úkonov je závislý od veľkosti obce. Najviac úkonov vykazujú obce v kategórii D (na úseku 305 067, na úseku hlásenia pobytu a registra obyvateľov </w:t>
      </w:r>
      <w:r w:rsidR="006C3F1A" w:rsidRPr="00EF7A17">
        <w:rPr>
          <w:rFonts w:cs="Times New Roman"/>
          <w:sz w:val="22"/>
        </w:rPr>
        <w:t>345 257)</w:t>
      </w:r>
      <w:r w:rsidRPr="00EF7A17">
        <w:rPr>
          <w:rFonts w:cs="Times New Roman"/>
          <w:sz w:val="22"/>
        </w:rPr>
        <w:t xml:space="preserve">. Na týchto úsekoch neboli zaznamenané žiadne sťažnosti. Zamestnanci matričných úradov v sledovanom období spĺňali kvalifikačný predpoklad pre výkon matričnej agendy, mali vykonané matričné skúšky vyplývajúce zo zákona o matrikách. </w:t>
      </w:r>
    </w:p>
    <w:p w:rsidR="00841DC0" w:rsidRPr="00EF7A17" w:rsidRDefault="00841DC0" w:rsidP="00841DC0">
      <w:pPr>
        <w:spacing w:before="120" w:after="0" w:line="240" w:lineRule="auto"/>
        <w:ind w:right="-115" w:firstLine="709"/>
        <w:jc w:val="both"/>
        <w:rPr>
          <w:rFonts w:cs="Times New Roman"/>
          <w:sz w:val="22"/>
        </w:rPr>
      </w:pPr>
      <w:r w:rsidRPr="00EF7A17">
        <w:rPr>
          <w:rFonts w:cs="Times New Roman"/>
          <w:sz w:val="22"/>
        </w:rPr>
        <w:t>Na úseku ochrany pred požiarmi inštitút vydávania rozhodnutí o vylúčení vecí z používania bol v roku 2011 obcami uplatňovaný v najužšom rozsahu, predstavoval len 0,05 % prípadov protipožiarnych kontrol. Pri preukázaní porušenia všeobecne záväzného právneho predpisu na úseku ochrany pred požiarmi fyzickou, resp. právnickou osobou, nie je obec oprávnená ukladať sankcie (okrem vylúčenia veci z používania). Počet zamestnancov s odbornou spôsobilosťou je možné hodnotiť ako nedostatočný</w:t>
      </w:r>
      <w:r w:rsidR="00EC1633">
        <w:rPr>
          <w:rFonts w:cs="Times New Roman"/>
          <w:sz w:val="22"/>
        </w:rPr>
        <w:t>,</w:t>
      </w:r>
      <w:r w:rsidRPr="00EF7A17">
        <w:rPr>
          <w:rFonts w:cs="Times New Roman"/>
          <w:sz w:val="22"/>
        </w:rPr>
        <w:t xml:space="preserve"> a to vzhľadom na početnosť a charakter výkonu protipožiarnych kontrol, na ktorých by sa mali vo väčšej miere podieľať práve zamestnanci s odbornou spôsobilosťou a nie laici (preškolené osoby z radov členov dobrovoľnej požiarnej ochrany a pod.), ako to umožňuje dnešný právny stav.  Možnosť obcí združovať sa  pre plnenie úloh v rámci preneseného výkonu štátnej správy na úseku ochrany pred požiarmi do spoločných obecných úradov  najviac využili  obce v kategórii A, u obcí v kategórii D túto možnosť nevyužila v sledovanom obcí ani jedna obec.</w:t>
      </w:r>
    </w:p>
    <w:p w:rsidR="00841DC0" w:rsidRPr="00841DC0" w:rsidRDefault="00841DC0" w:rsidP="00841DC0">
      <w:pPr>
        <w:tabs>
          <w:tab w:val="left" w:pos="1276"/>
        </w:tabs>
        <w:spacing w:before="120" w:after="120" w:line="240" w:lineRule="auto"/>
        <w:ind w:firstLine="709"/>
        <w:jc w:val="both"/>
        <w:rPr>
          <w:rFonts w:eastAsia="Times New Roman" w:cs="Times New Roman"/>
          <w:sz w:val="22"/>
          <w:lang w:eastAsia="cs-CZ"/>
        </w:rPr>
      </w:pPr>
      <w:r w:rsidRPr="00841DC0">
        <w:rPr>
          <w:rFonts w:eastAsia="Times New Roman" w:cs="Times New Roman"/>
          <w:sz w:val="22"/>
          <w:u w:val="single"/>
          <w:lang w:eastAsia="cs-CZ"/>
        </w:rPr>
        <w:t>1.3.</w:t>
      </w:r>
      <w:r w:rsidRPr="00841DC0">
        <w:rPr>
          <w:rFonts w:eastAsia="Times New Roman" w:cs="Times New Roman"/>
          <w:sz w:val="22"/>
          <w:u w:val="single"/>
          <w:lang w:eastAsia="cs-CZ"/>
        </w:rPr>
        <w:tab/>
        <w:t>Zhodnotenie kvality výkonu prenesených pôsobností</w:t>
      </w:r>
    </w:p>
    <w:p w:rsidR="00841DC0" w:rsidRPr="00841DC0" w:rsidRDefault="00841DC0" w:rsidP="00841DC0">
      <w:pPr>
        <w:widowControl w:val="0"/>
        <w:spacing w:before="120" w:after="0" w:line="240" w:lineRule="auto"/>
        <w:ind w:firstLine="709"/>
        <w:jc w:val="both"/>
        <w:rPr>
          <w:rFonts w:cs="Times New Roman"/>
          <w:sz w:val="22"/>
        </w:rPr>
      </w:pPr>
      <w:r w:rsidRPr="00841DC0">
        <w:rPr>
          <w:rFonts w:cs="Times New Roman"/>
          <w:sz w:val="22"/>
        </w:rPr>
        <w:t>Plnenie úloh preneseného výkonu štátnej správy v gescii ministerstva vnútra je zabezpečované kvalitne</w:t>
      </w:r>
      <w:r w:rsidR="00DA5258">
        <w:rPr>
          <w:rFonts w:cs="Times New Roman"/>
          <w:sz w:val="22"/>
        </w:rPr>
        <w:t xml:space="preserve"> s výnimkou úseku ochrany pred požiarmi (3 zo 4 úloh sú hodnotené nekvalitne). V</w:t>
      </w:r>
      <w:r w:rsidRPr="00841DC0">
        <w:rPr>
          <w:rFonts w:cs="Times New Roman"/>
          <w:sz w:val="22"/>
        </w:rPr>
        <w:t xml:space="preserve"> podkladoch sa neuvádzajú žiadne sťažnosti s preukázanými zisteniami o porušení práva či o iných podstatných nedostatkoch.  Úlohy spojené s prípravou a vykonaním jednotlivých druhov volieb plnili obce doteraz v lehotách a neboli zaznamenané prípady opakovania volieb z dôvodu ich nečinnosti. </w:t>
      </w:r>
    </w:p>
    <w:p w:rsidR="00841DC0" w:rsidRPr="00841DC0" w:rsidRDefault="00841DC0" w:rsidP="00841DC0">
      <w:pPr>
        <w:spacing w:before="120" w:after="0" w:line="240" w:lineRule="auto"/>
        <w:ind w:firstLine="709"/>
        <w:jc w:val="both"/>
        <w:rPr>
          <w:rFonts w:cs="Times New Roman"/>
          <w:sz w:val="22"/>
        </w:rPr>
      </w:pPr>
      <w:r w:rsidRPr="00841DC0">
        <w:rPr>
          <w:rFonts w:cs="Times New Roman"/>
          <w:sz w:val="22"/>
        </w:rPr>
        <w:t xml:space="preserve">Drobné nedostatky boli zaznamenané najmä v malých obciach, kde majú matrikárky a zamestnanci ohlasovní kumulované funkcie alebo agendu vykonáva priamo starosta obce. Z dôvodu veľkého množstva povinností vyplývajúcich z týchto kumulovaných funkcií, nezostáva im dostatok času venovať sa plnohodnotne činnosti na jednom úseku (či už matričnej agende alebo hláseniu pobytu), čo negatívne ovplyvňuje aj ich kvalitu práce. </w:t>
      </w:r>
    </w:p>
    <w:p w:rsidR="00D961E2" w:rsidRDefault="00D961E2" w:rsidP="00841DC0">
      <w:pPr>
        <w:spacing w:before="120" w:after="0" w:line="240" w:lineRule="auto"/>
        <w:ind w:firstLine="709"/>
        <w:jc w:val="both"/>
        <w:rPr>
          <w:rFonts w:cs="Times New Roman"/>
          <w:sz w:val="22"/>
        </w:rPr>
      </w:pPr>
      <w:r>
        <w:rPr>
          <w:rFonts w:cs="Times New Roman"/>
          <w:sz w:val="22"/>
        </w:rPr>
        <w:t xml:space="preserve">V zmysle zákona o matrikách obvodné úrady vykonávajú na matričných úradoch vo svojom územnom obvode najmenej raz za rok kontrolu vedenia matrík </w:t>
      </w:r>
      <w:r w:rsidR="003A735A">
        <w:rPr>
          <w:rFonts w:cs="Times New Roman"/>
          <w:sz w:val="22"/>
        </w:rPr>
        <w:t xml:space="preserve">podľa zbierky listín a ukladá opatrenia na odstránenie nedostatkov. Pri kontrolách vykonaných v roku 2005 a 2011 neboli zistené závažné nedostatky, z ktorých by vyplynulo priame porušenie záväzných právnych predpisov a o výsledku </w:t>
      </w:r>
      <w:r w:rsidR="003A735A">
        <w:rPr>
          <w:rFonts w:cs="Times New Roman"/>
          <w:sz w:val="22"/>
        </w:rPr>
        <w:lastRenderedPageBreak/>
        <w:t>kontroly boli vypracované záznamy. V roku 2011 boli vykonané kontroly na 9</w:t>
      </w:r>
      <w:r w:rsidR="00520FC5">
        <w:rPr>
          <w:rFonts w:cs="Times New Roman"/>
          <w:sz w:val="22"/>
        </w:rPr>
        <w:t>09</w:t>
      </w:r>
      <w:r w:rsidR="003A735A">
        <w:rPr>
          <w:rFonts w:cs="Times New Roman"/>
          <w:sz w:val="22"/>
        </w:rPr>
        <w:t xml:space="preserve"> matričných úradoch. Najčastejšie sa vyskytovali drobné administratívne chyby</w:t>
      </w:r>
      <w:r w:rsidR="00810CDB">
        <w:rPr>
          <w:rFonts w:cs="Times New Roman"/>
          <w:sz w:val="22"/>
        </w:rPr>
        <w:t xml:space="preserve"> (celkovo 12 nálezov)</w:t>
      </w:r>
      <w:r w:rsidR="003A735A">
        <w:rPr>
          <w:rFonts w:cs="Times New Roman"/>
          <w:sz w:val="22"/>
        </w:rPr>
        <w:t xml:space="preserve">, nedostatky sa vyskytli najmä pri vykonávaní zápisov do matričných kníh, na ktoré nemajú zamestnankyne matrík potrebný čas, dostatočný a primeraný pokoj, ktorý si táto činnosť vyžaduje. Následnými kontrolami bolo zistené, že všetky navrhnuté opatrenia boli splnené a nedostatky odstránené. </w:t>
      </w:r>
      <w:r w:rsidR="00810CDB">
        <w:rPr>
          <w:rFonts w:cs="Times New Roman"/>
          <w:sz w:val="22"/>
        </w:rPr>
        <w:t xml:space="preserve">Podiel nálezov na počet vykonaných kontrol predstavuje 1,32%. </w:t>
      </w:r>
      <w:r w:rsidR="003A735A">
        <w:rPr>
          <w:rFonts w:cs="Times New Roman"/>
          <w:sz w:val="22"/>
        </w:rPr>
        <w:t xml:space="preserve">Z uvedeného vyplýva, že kontroly výkonu matričnej činnosti na matričných úradoch sú vykonávané pravidelne, s prihliadnutím na časové možnosti pracovníkov úseku matrík na obvodných úradoch. </w:t>
      </w:r>
    </w:p>
    <w:p w:rsidR="00841DC0" w:rsidRPr="00841DC0" w:rsidRDefault="00841DC0" w:rsidP="00841DC0">
      <w:pPr>
        <w:spacing w:before="120" w:after="0" w:line="240" w:lineRule="auto"/>
        <w:ind w:firstLine="709"/>
        <w:jc w:val="both"/>
        <w:rPr>
          <w:rFonts w:cs="Times New Roman"/>
          <w:sz w:val="22"/>
        </w:rPr>
      </w:pPr>
      <w:r w:rsidRPr="00841DC0">
        <w:rPr>
          <w:rFonts w:cs="Times New Roman"/>
          <w:sz w:val="22"/>
        </w:rPr>
        <w:t xml:space="preserve">Napriek uvedeným drobným nedostatkom ministerstvo vnútra navrhuje naďalej ponechať prenesený výkon štátnej správy na úseku matrík a hlásenia pobytu bez zmeny. </w:t>
      </w:r>
    </w:p>
    <w:p w:rsidR="00F17712" w:rsidRDefault="00841DC0" w:rsidP="00F17712">
      <w:pPr>
        <w:spacing w:before="120" w:after="0" w:line="240" w:lineRule="auto"/>
        <w:ind w:firstLine="709"/>
        <w:jc w:val="both"/>
        <w:rPr>
          <w:rFonts w:cs="Times New Roman"/>
          <w:sz w:val="22"/>
        </w:rPr>
      </w:pPr>
      <w:r w:rsidRPr="00841DC0">
        <w:rPr>
          <w:rFonts w:cs="Times New Roman"/>
          <w:sz w:val="22"/>
        </w:rPr>
        <w:t>Vzhľadom na percentuálny podiel vydaných rozhodnutí z celkového počtu kontrol, ktoré vykonali obce  pri plnení úloh na úseku ochrany pred požiarmi (vo väčšine prípadov ide o max. 1%)</w:t>
      </w:r>
      <w:r w:rsidR="00EC1633">
        <w:rPr>
          <w:rFonts w:cs="Times New Roman"/>
          <w:sz w:val="22"/>
        </w:rPr>
        <w:t>,</w:t>
      </w:r>
      <w:r w:rsidRPr="00841DC0">
        <w:rPr>
          <w:rFonts w:cs="Times New Roman"/>
          <w:sz w:val="22"/>
        </w:rPr>
        <w:t xml:space="preserve"> sa táto administratívna kompetencia na úseku preneseného výkonu štátnej správy javí ako neefektívna, málo účinná. Obce ukladanie opatrení na odstránenie zistených nedostatkov formou rozhodnutia nerealizujú v dostatočnom rozsahu. Samotné rozhodnutia sú vydávané v rozpore s ustanoveniami zákona o ochrane pred požiarmi, ako aj Správneho  poriadku. Z hľadiska procesnej a formálnej stránky sa vyznačujú taktiež nedostatkami. Z uvedeného dôvodu sú vydané niektoré už právoplatné rozhodnutia v rozpore so zákonom. Inštitút vylúčenia veci z používania je uplatňovaný obcami v rámci preneseného výkonu štátnej správy na úseku ochrany pred požiarmi v minimálnej miere, javí sa ako neefektívny.  Preto ministerstvo vnútra v rámci pripravovanej zmeny zákona o ochrane pred požiarmi uvažuje najmä s podstatným zúžením činností preneseného výkonu štátnej správy na úseku ochrany pred požiarmi, ktoré by mali realizovať obce, vypustením inštitútu rozhodovania o vylúčení veci z používania, presnejším stanovením podmienok pre osoby s odbornou spôsobilosťou , ktoré budú oprávnené vykonávať pre obce činnosti v rámci preneseného výkonu štátnej správy, zrušením inštitútu </w:t>
      </w:r>
      <w:proofErr w:type="spellStart"/>
      <w:r w:rsidRPr="00841DC0">
        <w:rPr>
          <w:rFonts w:cs="Times New Roman"/>
          <w:sz w:val="22"/>
        </w:rPr>
        <w:t>preventivára</w:t>
      </w:r>
      <w:proofErr w:type="spellEnd"/>
      <w:r w:rsidRPr="00841DC0">
        <w:rPr>
          <w:rFonts w:cs="Times New Roman"/>
          <w:sz w:val="22"/>
        </w:rPr>
        <w:t xml:space="preserve"> požiarnej ochrany obce a nahradením jeho činnosti prostredníctvom osoby s odbornou spôsobilosťou technika požiarnej ochrany.</w:t>
      </w:r>
    </w:p>
    <w:p w:rsidR="00F17712" w:rsidRDefault="00841DC0" w:rsidP="00F17712">
      <w:pPr>
        <w:spacing w:before="120" w:after="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1.4.</w:t>
      </w:r>
      <w:r w:rsidRPr="00841DC0">
        <w:rPr>
          <w:rFonts w:eastAsia="Times New Roman" w:cs="Times New Roman"/>
          <w:sz w:val="22"/>
          <w:u w:val="single"/>
          <w:lang w:eastAsia="cs-CZ"/>
        </w:rPr>
        <w:tab/>
        <w:t>Financovanie výkonu prenesených pôsobností</w:t>
      </w:r>
    </w:p>
    <w:p w:rsidR="00F17712" w:rsidRPr="00342167" w:rsidRDefault="00CD765C" w:rsidP="00F17712">
      <w:pPr>
        <w:spacing w:before="120" w:after="0" w:line="240" w:lineRule="auto"/>
        <w:ind w:firstLine="709"/>
        <w:jc w:val="both"/>
        <w:rPr>
          <w:rFonts w:cs="Times New Roman"/>
          <w:sz w:val="22"/>
        </w:rPr>
      </w:pPr>
      <w:r w:rsidRPr="00CD765C">
        <w:rPr>
          <w:rFonts w:cs="Times New Roman"/>
          <w:sz w:val="22"/>
        </w:rPr>
        <w:t>V roku 2001 bola matričná agenda vykonávaná na okresných úradoch spolu s osvedčovacou agendou (osvedčovacia agenda bola odčlenená od matričnej a daná ako samosprávna pôsobnosť obciam od 1. 1. 2002). Útvary obvodných úradov nevedeli poskytnúť informáciu o financovaní matričnej agendy za rok 2001. Na základe informácií od ministerstva vnútra, podľa vyjadrenia zástupcov niektorých obcí, sú skutočné výdavky na úseku matrík v sledovanom období vyššie ako dotácie zo štátneho rozpočtu. Obce preto v uvedenej oblasti využívajú aj vlastné finančné prostriedky.</w:t>
      </w:r>
      <w:r w:rsidR="00342167">
        <w:rPr>
          <w:rFonts w:cs="Times New Roman"/>
          <w:sz w:val="22"/>
        </w:rPr>
        <w:t xml:space="preserve"> </w:t>
      </w:r>
      <w:r w:rsidR="00342167" w:rsidRPr="00342167">
        <w:rPr>
          <w:rFonts w:cs="Times New Roman"/>
          <w:sz w:val="22"/>
        </w:rPr>
        <w:t xml:space="preserve">V tejto súvislosti je potrebné poukázať na skutočnosť, že vykazovaný nedostatok finančných prostriedkov do značnej miery súvisí od prístupu k jeho vyčísleniu (obce majú príjmy napríklad z osvedčovacej činnosti, ktorá do istej miery súvisí s výkonom matričnej agendy, avšak tieto príjmy nezohľadňujú pri konštatovaní všeobecného nedostatku finančných prostriedkov). Zároveň, </w:t>
      </w:r>
      <w:r w:rsidR="00342167">
        <w:rPr>
          <w:rFonts w:cs="Times New Roman"/>
          <w:sz w:val="22"/>
        </w:rPr>
        <w:t>poukazovanie</w:t>
      </w:r>
      <w:r w:rsidR="00342167" w:rsidRPr="00342167">
        <w:rPr>
          <w:rFonts w:cs="Times New Roman"/>
          <w:sz w:val="22"/>
        </w:rPr>
        <w:t xml:space="preserve"> </w:t>
      </w:r>
      <w:r w:rsidR="00342167">
        <w:rPr>
          <w:rFonts w:cs="Times New Roman"/>
          <w:sz w:val="22"/>
        </w:rPr>
        <w:t>na nedostatočné</w:t>
      </w:r>
      <w:r w:rsidR="00342167" w:rsidRPr="00342167">
        <w:rPr>
          <w:rFonts w:cs="Times New Roman"/>
          <w:sz w:val="22"/>
        </w:rPr>
        <w:t xml:space="preserve"> </w:t>
      </w:r>
      <w:r w:rsidR="00342167">
        <w:rPr>
          <w:rFonts w:cs="Times New Roman"/>
          <w:sz w:val="22"/>
        </w:rPr>
        <w:t>finančné krytie</w:t>
      </w:r>
      <w:r w:rsidR="00342167" w:rsidRPr="00342167">
        <w:rPr>
          <w:rFonts w:cs="Times New Roman"/>
          <w:sz w:val="22"/>
        </w:rPr>
        <w:t xml:space="preserve"> nie je doložené žiadnymi relevantnými podkladmi.</w:t>
      </w:r>
    </w:p>
    <w:p w:rsidR="00F17712" w:rsidRDefault="00CD765C" w:rsidP="00F17712">
      <w:pPr>
        <w:spacing w:before="120" w:after="0" w:line="240" w:lineRule="auto"/>
        <w:ind w:firstLine="709"/>
        <w:jc w:val="both"/>
        <w:rPr>
          <w:rFonts w:cs="Times New Roman"/>
          <w:sz w:val="22"/>
        </w:rPr>
      </w:pPr>
      <w:r w:rsidRPr="00CD765C">
        <w:rPr>
          <w:rFonts w:cs="Times New Roman"/>
          <w:sz w:val="22"/>
        </w:rPr>
        <w:t>V rokoch 2001 a 2005 zabezpečovali činnosti na úseku hlásenia pobytu na celom území SR obce v rámci svojej samosprávnej pôsobnosti. Výnimkou bolo hlavné mesto SR Bratislava, kde tieto úlohy zabezpečovali okresné riaditeľstvá Policajného zboru. Za toto obdobie obce nevedeli poskytnúť informácie o výdavkoch na úseku hlásenia pobytu (iba ojedinele). Až s účinnosťou zákona č.</w:t>
      </w:r>
      <w:r w:rsidR="00EC1633">
        <w:rPr>
          <w:rFonts w:cs="Times New Roman"/>
          <w:sz w:val="22"/>
        </w:rPr>
        <w:t> </w:t>
      </w:r>
      <w:r w:rsidRPr="00CD765C">
        <w:rPr>
          <w:rFonts w:cs="Times New Roman"/>
          <w:sz w:val="22"/>
        </w:rPr>
        <w:t>253/1998 Z. z. o hlásení pobytu občanov SR a registri obyvateľov SR od 1. 7. 2006 je činnosť obcí na úseku hlásenia pobytu preneseným výkonom štátnej správy a obciam je poskytovaná dotácia na úhradu nákladov na danom úseku. Podľa vyjadrenia obcí sú však skutočné náklady na úseku hlásenia pobytu vyššie ako dotácie z rozpočtovej kapitoly ministerstva vnútra.</w:t>
      </w:r>
    </w:p>
    <w:p w:rsidR="00F17712" w:rsidRDefault="00CD765C" w:rsidP="00F17712">
      <w:pPr>
        <w:spacing w:before="120" w:after="0" w:line="240" w:lineRule="auto"/>
        <w:ind w:firstLine="709"/>
        <w:jc w:val="both"/>
        <w:rPr>
          <w:rFonts w:cs="Times New Roman"/>
          <w:sz w:val="22"/>
        </w:rPr>
      </w:pPr>
      <w:r w:rsidRPr="00CD765C">
        <w:rPr>
          <w:rFonts w:cs="Times New Roman"/>
          <w:sz w:val="22"/>
        </w:rPr>
        <w:t xml:space="preserve">Na úseku ochrany pred požiarmi neboli z kapitoly ministerstva vnútra vynakladané žiadne finančné prostriedky na financovanie výkonu prenesených pôsobností. Dôvodom neposkytovania finančných prostriedkov je, že náklady obcí sú podľa názoru ministerstva vnútra zanedbateľné. </w:t>
      </w:r>
    </w:p>
    <w:p w:rsidR="00CD765C" w:rsidRDefault="00CD765C" w:rsidP="00F17712">
      <w:pPr>
        <w:spacing w:before="120" w:after="0" w:line="240" w:lineRule="auto"/>
        <w:ind w:firstLine="709"/>
        <w:jc w:val="both"/>
        <w:rPr>
          <w:rFonts w:cs="Times New Roman"/>
          <w:sz w:val="22"/>
        </w:rPr>
      </w:pPr>
      <w:r w:rsidRPr="00CD765C">
        <w:rPr>
          <w:rFonts w:cs="Times New Roman"/>
          <w:sz w:val="22"/>
        </w:rPr>
        <w:t>V osobitných zákonoch upravujúcich problematiku volieb a referenda je ustanovené, že výdavky spojené s voľbami sa uhrádzajú zo štátneho rozpočtu SR. Nejde o poskytovanie dotácii, ale o</w:t>
      </w:r>
      <w:r w:rsidR="00205E46">
        <w:rPr>
          <w:rFonts w:cs="Times New Roman"/>
          <w:sz w:val="22"/>
        </w:rPr>
        <w:t> </w:t>
      </w:r>
      <w:r w:rsidRPr="00CD765C">
        <w:rPr>
          <w:rFonts w:cs="Times New Roman"/>
          <w:sz w:val="22"/>
        </w:rPr>
        <w:t xml:space="preserve">refundáciu skutočne vynaložených výdavkov súvisiacich s prípravou a vykonaním volieb </w:t>
      </w:r>
      <w:r w:rsidRPr="00CD765C">
        <w:rPr>
          <w:rFonts w:cs="Times New Roman"/>
          <w:sz w:val="22"/>
        </w:rPr>
        <w:lastRenderedPageBreak/>
        <w:t>a</w:t>
      </w:r>
      <w:r w:rsidR="00205E46">
        <w:rPr>
          <w:rFonts w:cs="Times New Roman"/>
          <w:sz w:val="22"/>
        </w:rPr>
        <w:t> </w:t>
      </w:r>
      <w:r w:rsidRPr="00CD765C">
        <w:rPr>
          <w:rFonts w:cs="Times New Roman"/>
          <w:sz w:val="22"/>
        </w:rPr>
        <w:t>referenda. Keďže  ministerstvo vnútra takýmito údajmi nedisponuje, nie je možné kvantifikovať výdavky, ktoré súvisia s vykonaním volieb v roku 2001, 2005 a 2011 podľa činností a podľa počtu obyvateľov obce.</w:t>
      </w:r>
    </w:p>
    <w:p w:rsidR="00841DC0" w:rsidRPr="00841DC0" w:rsidRDefault="00841DC0" w:rsidP="00CD765C">
      <w:pPr>
        <w:keepNext/>
        <w:tabs>
          <w:tab w:val="left" w:pos="1276"/>
        </w:tabs>
        <w:spacing w:before="120" w:after="12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1.5.</w:t>
      </w:r>
      <w:r w:rsidRPr="00841DC0">
        <w:rPr>
          <w:rFonts w:eastAsia="Times New Roman" w:cs="Times New Roman"/>
          <w:sz w:val="22"/>
          <w:u w:val="single"/>
          <w:lang w:eastAsia="cs-CZ"/>
        </w:rPr>
        <w:tab/>
        <w:t>Návrhy opatrení</w:t>
      </w:r>
    </w:p>
    <w:p w:rsidR="002A1ADD" w:rsidRDefault="002A1ADD" w:rsidP="002A1ADD">
      <w:pPr>
        <w:shd w:val="clear" w:color="auto" w:fill="FFFFFF" w:themeFill="background1"/>
        <w:spacing w:before="120" w:after="0" w:line="240" w:lineRule="auto"/>
        <w:ind w:firstLine="709"/>
        <w:jc w:val="both"/>
        <w:rPr>
          <w:rFonts w:cs="Times New Roman"/>
        </w:rPr>
      </w:pPr>
      <w:r w:rsidRPr="008A0D87">
        <w:rPr>
          <w:rFonts w:eastAsia="Times New Roman" w:cs="Times New Roman"/>
          <w:lang w:eastAsia="cs-CZ"/>
        </w:rPr>
        <w:t>Ministerstvo vnútra navrhlo opatrenia v oblasti legislatívnej, inštitucionálnej ako aj personálnej. Navrhovali riešenia na odstránenie zistených nedostatkov pri plnení úloh preneseného výkonu štátnej správy,  najmä  na úseku matrík</w:t>
      </w:r>
      <w:r>
        <w:rPr>
          <w:rFonts w:eastAsia="Times New Roman" w:cs="Times New Roman"/>
          <w:lang w:eastAsia="cs-CZ"/>
        </w:rPr>
        <w:t xml:space="preserve"> (vykonať analýzu počtu matričných úkonov na matričných úradoch s úväzkom 0,1 až 0,2 a pripraviť návrh na redukciu neefektívnych matričných úradov)</w:t>
      </w:r>
      <w:r w:rsidRPr="008A0D87">
        <w:rPr>
          <w:rFonts w:eastAsia="Times New Roman" w:cs="Times New Roman"/>
          <w:lang w:eastAsia="cs-CZ"/>
        </w:rPr>
        <w:t xml:space="preserve"> a ochrany pred požiarmi</w:t>
      </w:r>
      <w:r>
        <w:rPr>
          <w:rFonts w:eastAsia="Times New Roman" w:cs="Times New Roman"/>
          <w:lang w:eastAsia="cs-CZ"/>
        </w:rPr>
        <w:t xml:space="preserve"> (zrušenie inštitútu </w:t>
      </w:r>
      <w:proofErr w:type="spellStart"/>
      <w:r>
        <w:rPr>
          <w:rFonts w:eastAsia="Times New Roman" w:cs="Times New Roman"/>
          <w:lang w:eastAsia="cs-CZ"/>
        </w:rPr>
        <w:t>preventivára</w:t>
      </w:r>
      <w:proofErr w:type="spellEnd"/>
      <w:r>
        <w:rPr>
          <w:rFonts w:eastAsia="Times New Roman" w:cs="Times New Roman"/>
          <w:lang w:eastAsia="cs-CZ"/>
        </w:rPr>
        <w:t xml:space="preserve"> požiarnej ochrany obce a nahradenie jeho činnosti prostredníctvom osoby s odbornou spôsobilosťou technika požiarnej ochrany, resp. špecialistu požiarnej ochrany, zúženie činností preneseného výkonu štátnej správy a rozšírenie kompetencie výkonu kontroly smerom k obciam vo veciach plnenia preneseného výkonu štátnej správy zo strany okresného riaditeľstva Hasičského a záchranného zboru)</w:t>
      </w:r>
      <w:r w:rsidRPr="008A0D87">
        <w:rPr>
          <w:rFonts w:eastAsia="Times New Roman" w:cs="Times New Roman"/>
          <w:lang w:eastAsia="cs-CZ"/>
        </w:rPr>
        <w:t xml:space="preserve">. </w:t>
      </w:r>
      <w:r>
        <w:rPr>
          <w:rFonts w:eastAsia="Times New Roman" w:cs="Times New Roman"/>
          <w:lang w:eastAsia="cs-CZ"/>
        </w:rPr>
        <w:t xml:space="preserve">Keďže sa potvrdilo opodstatnenie vybudovania </w:t>
      </w:r>
      <w:r w:rsidRPr="00C07289">
        <w:rPr>
          <w:rFonts w:cs="Times New Roman"/>
        </w:rPr>
        <w:t xml:space="preserve">siete </w:t>
      </w:r>
      <w:r>
        <w:rPr>
          <w:rFonts w:cs="Times New Roman"/>
        </w:rPr>
        <w:t>obligatórnych spoločných obecných úradov</w:t>
      </w:r>
      <w:r w:rsidRPr="00C07289">
        <w:rPr>
          <w:rFonts w:cs="Times New Roman"/>
        </w:rPr>
        <w:t xml:space="preserve">, ktoré </w:t>
      </w:r>
      <w:r>
        <w:rPr>
          <w:rFonts w:cs="Times New Roman"/>
        </w:rPr>
        <w:t>môžu prispieť k </w:t>
      </w:r>
      <w:r w:rsidRPr="00C07289">
        <w:rPr>
          <w:rFonts w:cs="Times New Roman"/>
        </w:rPr>
        <w:t>racionalizácii a k skvalitneniu činnosti územnej samosprávy</w:t>
      </w:r>
      <w:r>
        <w:rPr>
          <w:rFonts w:cs="Times New Roman"/>
        </w:rPr>
        <w:t>, ministerstvo vnútra je pripravené i naďalej podporovať proces ich kreovania (dopad to môže mať aj na úseky prenesených pôsobností obcí v gescii iných ministerstiev)</w:t>
      </w:r>
      <w:r w:rsidRPr="00C07289">
        <w:rPr>
          <w:rFonts w:cs="Times New Roman"/>
        </w:rPr>
        <w:t>.</w:t>
      </w:r>
    </w:p>
    <w:p w:rsidR="001B3C15" w:rsidRDefault="001B3C15" w:rsidP="001B3C15">
      <w:pPr>
        <w:shd w:val="clear" w:color="auto" w:fill="FFFFFF" w:themeFill="background1"/>
        <w:spacing w:before="120" w:after="0" w:line="240" w:lineRule="auto"/>
        <w:ind w:firstLine="709"/>
        <w:jc w:val="both"/>
        <w:rPr>
          <w:rFonts w:cs="Times New Roman"/>
        </w:rPr>
      </w:pPr>
      <w:r>
        <w:rPr>
          <w:rFonts w:cs="Times New Roman"/>
        </w:rPr>
        <w:t>Vytvorenie nových informačných systémov CISMA (Centrálny informačný systém matrík) a IS CO (Informačný systém centrálnej ohlasovne) má zvýšiť spokojnosť občanov, podnikateľov a ostatnej verejnosti s verejnou správou v oblasti informatizácie a rozvoja elektronických služieb verejnej správy. CISMA umožní zabezpečiť získanie úradného potvrdenia matričných udalostí pre slovenské a európske orgány a zastupiteľnosť matričných úradov pri vydávaní úradných výpisov o matričných udalostiach rozhodujúcich pre zistenie alebo overenie osobného stavu osoby. Podanie elektronickej žiadosti alebo dopytu bude občanovi umožnené prostredníctvom internetu aj mimo pracovných dní. Termín realizácie projektu (podľa platného harmonogramu) je od júla 2012 do júna 2014.  Ukončená bola jedna z hlavných aktivít projektu Procesná analýza a návrh riešenia. V súčasnosti prebiehajú práce na časti Programové vybavenie IS CISMA a Dokumentácia (tvorba manuálov k softvéru).</w:t>
      </w:r>
    </w:p>
    <w:p w:rsidR="001B3C15" w:rsidRDefault="001B3C15" w:rsidP="001B3C15">
      <w:pPr>
        <w:shd w:val="clear" w:color="auto" w:fill="FFFFFF" w:themeFill="background1"/>
        <w:spacing w:before="120" w:after="0" w:line="240" w:lineRule="auto"/>
        <w:ind w:firstLine="709"/>
        <w:jc w:val="both"/>
        <w:rPr>
          <w:rFonts w:cs="Times New Roman"/>
        </w:rPr>
      </w:pPr>
      <w:r>
        <w:rPr>
          <w:rFonts w:cs="Times New Roman"/>
        </w:rPr>
        <w:t>IS CO je informačný systém centrálnej ohlasovne a elektronických služieb informačného systému centrálnej ohlasovne, ktorý po ukončení realizácie bude ponúkať elektronické služby pre občana pri jeho presťahovaní – ohlásenie miesta, začiatku a ukončenia pobytu na území Slovenskej republiky. Umožní občanom realizovať všetky úkony ohľadne ohlasovania pobytu elektronicky, prostredníctvom internetu. Projekt sa momentálne nachádza v štádiu implementácie a pripravuje sa začatie integračných a akceptačných testov jednotlivých podprojektov. Podprojekty:</w:t>
      </w:r>
    </w:p>
    <w:p w:rsidR="001B3C15" w:rsidRDefault="001B3C15" w:rsidP="001B3C15">
      <w:pPr>
        <w:pStyle w:val="Odsekzoznamu"/>
        <w:numPr>
          <w:ilvl w:val="0"/>
          <w:numId w:val="9"/>
        </w:numPr>
        <w:shd w:val="clear" w:color="auto" w:fill="FFFFFF" w:themeFill="background1"/>
        <w:spacing w:after="0" w:line="240" w:lineRule="auto"/>
        <w:ind w:left="1587" w:hanging="357"/>
        <w:jc w:val="both"/>
        <w:rPr>
          <w:rFonts w:ascii="Times New Roman" w:eastAsia="Times New Roman" w:hAnsi="Times New Roman" w:cs="Times New Roman"/>
          <w:lang w:eastAsia="cs-CZ"/>
        </w:rPr>
      </w:pPr>
      <w:r>
        <w:rPr>
          <w:rFonts w:ascii="Times New Roman" w:eastAsia="Times New Roman" w:hAnsi="Times New Roman" w:cs="Times New Roman"/>
          <w:lang w:eastAsia="cs-CZ"/>
        </w:rPr>
        <w:t>Elektronické služby ohlasovne</w:t>
      </w:r>
    </w:p>
    <w:p w:rsidR="001B3C15" w:rsidRDefault="001B3C15" w:rsidP="001B3C15">
      <w:pPr>
        <w:pStyle w:val="Odsekzoznamu"/>
        <w:numPr>
          <w:ilvl w:val="0"/>
          <w:numId w:val="9"/>
        </w:numPr>
        <w:shd w:val="clear" w:color="auto" w:fill="FFFFFF" w:themeFill="background1"/>
        <w:spacing w:before="120" w:after="0" w:line="240" w:lineRule="auto"/>
        <w:jc w:val="both"/>
        <w:rPr>
          <w:rFonts w:ascii="Times New Roman" w:eastAsia="Times New Roman" w:hAnsi="Times New Roman" w:cs="Times New Roman"/>
          <w:lang w:eastAsia="cs-CZ"/>
        </w:rPr>
      </w:pPr>
      <w:proofErr w:type="spellStart"/>
      <w:r>
        <w:rPr>
          <w:rFonts w:ascii="Times New Roman" w:eastAsia="Times New Roman" w:hAnsi="Times New Roman" w:cs="Times New Roman"/>
          <w:lang w:eastAsia="cs-CZ"/>
        </w:rPr>
        <w:t>Document</w:t>
      </w:r>
      <w:proofErr w:type="spellEnd"/>
      <w:r>
        <w:rPr>
          <w:rFonts w:ascii="Times New Roman" w:eastAsia="Times New Roman" w:hAnsi="Times New Roman" w:cs="Times New Roman"/>
          <w:lang w:eastAsia="cs-CZ"/>
        </w:rPr>
        <w:t xml:space="preserve"> </w:t>
      </w:r>
      <w:proofErr w:type="spellStart"/>
      <w:r>
        <w:rPr>
          <w:rFonts w:ascii="Times New Roman" w:eastAsia="Times New Roman" w:hAnsi="Times New Roman" w:cs="Times New Roman"/>
          <w:lang w:eastAsia="cs-CZ"/>
        </w:rPr>
        <w:t>management</w:t>
      </w:r>
      <w:proofErr w:type="spellEnd"/>
      <w:r>
        <w:rPr>
          <w:rFonts w:ascii="Times New Roman" w:eastAsia="Times New Roman" w:hAnsi="Times New Roman" w:cs="Times New Roman"/>
          <w:lang w:eastAsia="cs-CZ"/>
        </w:rPr>
        <w:t xml:space="preserve"> </w:t>
      </w:r>
      <w:proofErr w:type="spellStart"/>
      <w:r>
        <w:rPr>
          <w:rFonts w:ascii="Times New Roman" w:eastAsia="Times New Roman" w:hAnsi="Times New Roman" w:cs="Times New Roman"/>
          <w:lang w:eastAsia="cs-CZ"/>
        </w:rPr>
        <w:t>system</w:t>
      </w:r>
      <w:proofErr w:type="spellEnd"/>
      <w:r>
        <w:rPr>
          <w:rFonts w:ascii="Times New Roman" w:eastAsia="Times New Roman" w:hAnsi="Times New Roman" w:cs="Times New Roman"/>
          <w:lang w:eastAsia="cs-CZ"/>
        </w:rPr>
        <w:t xml:space="preserve"> (DMS)</w:t>
      </w:r>
    </w:p>
    <w:p w:rsidR="001B3C15" w:rsidRDefault="001B3C15" w:rsidP="001B3C15">
      <w:pPr>
        <w:pStyle w:val="Odsekzoznamu"/>
        <w:numPr>
          <w:ilvl w:val="0"/>
          <w:numId w:val="9"/>
        </w:numPr>
        <w:shd w:val="clear" w:color="auto" w:fill="FFFFFF" w:themeFill="background1"/>
        <w:spacing w:before="120"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Integrácia služieb na </w:t>
      </w:r>
      <w:proofErr w:type="spellStart"/>
      <w:r>
        <w:rPr>
          <w:rFonts w:ascii="Times New Roman" w:eastAsia="Times New Roman" w:hAnsi="Times New Roman" w:cs="Times New Roman"/>
          <w:lang w:eastAsia="cs-CZ"/>
        </w:rPr>
        <w:t>frontend</w:t>
      </w:r>
      <w:proofErr w:type="spellEnd"/>
      <w:r>
        <w:rPr>
          <w:rFonts w:ascii="Times New Roman" w:eastAsia="Times New Roman" w:hAnsi="Times New Roman" w:cs="Times New Roman"/>
          <w:lang w:eastAsia="cs-CZ"/>
        </w:rPr>
        <w:t xml:space="preserve"> a podateľňu</w:t>
      </w:r>
    </w:p>
    <w:p w:rsidR="001B3C15" w:rsidRDefault="001B3C15" w:rsidP="001B3C15">
      <w:pPr>
        <w:pStyle w:val="Odsekzoznamu"/>
        <w:numPr>
          <w:ilvl w:val="0"/>
          <w:numId w:val="9"/>
        </w:numPr>
        <w:shd w:val="clear" w:color="auto" w:fill="FFFFFF" w:themeFill="background1"/>
        <w:spacing w:before="120"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Modul dlhodobej archivácie (MDA)</w:t>
      </w:r>
    </w:p>
    <w:p w:rsidR="001B3C15" w:rsidRDefault="001B3C15" w:rsidP="001B3C15">
      <w:pPr>
        <w:pStyle w:val="Odsekzoznamu"/>
        <w:numPr>
          <w:ilvl w:val="0"/>
          <w:numId w:val="9"/>
        </w:numPr>
        <w:shd w:val="clear" w:color="auto" w:fill="FFFFFF" w:themeFill="background1"/>
        <w:spacing w:before="120"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Portál</w:t>
      </w:r>
    </w:p>
    <w:p w:rsidR="001B3C15" w:rsidRDefault="001B3C15" w:rsidP="001B3C15">
      <w:pPr>
        <w:pStyle w:val="Odsekzoznamu"/>
        <w:numPr>
          <w:ilvl w:val="0"/>
          <w:numId w:val="9"/>
        </w:numPr>
        <w:shd w:val="clear" w:color="auto" w:fill="FFFFFF" w:themeFill="background1"/>
        <w:spacing w:before="120"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E</w:t>
      </w:r>
      <w:r w:rsidR="00167EE7">
        <w:rPr>
          <w:rFonts w:ascii="Times New Roman" w:eastAsia="Times New Roman" w:hAnsi="Times New Roman" w:cs="Times New Roman"/>
          <w:lang w:eastAsia="cs-CZ"/>
        </w:rPr>
        <w:t>lekt</w:t>
      </w:r>
      <w:r>
        <w:rPr>
          <w:rFonts w:ascii="Times New Roman" w:eastAsia="Times New Roman" w:hAnsi="Times New Roman" w:cs="Times New Roman"/>
          <w:lang w:eastAsia="cs-CZ"/>
        </w:rPr>
        <w:t>r</w:t>
      </w:r>
      <w:r w:rsidR="00167EE7">
        <w:rPr>
          <w:rFonts w:ascii="Times New Roman" w:eastAsia="Times New Roman" w:hAnsi="Times New Roman" w:cs="Times New Roman"/>
          <w:lang w:eastAsia="cs-CZ"/>
        </w:rPr>
        <w:t>o</w:t>
      </w:r>
      <w:bookmarkStart w:id="0" w:name="_GoBack"/>
      <w:bookmarkEnd w:id="0"/>
      <w:r>
        <w:rPr>
          <w:rFonts w:ascii="Times New Roman" w:eastAsia="Times New Roman" w:hAnsi="Times New Roman" w:cs="Times New Roman"/>
          <w:lang w:eastAsia="cs-CZ"/>
        </w:rPr>
        <w:t>nické komunikačné rozhranie (EKR)</w:t>
      </w:r>
    </w:p>
    <w:p w:rsidR="001B3C15" w:rsidRDefault="001B3C15" w:rsidP="001B3C15">
      <w:pPr>
        <w:pStyle w:val="Odsekzoznamu"/>
        <w:numPr>
          <w:ilvl w:val="0"/>
          <w:numId w:val="9"/>
        </w:numPr>
        <w:shd w:val="clear" w:color="auto" w:fill="FFFFFF" w:themeFill="background1"/>
        <w:spacing w:before="120"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IS </w:t>
      </w:r>
      <w:proofErr w:type="spellStart"/>
      <w:r>
        <w:rPr>
          <w:rFonts w:ascii="Times New Roman" w:eastAsia="Times New Roman" w:hAnsi="Times New Roman" w:cs="Times New Roman"/>
          <w:lang w:eastAsia="cs-CZ"/>
        </w:rPr>
        <w:t>Service</w:t>
      </w:r>
      <w:proofErr w:type="spellEnd"/>
      <w:r>
        <w:rPr>
          <w:rFonts w:ascii="Times New Roman" w:eastAsia="Times New Roman" w:hAnsi="Times New Roman" w:cs="Times New Roman"/>
          <w:lang w:eastAsia="cs-CZ"/>
        </w:rPr>
        <w:t xml:space="preserve"> </w:t>
      </w:r>
      <w:proofErr w:type="spellStart"/>
      <w:r>
        <w:rPr>
          <w:rFonts w:ascii="Times New Roman" w:eastAsia="Times New Roman" w:hAnsi="Times New Roman" w:cs="Times New Roman"/>
          <w:lang w:eastAsia="cs-CZ"/>
        </w:rPr>
        <w:t>desk</w:t>
      </w:r>
      <w:proofErr w:type="spellEnd"/>
      <w:r>
        <w:rPr>
          <w:rFonts w:ascii="Times New Roman" w:eastAsia="Times New Roman" w:hAnsi="Times New Roman" w:cs="Times New Roman"/>
          <w:lang w:eastAsia="cs-CZ"/>
        </w:rPr>
        <w:t xml:space="preserve"> (SDG)</w:t>
      </w:r>
    </w:p>
    <w:p w:rsidR="001B3C15" w:rsidRDefault="001B3C15" w:rsidP="001B3C15">
      <w:pPr>
        <w:pStyle w:val="Odsekzoznamu"/>
        <w:numPr>
          <w:ilvl w:val="0"/>
          <w:numId w:val="9"/>
        </w:numPr>
        <w:shd w:val="clear" w:color="auto" w:fill="FFFFFF" w:themeFill="background1"/>
        <w:spacing w:before="120"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Bezpečnosť (IS SEC)</w:t>
      </w:r>
    </w:p>
    <w:p w:rsidR="001B3C15" w:rsidRPr="00D4142C" w:rsidRDefault="001B3C15" w:rsidP="001B3C15">
      <w:pPr>
        <w:shd w:val="clear" w:color="auto" w:fill="FFFFFF" w:themeFill="background1"/>
        <w:spacing w:after="0" w:line="240" w:lineRule="auto"/>
        <w:jc w:val="both"/>
        <w:rPr>
          <w:rFonts w:eastAsia="Times New Roman" w:cs="Times New Roman"/>
          <w:lang w:eastAsia="cs-CZ"/>
        </w:rPr>
      </w:pPr>
      <w:r>
        <w:rPr>
          <w:rFonts w:eastAsia="Times New Roman" w:cs="Times New Roman"/>
          <w:lang w:eastAsia="cs-CZ"/>
        </w:rPr>
        <w:t xml:space="preserve">Objednaný hardvér a softvér bol kompletne dodaný, aktuálne prebiehajú inštalačné práce. </w:t>
      </w:r>
    </w:p>
    <w:p w:rsidR="00841DC0" w:rsidRPr="00841DC0" w:rsidRDefault="00841DC0" w:rsidP="00841DC0">
      <w:pPr>
        <w:keepNext/>
        <w:tabs>
          <w:tab w:val="left" w:pos="1276"/>
          <w:tab w:val="left" w:pos="1418"/>
        </w:tabs>
        <w:spacing w:before="120" w:after="12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Kritické stanovisko</w:t>
      </w:r>
    </w:p>
    <w:p w:rsidR="00841DC0" w:rsidRPr="00841DC0" w:rsidRDefault="00841DC0" w:rsidP="00841DC0">
      <w:pPr>
        <w:spacing w:before="120" w:after="0" w:line="240" w:lineRule="auto"/>
        <w:ind w:firstLine="709"/>
        <w:jc w:val="both"/>
        <w:rPr>
          <w:rFonts w:cs="Times New Roman"/>
          <w:sz w:val="22"/>
        </w:rPr>
      </w:pPr>
      <w:r w:rsidRPr="00841DC0">
        <w:rPr>
          <w:rFonts w:cs="Times New Roman"/>
          <w:sz w:val="22"/>
        </w:rPr>
        <w:t xml:space="preserve">Ministerstvo vnútra postupovalo podľa jednotnej metodiky. </w:t>
      </w:r>
    </w:p>
    <w:p w:rsidR="00841DC0" w:rsidRPr="00841DC0" w:rsidRDefault="00841DC0" w:rsidP="00841DC0">
      <w:pPr>
        <w:spacing w:before="120" w:after="0" w:line="240" w:lineRule="auto"/>
        <w:ind w:firstLine="709"/>
        <w:jc w:val="both"/>
        <w:rPr>
          <w:rFonts w:cs="Times New Roman"/>
          <w:sz w:val="22"/>
        </w:rPr>
      </w:pPr>
      <w:r w:rsidRPr="00841DC0">
        <w:rPr>
          <w:rFonts w:cs="Times New Roman"/>
          <w:sz w:val="22"/>
        </w:rPr>
        <w:lastRenderedPageBreak/>
        <w:t xml:space="preserve">V podkladoch zhodnotilo decentralizáciu kompetencií, prenesené pôsobnosti na úseku matrík, hlásenia pobytu navrhlo napriek niektorým zisteným nedostatkom ponechať bez zmeny, na úseku ochrany pred požiarmi uvažuje s podstatným zúžením činností preneseného výkonu štátnej správy. </w:t>
      </w:r>
    </w:p>
    <w:p w:rsidR="00841DC0" w:rsidRPr="00841DC0" w:rsidRDefault="00841DC0" w:rsidP="00841DC0">
      <w:pPr>
        <w:spacing w:before="120" w:after="0" w:line="240" w:lineRule="auto"/>
        <w:ind w:firstLine="709"/>
        <w:jc w:val="both"/>
        <w:rPr>
          <w:rFonts w:cs="Times New Roman"/>
          <w:sz w:val="22"/>
        </w:rPr>
      </w:pPr>
      <w:r w:rsidRPr="00841DC0">
        <w:rPr>
          <w:rFonts w:cs="Times New Roman"/>
          <w:sz w:val="22"/>
        </w:rPr>
        <w:t>Chýbal návrh na riešenie finančného zabezpečenia preneseného výkonu štátnej správy na úseku ochrany pred požiarmi (v súčasnej dobe nie je poskytovaná dotácia).</w:t>
      </w:r>
    </w:p>
    <w:p w:rsidR="00841DC0" w:rsidRPr="00841DC0" w:rsidRDefault="00841DC0" w:rsidP="00841DC0">
      <w:pPr>
        <w:spacing w:before="120" w:after="0" w:line="240" w:lineRule="auto"/>
        <w:ind w:firstLine="709"/>
        <w:jc w:val="both"/>
        <w:rPr>
          <w:rFonts w:cs="Times New Roman"/>
          <w:sz w:val="22"/>
        </w:rPr>
      </w:pPr>
      <w:r w:rsidRPr="00841DC0">
        <w:rPr>
          <w:rFonts w:cs="Times New Roman"/>
          <w:sz w:val="22"/>
        </w:rPr>
        <w:t xml:space="preserve">Audit potvrdil, že ministerstvo vnútra nemá k dispozícii dostatok údajov v rezortnej štatistike, najmä o výkone samosprávnych pôsobností.   </w:t>
      </w:r>
    </w:p>
    <w:p w:rsidR="00841DC0" w:rsidRPr="00841DC0" w:rsidRDefault="00841DC0" w:rsidP="00827CF2">
      <w:pPr>
        <w:keepNext/>
        <w:shd w:val="clear" w:color="auto" w:fill="F2F2F2" w:themeFill="background1" w:themeFillShade="F2"/>
        <w:spacing w:before="240" w:after="240" w:line="240" w:lineRule="auto"/>
        <w:jc w:val="both"/>
        <w:rPr>
          <w:rFonts w:cs="Times New Roman"/>
          <w:b/>
          <w:szCs w:val="24"/>
        </w:rPr>
      </w:pPr>
      <w:r w:rsidRPr="00841DC0">
        <w:rPr>
          <w:rFonts w:cs="Times New Roman"/>
          <w:b/>
          <w:szCs w:val="24"/>
        </w:rPr>
        <w:t>Ministerstvo zdravotníctva Slovenskej republiky</w:t>
      </w:r>
    </w:p>
    <w:p w:rsidR="008B7049" w:rsidRPr="00D861B9" w:rsidRDefault="008B7049" w:rsidP="008B7049">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u w:val="single"/>
          <w:lang w:eastAsia="cs-CZ"/>
        </w:rPr>
      </w:pPr>
      <w:r w:rsidRPr="00D861B9">
        <w:rPr>
          <w:rFonts w:eastAsia="Times New Roman" w:cs="Times New Roman"/>
          <w:sz w:val="22"/>
          <w:u w:val="single"/>
          <w:lang w:eastAsia="cs-CZ"/>
        </w:rPr>
        <w:t>1.1.</w:t>
      </w:r>
      <w:r w:rsidRPr="00D861B9">
        <w:rPr>
          <w:rFonts w:eastAsia="Times New Roman" w:cs="Times New Roman"/>
          <w:sz w:val="22"/>
          <w:u w:val="single"/>
          <w:lang w:eastAsia="cs-CZ"/>
        </w:rPr>
        <w:tab/>
        <w:t>Katalóg prenesených pôsobností</w:t>
      </w:r>
    </w:p>
    <w:p w:rsidR="008B7049" w:rsidRPr="00D861B9" w:rsidRDefault="008B7049" w:rsidP="008B7049">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D861B9">
        <w:rPr>
          <w:rFonts w:eastAsia="Times New Roman" w:cs="Times New Roman"/>
          <w:sz w:val="22"/>
          <w:lang w:eastAsia="cs-CZ"/>
        </w:rPr>
        <w:t>Zoznam úsekov štátnej správy prenesených na obce a samosprávne kraje</w:t>
      </w:r>
      <w:r>
        <w:rPr>
          <w:rFonts w:eastAsia="Times New Roman" w:cs="Times New Roman"/>
          <w:sz w:val="22"/>
          <w:lang w:eastAsia="cs-CZ"/>
        </w:rPr>
        <w:t xml:space="preserve"> s údajmi o počte úloh:</w:t>
      </w:r>
    </w:p>
    <w:tbl>
      <w:tblPr>
        <w:tblStyle w:val="Mriekatabuky"/>
        <w:tblW w:w="0" w:type="auto"/>
        <w:jc w:val="center"/>
        <w:tblLook w:val="04A0" w:firstRow="1" w:lastRow="0" w:firstColumn="1" w:lastColumn="0" w:noHBand="0" w:noVBand="1"/>
      </w:tblPr>
      <w:tblGrid>
        <w:gridCol w:w="2126"/>
        <w:gridCol w:w="2552"/>
        <w:gridCol w:w="1275"/>
        <w:gridCol w:w="1620"/>
      </w:tblGrid>
      <w:tr w:rsidR="008B7049" w:rsidRPr="00D861B9" w:rsidTr="005D0177">
        <w:trPr>
          <w:jc w:val="center"/>
        </w:trPr>
        <w:tc>
          <w:tcPr>
            <w:tcW w:w="2126" w:type="dxa"/>
            <w:shd w:val="clear" w:color="auto" w:fill="auto"/>
          </w:tcPr>
          <w:p w:rsidR="008B7049" w:rsidRPr="009766D2" w:rsidRDefault="008B7049" w:rsidP="005D0177">
            <w:pPr>
              <w:shd w:val="clear" w:color="auto" w:fill="F2F2F2" w:themeFill="background1" w:themeFillShade="F2"/>
              <w:spacing w:before="120" w:after="60"/>
              <w:jc w:val="left"/>
              <w:rPr>
                <w:b/>
                <w:sz w:val="16"/>
                <w:szCs w:val="16"/>
              </w:rPr>
            </w:pPr>
            <w:r w:rsidRPr="009766D2">
              <w:rPr>
                <w:b/>
                <w:sz w:val="16"/>
                <w:szCs w:val="16"/>
              </w:rPr>
              <w:t>obce</w:t>
            </w:r>
          </w:p>
        </w:tc>
        <w:tc>
          <w:tcPr>
            <w:tcW w:w="2552" w:type="dxa"/>
            <w:shd w:val="clear" w:color="auto" w:fill="auto"/>
          </w:tcPr>
          <w:p w:rsidR="008B7049" w:rsidRPr="009766D2" w:rsidRDefault="008B7049" w:rsidP="005D0177">
            <w:pPr>
              <w:shd w:val="clear" w:color="auto" w:fill="F2F2F2" w:themeFill="background1" w:themeFillShade="F2"/>
              <w:spacing w:before="120" w:after="60"/>
              <w:rPr>
                <w:b/>
                <w:sz w:val="16"/>
                <w:szCs w:val="16"/>
              </w:rPr>
            </w:pPr>
            <w:r w:rsidRPr="009766D2">
              <w:rPr>
                <w:b/>
                <w:sz w:val="16"/>
                <w:szCs w:val="16"/>
              </w:rPr>
              <w:t>samosprávne kraje</w:t>
            </w:r>
          </w:p>
        </w:tc>
        <w:tc>
          <w:tcPr>
            <w:tcW w:w="1275" w:type="dxa"/>
            <w:tcBorders>
              <w:right w:val="single" w:sz="4" w:space="0" w:color="auto"/>
            </w:tcBorders>
            <w:shd w:val="clear" w:color="auto" w:fill="auto"/>
          </w:tcPr>
          <w:p w:rsidR="008B7049" w:rsidRPr="009766D2" w:rsidRDefault="008B7049" w:rsidP="005D0177">
            <w:pPr>
              <w:shd w:val="clear" w:color="auto" w:fill="F2F2F2" w:themeFill="background1" w:themeFillShade="F2"/>
              <w:spacing w:before="120" w:after="60"/>
              <w:rPr>
                <w:b/>
                <w:sz w:val="16"/>
                <w:szCs w:val="16"/>
              </w:rPr>
            </w:pPr>
            <w:r w:rsidRPr="009766D2">
              <w:rPr>
                <w:b/>
                <w:sz w:val="16"/>
                <w:szCs w:val="16"/>
              </w:rPr>
              <w:t>obce</w:t>
            </w:r>
          </w:p>
        </w:tc>
        <w:tc>
          <w:tcPr>
            <w:tcW w:w="1620" w:type="dxa"/>
            <w:tcBorders>
              <w:left w:val="single" w:sz="4" w:space="0" w:color="auto"/>
              <w:right w:val="single" w:sz="12" w:space="0" w:color="auto"/>
            </w:tcBorders>
            <w:shd w:val="clear" w:color="auto" w:fill="auto"/>
          </w:tcPr>
          <w:p w:rsidR="008B7049" w:rsidRPr="009766D2" w:rsidRDefault="008B7049" w:rsidP="005D0177">
            <w:pPr>
              <w:shd w:val="clear" w:color="auto" w:fill="F2F2F2" w:themeFill="background1" w:themeFillShade="F2"/>
              <w:spacing w:before="120" w:after="60"/>
              <w:rPr>
                <w:b/>
                <w:sz w:val="16"/>
                <w:szCs w:val="16"/>
              </w:rPr>
            </w:pPr>
            <w:r w:rsidRPr="009766D2">
              <w:rPr>
                <w:b/>
                <w:sz w:val="16"/>
                <w:szCs w:val="16"/>
              </w:rPr>
              <w:t>samosprávne kraje</w:t>
            </w:r>
          </w:p>
        </w:tc>
      </w:tr>
      <w:tr w:rsidR="008B7049" w:rsidRPr="00D861B9" w:rsidTr="005D0177">
        <w:trPr>
          <w:jc w:val="center"/>
        </w:trPr>
        <w:tc>
          <w:tcPr>
            <w:tcW w:w="2126" w:type="dxa"/>
            <w:shd w:val="clear" w:color="auto" w:fill="F2F2F2" w:themeFill="background1" w:themeFillShade="F2"/>
            <w:vAlign w:val="center"/>
          </w:tcPr>
          <w:p w:rsidR="008B7049" w:rsidRPr="00146AA7" w:rsidRDefault="008B7049" w:rsidP="005D0177">
            <w:pPr>
              <w:spacing w:before="120" w:after="60"/>
              <w:rPr>
                <w:sz w:val="16"/>
                <w:szCs w:val="16"/>
              </w:rPr>
            </w:pPr>
            <w:r w:rsidRPr="00146AA7">
              <w:rPr>
                <w:sz w:val="16"/>
                <w:szCs w:val="16"/>
              </w:rPr>
              <w:t>-</w:t>
            </w:r>
          </w:p>
        </w:tc>
        <w:tc>
          <w:tcPr>
            <w:tcW w:w="2552" w:type="dxa"/>
            <w:shd w:val="clear" w:color="auto" w:fill="F2F2F2" w:themeFill="background1" w:themeFillShade="F2"/>
            <w:vAlign w:val="center"/>
          </w:tcPr>
          <w:p w:rsidR="008B7049" w:rsidRPr="00146AA7" w:rsidRDefault="008B7049" w:rsidP="005D0177">
            <w:pPr>
              <w:spacing w:before="120" w:after="60"/>
              <w:rPr>
                <w:sz w:val="16"/>
                <w:szCs w:val="16"/>
              </w:rPr>
            </w:pPr>
            <w:r w:rsidRPr="00146AA7">
              <w:rPr>
                <w:sz w:val="16"/>
                <w:szCs w:val="16"/>
              </w:rPr>
              <w:t>úsek zdravotníctva</w:t>
            </w:r>
            <w:r>
              <w:rPr>
                <w:sz w:val="16"/>
                <w:szCs w:val="16"/>
              </w:rPr>
              <w:t xml:space="preserve"> (+ PVŠS pri posudzovaní a kontrole hluku vo vonkajšom prostredí)</w:t>
            </w:r>
          </w:p>
        </w:tc>
        <w:tc>
          <w:tcPr>
            <w:tcW w:w="1275" w:type="dxa"/>
            <w:tcBorders>
              <w:right w:val="single" w:sz="4" w:space="0" w:color="auto"/>
            </w:tcBorders>
            <w:shd w:val="clear" w:color="auto" w:fill="F2F2F2" w:themeFill="background1" w:themeFillShade="F2"/>
            <w:vAlign w:val="center"/>
          </w:tcPr>
          <w:p w:rsidR="008B7049" w:rsidRPr="009766D2" w:rsidRDefault="008B7049" w:rsidP="005D0177">
            <w:pPr>
              <w:spacing w:before="120" w:after="60"/>
              <w:jc w:val="right"/>
              <w:rPr>
                <w:sz w:val="16"/>
                <w:szCs w:val="16"/>
              </w:rPr>
            </w:pPr>
            <w:r>
              <w:rPr>
                <w:sz w:val="16"/>
                <w:szCs w:val="16"/>
              </w:rPr>
              <w:t>-</w:t>
            </w:r>
          </w:p>
        </w:tc>
        <w:tc>
          <w:tcPr>
            <w:tcW w:w="1620" w:type="dxa"/>
            <w:tcBorders>
              <w:left w:val="single" w:sz="4" w:space="0" w:color="auto"/>
              <w:right w:val="single" w:sz="12" w:space="0" w:color="auto"/>
            </w:tcBorders>
            <w:shd w:val="clear" w:color="auto" w:fill="F2F2F2" w:themeFill="background1" w:themeFillShade="F2"/>
            <w:vAlign w:val="center"/>
          </w:tcPr>
          <w:p w:rsidR="008B7049" w:rsidRPr="009766D2" w:rsidRDefault="008B7049" w:rsidP="005D0177">
            <w:pPr>
              <w:spacing w:before="120" w:after="60"/>
              <w:jc w:val="right"/>
              <w:rPr>
                <w:sz w:val="16"/>
                <w:szCs w:val="16"/>
              </w:rPr>
            </w:pPr>
            <w:r>
              <w:rPr>
                <w:sz w:val="16"/>
                <w:szCs w:val="16"/>
              </w:rPr>
              <w:t>35A</w:t>
            </w:r>
          </w:p>
        </w:tc>
      </w:tr>
      <w:tr w:rsidR="008B7049" w:rsidRPr="00D861B9" w:rsidTr="005D0177">
        <w:trPr>
          <w:jc w:val="center"/>
        </w:trPr>
        <w:tc>
          <w:tcPr>
            <w:tcW w:w="2126" w:type="dxa"/>
            <w:shd w:val="clear" w:color="auto" w:fill="F2F2F2" w:themeFill="background1" w:themeFillShade="F2"/>
            <w:vAlign w:val="center"/>
          </w:tcPr>
          <w:p w:rsidR="008B7049" w:rsidRPr="00146AA7" w:rsidRDefault="008B7049" w:rsidP="005D0177">
            <w:pPr>
              <w:spacing w:before="120" w:after="60"/>
              <w:rPr>
                <w:sz w:val="16"/>
                <w:szCs w:val="16"/>
              </w:rPr>
            </w:pPr>
            <w:r w:rsidRPr="00146AA7">
              <w:rPr>
                <w:sz w:val="16"/>
                <w:szCs w:val="16"/>
              </w:rPr>
              <w:t>-</w:t>
            </w:r>
          </w:p>
        </w:tc>
        <w:tc>
          <w:tcPr>
            <w:tcW w:w="2552" w:type="dxa"/>
            <w:shd w:val="clear" w:color="auto" w:fill="F2F2F2" w:themeFill="background1" w:themeFillShade="F2"/>
            <w:vAlign w:val="center"/>
          </w:tcPr>
          <w:p w:rsidR="008B7049" w:rsidRPr="00146AA7" w:rsidRDefault="008B7049" w:rsidP="00FB7C27">
            <w:pPr>
              <w:spacing w:before="120" w:after="60"/>
              <w:rPr>
                <w:sz w:val="16"/>
                <w:szCs w:val="16"/>
              </w:rPr>
            </w:pPr>
            <w:r w:rsidRPr="00146AA7">
              <w:rPr>
                <w:sz w:val="16"/>
                <w:szCs w:val="16"/>
              </w:rPr>
              <w:t>úsek humánnej farmácie</w:t>
            </w:r>
            <w:r>
              <w:rPr>
                <w:sz w:val="16"/>
                <w:szCs w:val="16"/>
              </w:rPr>
              <w:t xml:space="preserve"> (+ PVŠS na úseku psychotropných a omamných látok) </w:t>
            </w:r>
          </w:p>
        </w:tc>
        <w:tc>
          <w:tcPr>
            <w:tcW w:w="1275" w:type="dxa"/>
            <w:tcBorders>
              <w:right w:val="single" w:sz="4" w:space="0" w:color="auto"/>
            </w:tcBorders>
            <w:shd w:val="clear" w:color="auto" w:fill="F2F2F2" w:themeFill="background1" w:themeFillShade="F2"/>
            <w:vAlign w:val="center"/>
          </w:tcPr>
          <w:p w:rsidR="008B7049" w:rsidRPr="009766D2" w:rsidRDefault="008B7049" w:rsidP="005D0177">
            <w:pPr>
              <w:spacing w:before="120" w:after="60"/>
              <w:jc w:val="right"/>
              <w:rPr>
                <w:sz w:val="16"/>
                <w:szCs w:val="16"/>
              </w:rPr>
            </w:pPr>
            <w:r>
              <w:rPr>
                <w:sz w:val="16"/>
                <w:szCs w:val="16"/>
              </w:rPr>
              <w:t>-</w:t>
            </w:r>
          </w:p>
        </w:tc>
        <w:tc>
          <w:tcPr>
            <w:tcW w:w="1620" w:type="dxa"/>
            <w:tcBorders>
              <w:left w:val="single" w:sz="4" w:space="0" w:color="auto"/>
              <w:right w:val="single" w:sz="12" w:space="0" w:color="auto"/>
            </w:tcBorders>
            <w:shd w:val="clear" w:color="auto" w:fill="F2F2F2" w:themeFill="background1" w:themeFillShade="F2"/>
            <w:vAlign w:val="center"/>
          </w:tcPr>
          <w:p w:rsidR="008B7049" w:rsidRPr="009766D2" w:rsidRDefault="008B7049" w:rsidP="005D0177">
            <w:pPr>
              <w:spacing w:before="120" w:after="60"/>
              <w:jc w:val="right"/>
              <w:rPr>
                <w:sz w:val="16"/>
                <w:szCs w:val="16"/>
              </w:rPr>
            </w:pPr>
            <w:r>
              <w:rPr>
                <w:sz w:val="16"/>
                <w:szCs w:val="16"/>
              </w:rPr>
              <w:t>37 A</w:t>
            </w:r>
          </w:p>
        </w:tc>
      </w:tr>
    </w:tbl>
    <w:p w:rsidR="00841DC0" w:rsidRPr="00841DC0" w:rsidRDefault="00841DC0" w:rsidP="00827CF2">
      <w:pPr>
        <w:shd w:val="clear" w:color="auto" w:fill="F2F2F2" w:themeFill="background1" w:themeFillShade="F2"/>
        <w:tabs>
          <w:tab w:val="left" w:pos="1276"/>
        </w:tabs>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Ministerstvo</w:t>
      </w:r>
      <w:r w:rsidR="00F42B3A">
        <w:rPr>
          <w:rFonts w:eastAsia="Times New Roman" w:cs="Times New Roman"/>
          <w:sz w:val="22"/>
          <w:lang w:eastAsia="cs-CZ"/>
        </w:rPr>
        <w:t xml:space="preserve"> </w:t>
      </w:r>
      <w:r w:rsidR="00F42B3A" w:rsidRPr="00F42B3A">
        <w:rPr>
          <w:rFonts w:eastAsia="Times New Roman" w:cs="Times New Roman"/>
          <w:sz w:val="22"/>
          <w:lang w:eastAsia="cs-CZ"/>
        </w:rPr>
        <w:t>zdravotníctva Slovenskej republiky</w:t>
      </w:r>
      <w:r w:rsidR="00F42B3A">
        <w:rPr>
          <w:rFonts w:eastAsia="Times New Roman" w:cs="Times New Roman"/>
          <w:sz w:val="22"/>
          <w:lang w:eastAsia="cs-CZ"/>
        </w:rPr>
        <w:t xml:space="preserve"> (ďalej len „ministerstvo zdravotníctva“)</w:t>
      </w:r>
      <w:r w:rsidRPr="00841DC0">
        <w:rPr>
          <w:rFonts w:eastAsia="Times New Roman" w:cs="Times New Roman"/>
          <w:sz w:val="22"/>
          <w:lang w:eastAsia="cs-CZ"/>
        </w:rPr>
        <w:t xml:space="preserve"> pre účely spracovania auditu nedisponovalo informáciami zabezpečujúcimi dostatočnú výpovednú hodnotu a porovnateľnosť a preto pristúpilo k zberu informácií. Zber informácií bol vykonaný formou dotazníkov, ktorých obsah a rozsah bol konzultovaný so zástupcami samosprávnych krajov.</w:t>
      </w:r>
    </w:p>
    <w:p w:rsidR="00841DC0" w:rsidRPr="00841DC0" w:rsidRDefault="00841DC0" w:rsidP="00827CF2">
      <w:pPr>
        <w:keepNext/>
        <w:shd w:val="clear" w:color="auto" w:fill="F2F2F2" w:themeFill="background1" w:themeFillShade="F2"/>
        <w:tabs>
          <w:tab w:val="left" w:pos="1276"/>
        </w:tabs>
        <w:spacing w:before="120" w:after="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1.2.</w:t>
      </w:r>
      <w:r w:rsidRPr="00841DC0">
        <w:rPr>
          <w:rFonts w:eastAsia="Times New Roman" w:cs="Times New Roman"/>
          <w:sz w:val="22"/>
          <w:u w:val="single"/>
          <w:lang w:eastAsia="cs-CZ"/>
        </w:rPr>
        <w:tab/>
        <w:t>Kvantifikácia výkonu prenesených pôsobností</w:t>
      </w:r>
    </w:p>
    <w:p w:rsidR="00FB7C27" w:rsidRDefault="00841DC0" w:rsidP="00827CF2">
      <w:pPr>
        <w:shd w:val="clear" w:color="auto" w:fill="F2F2F2" w:themeFill="background1" w:themeFillShade="F2"/>
        <w:spacing w:before="120" w:after="0" w:line="240" w:lineRule="auto"/>
        <w:ind w:firstLine="709"/>
        <w:jc w:val="both"/>
        <w:rPr>
          <w:rFonts w:cs="Times New Roman"/>
          <w:sz w:val="22"/>
        </w:rPr>
      </w:pPr>
      <w:r w:rsidRPr="00841DC0">
        <w:rPr>
          <w:rFonts w:cs="Times New Roman"/>
          <w:sz w:val="22"/>
        </w:rPr>
        <w:t xml:space="preserve">Na úseku zdravotníctva vydali samosprávne kraje v priemere na jeden samosprávny kraj </w:t>
      </w:r>
      <w:r w:rsidR="00C34FA1">
        <w:rPr>
          <w:rFonts w:cs="Times New Roman"/>
          <w:sz w:val="22"/>
        </w:rPr>
        <w:t>539</w:t>
      </w:r>
      <w:r w:rsidRPr="00841DC0">
        <w:rPr>
          <w:rFonts w:cs="Times New Roman"/>
          <w:sz w:val="22"/>
        </w:rPr>
        <w:t xml:space="preserve"> rozhodnutí. Najvýraznejšiu časť rozhodnutí tvorila agenda schvaľovania ordinačných hodín</w:t>
      </w:r>
      <w:r w:rsidR="00C34FA1">
        <w:rPr>
          <w:rFonts w:cs="Times New Roman"/>
          <w:sz w:val="22"/>
        </w:rPr>
        <w:t xml:space="preserve"> (Bratislavský samosprávny kraj vydal 1 100 rozhodnutí)</w:t>
      </w:r>
      <w:r w:rsidRPr="00841DC0">
        <w:rPr>
          <w:rFonts w:cs="Times New Roman"/>
          <w:sz w:val="22"/>
        </w:rPr>
        <w:t xml:space="preserve"> a vydávania povolení na poskytovanie zdravotnej starostlivosti (</w:t>
      </w:r>
      <w:r w:rsidR="00C34FA1">
        <w:rPr>
          <w:rFonts w:cs="Times New Roman"/>
          <w:sz w:val="22"/>
        </w:rPr>
        <w:t>najviac povolení vydal Nitriansky samosprávny kraj 269)</w:t>
      </w:r>
      <w:r w:rsidRPr="00841DC0">
        <w:rPr>
          <w:rFonts w:cs="Times New Roman"/>
          <w:sz w:val="22"/>
        </w:rPr>
        <w:t>. Iných úkonov vykonali samosprávne kraje v priemere na jeden samosprávny kraj</w:t>
      </w:r>
      <w:r w:rsidR="00C34FA1">
        <w:rPr>
          <w:rFonts w:cs="Times New Roman"/>
          <w:sz w:val="22"/>
        </w:rPr>
        <w:t xml:space="preserve"> 5 511</w:t>
      </w:r>
      <w:r w:rsidRPr="00841DC0">
        <w:rPr>
          <w:rFonts w:cs="Times New Roman"/>
          <w:sz w:val="22"/>
        </w:rPr>
        <w:t xml:space="preserve"> (najviac úkonov sa týkalo prebratia zdravotnej dokumentácie lekárom samosprávneho kraja). Na úseku zdravotníctva pracovalo na jednotlivých samosprávnych krajoch (spravidla na odboroch zdravotníctva) </w:t>
      </w:r>
      <w:r w:rsidR="002A5761">
        <w:rPr>
          <w:rFonts w:cs="Times New Roman"/>
          <w:sz w:val="22"/>
        </w:rPr>
        <w:t xml:space="preserve">spolu </w:t>
      </w:r>
      <w:r w:rsidR="00FB7C27">
        <w:rPr>
          <w:rFonts w:cs="Times New Roman"/>
          <w:sz w:val="22"/>
        </w:rPr>
        <w:t xml:space="preserve">48 zamestnancov. </w:t>
      </w:r>
      <w:r w:rsidRPr="00841DC0">
        <w:rPr>
          <w:rFonts w:cs="Times New Roman"/>
          <w:sz w:val="22"/>
        </w:rPr>
        <w:t xml:space="preserve"> </w:t>
      </w:r>
    </w:p>
    <w:p w:rsidR="00841DC0" w:rsidRPr="00841DC0" w:rsidRDefault="00841DC0" w:rsidP="00827CF2">
      <w:pPr>
        <w:shd w:val="clear" w:color="auto" w:fill="F2F2F2" w:themeFill="background1" w:themeFillShade="F2"/>
        <w:spacing w:before="120" w:after="0" w:line="240" w:lineRule="auto"/>
        <w:ind w:firstLine="709"/>
        <w:jc w:val="both"/>
        <w:rPr>
          <w:rFonts w:cs="Times New Roman"/>
          <w:sz w:val="22"/>
        </w:rPr>
      </w:pPr>
      <w:r w:rsidRPr="00841DC0">
        <w:rPr>
          <w:rFonts w:cs="Times New Roman"/>
          <w:sz w:val="22"/>
        </w:rPr>
        <w:t xml:space="preserve">Na úseku humánnej farmácie vydali samosprávne kraje v priemere na jeden samosprávny kraj </w:t>
      </w:r>
      <w:r w:rsidR="00627FAC">
        <w:rPr>
          <w:rFonts w:cs="Times New Roman"/>
          <w:sz w:val="22"/>
        </w:rPr>
        <w:t>380</w:t>
      </w:r>
      <w:r w:rsidRPr="00841DC0">
        <w:rPr>
          <w:rFonts w:cs="Times New Roman"/>
          <w:sz w:val="22"/>
        </w:rPr>
        <w:t xml:space="preserve"> rozhodnutí. Najvýraznejšiu časť rozhodnutí tvorila agenda týkajúca sa kontroly zaobchádzania s omamnými a psychotropnými látkami (</w:t>
      </w:r>
      <w:r w:rsidR="00627FAC">
        <w:rPr>
          <w:rFonts w:cs="Times New Roman"/>
          <w:sz w:val="22"/>
        </w:rPr>
        <w:t xml:space="preserve">Bratislavský samosprávny kraj vydal </w:t>
      </w:r>
      <w:r w:rsidRPr="00841DC0">
        <w:rPr>
          <w:rFonts w:cs="Times New Roman"/>
          <w:sz w:val="22"/>
        </w:rPr>
        <w:t>274</w:t>
      </w:r>
      <w:r w:rsidR="00627FAC">
        <w:rPr>
          <w:rFonts w:cs="Times New Roman"/>
          <w:sz w:val="22"/>
        </w:rPr>
        <w:t xml:space="preserve"> rozhodnutí</w:t>
      </w:r>
      <w:r w:rsidRPr="00841DC0">
        <w:rPr>
          <w:rFonts w:cs="Times New Roman"/>
          <w:sz w:val="22"/>
        </w:rPr>
        <w:t xml:space="preserve">). Priemerný počet iných úkonov pripadajúcich na jeden samosprávny kraj bol </w:t>
      </w:r>
      <w:r w:rsidR="002A5761">
        <w:rPr>
          <w:rFonts w:cs="Times New Roman"/>
          <w:sz w:val="22"/>
        </w:rPr>
        <w:t>2 763</w:t>
      </w:r>
      <w:r w:rsidRPr="00841DC0">
        <w:rPr>
          <w:rFonts w:cs="Times New Roman"/>
          <w:sz w:val="22"/>
        </w:rPr>
        <w:t xml:space="preserve">. Na úseku humánnej farmácie pracovalo na jednotlivých samosprávnych krajoch </w:t>
      </w:r>
      <w:r w:rsidR="002A5761">
        <w:rPr>
          <w:rFonts w:cs="Times New Roman"/>
          <w:sz w:val="22"/>
        </w:rPr>
        <w:t>spolu 11</w:t>
      </w:r>
      <w:r w:rsidRPr="00841DC0">
        <w:rPr>
          <w:rFonts w:cs="Times New Roman"/>
          <w:sz w:val="22"/>
        </w:rPr>
        <w:t xml:space="preserve"> zamestnancov. Zamestnanci boli často zamestnaní na čiastočný pracovný úväzok.</w:t>
      </w:r>
    </w:p>
    <w:p w:rsidR="00841DC0" w:rsidRPr="00841DC0" w:rsidRDefault="00841DC0" w:rsidP="00827CF2">
      <w:pPr>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841DC0">
        <w:rPr>
          <w:rFonts w:eastAsia="Times New Roman" w:cs="Times New Roman"/>
          <w:sz w:val="22"/>
          <w:u w:val="single"/>
          <w:lang w:eastAsia="cs-CZ"/>
        </w:rPr>
        <w:t>1.3.</w:t>
      </w:r>
      <w:r w:rsidRPr="00841DC0">
        <w:rPr>
          <w:rFonts w:eastAsia="Times New Roman" w:cs="Times New Roman"/>
          <w:sz w:val="22"/>
          <w:u w:val="single"/>
          <w:lang w:eastAsia="cs-CZ"/>
        </w:rPr>
        <w:tab/>
        <w:t>Zhodnotenie kvality výkonu prenesených pôsobností</w:t>
      </w:r>
    </w:p>
    <w:p w:rsidR="00841DC0" w:rsidRPr="00841DC0" w:rsidRDefault="00841DC0" w:rsidP="00827CF2">
      <w:pPr>
        <w:shd w:val="clear" w:color="auto" w:fill="F2F2F2" w:themeFill="background1" w:themeFillShade="F2"/>
        <w:spacing w:before="120" w:after="0" w:line="240" w:lineRule="auto"/>
        <w:ind w:firstLine="709"/>
        <w:jc w:val="both"/>
        <w:rPr>
          <w:rFonts w:cs="Times New Roman"/>
          <w:sz w:val="22"/>
        </w:rPr>
      </w:pPr>
      <w:r w:rsidRPr="00841DC0">
        <w:rPr>
          <w:rFonts w:cs="Times New Roman"/>
          <w:sz w:val="22"/>
        </w:rPr>
        <w:t xml:space="preserve">Z podkladov vyplýva, že na úseku zdravotníctva sú úlohy v rámci preneseného výkonu štátnej správy plnené samosprávnymi krajmi prevažne kvalitne. </w:t>
      </w:r>
    </w:p>
    <w:p w:rsidR="00841DC0" w:rsidRPr="00841DC0" w:rsidRDefault="00841DC0" w:rsidP="00827CF2">
      <w:pPr>
        <w:shd w:val="clear" w:color="auto" w:fill="F2F2F2" w:themeFill="background1" w:themeFillShade="F2"/>
        <w:spacing w:before="120" w:after="0" w:line="240" w:lineRule="auto"/>
        <w:ind w:firstLine="709"/>
        <w:jc w:val="both"/>
        <w:rPr>
          <w:rFonts w:cs="Times New Roman"/>
          <w:sz w:val="22"/>
        </w:rPr>
      </w:pPr>
      <w:r w:rsidRPr="00841DC0">
        <w:rPr>
          <w:rFonts w:cs="Times New Roman"/>
          <w:sz w:val="22"/>
        </w:rPr>
        <w:t>Pre účely preverenia stavu výkonu prenesených pôsobností na úseku zdravotníctva bol tento úsek rozdelený na 2 oblasti – oblasť zdravotnej starostlivosti a oblasť verejného zdravotníctva.</w:t>
      </w:r>
    </w:p>
    <w:p w:rsidR="00841DC0" w:rsidRPr="00841DC0" w:rsidRDefault="00841DC0" w:rsidP="00827CF2">
      <w:pPr>
        <w:shd w:val="clear" w:color="auto" w:fill="F2F2F2" w:themeFill="background1" w:themeFillShade="F2"/>
        <w:spacing w:before="120" w:after="0" w:line="240" w:lineRule="auto"/>
        <w:ind w:firstLine="709"/>
        <w:jc w:val="both"/>
        <w:rPr>
          <w:rFonts w:cs="Times New Roman"/>
          <w:sz w:val="22"/>
        </w:rPr>
      </w:pPr>
      <w:r w:rsidRPr="00841DC0">
        <w:rPr>
          <w:rFonts w:cs="Times New Roman"/>
          <w:sz w:val="22"/>
        </w:rPr>
        <w:t xml:space="preserve">Problémovou úlohou v rámci preneseného výkonu štátnej správy sa však javí úloha pre lekára samosprávneho kraja, ktorý má v zmysle zákona prebrať do úschovy zdravotnú dokumentáciu od poskytovateľa pri dočasnom pozastavení povolenia, pri zrušení a zániku povolenia a od každej osoby, ktorá má po zániku platnosti licencie na výkon samotnej zdravotníckej praxe alebo povolenia na prevádzkovanie zdravotníckeho zariadenia. Zdravotnú dokumentáciu musia archivovať, zabezpečiť jej </w:t>
      </w:r>
      <w:r w:rsidRPr="00841DC0">
        <w:rPr>
          <w:rFonts w:cs="Times New Roman"/>
          <w:sz w:val="22"/>
        </w:rPr>
        <w:lastRenderedPageBreak/>
        <w:t>ochranu pred poškodením a následne odovzdať novým poskytovateľom. Často ju nemajú komu odovzdať, preto ju musia archivovať sami, čo im spôsobuje priestorové a materiálne problémy.</w:t>
      </w:r>
    </w:p>
    <w:p w:rsidR="00841DC0" w:rsidRPr="00841DC0" w:rsidRDefault="00841DC0" w:rsidP="00827CF2">
      <w:pPr>
        <w:shd w:val="clear" w:color="auto" w:fill="F2F2F2" w:themeFill="background1" w:themeFillShade="F2"/>
        <w:spacing w:before="120" w:after="0" w:line="240" w:lineRule="auto"/>
        <w:ind w:firstLine="709"/>
        <w:jc w:val="both"/>
        <w:rPr>
          <w:rFonts w:cs="Times New Roman"/>
          <w:sz w:val="22"/>
        </w:rPr>
      </w:pPr>
      <w:r w:rsidRPr="00841DC0">
        <w:rPr>
          <w:rFonts w:cs="Times New Roman"/>
          <w:sz w:val="22"/>
        </w:rPr>
        <w:t xml:space="preserve">Úlohy preneseného výkonu štátnej správy v oblasti verejného zdravotníctva v nadväznosti na ustanovenia zákona č. 2/2005 Z. z. o posudzovaní a kontrole hluku vo vonkajšom prostredí za sledované obdobie vykonával iba Bratislavský samosprávny kraj. </w:t>
      </w:r>
    </w:p>
    <w:p w:rsidR="00841DC0" w:rsidRPr="00841DC0" w:rsidRDefault="00841DC0" w:rsidP="00827CF2">
      <w:pPr>
        <w:shd w:val="clear" w:color="auto" w:fill="F2F2F2" w:themeFill="background1" w:themeFillShade="F2"/>
        <w:spacing w:before="120" w:after="0" w:line="240" w:lineRule="auto"/>
        <w:ind w:firstLine="709"/>
        <w:jc w:val="both"/>
        <w:rPr>
          <w:rFonts w:cs="Times New Roman"/>
          <w:sz w:val="22"/>
        </w:rPr>
      </w:pPr>
      <w:r w:rsidRPr="00841DC0">
        <w:rPr>
          <w:rFonts w:cs="Times New Roman"/>
          <w:sz w:val="22"/>
        </w:rPr>
        <w:t>Na úseku humánnej farmácie ministerstvo zdravotníctva identifikovalo pri plnení úloh preneseného výkonu štátnej správy samosprávnymi krajmi tieto nedostatky:</w:t>
      </w:r>
    </w:p>
    <w:p w:rsidR="00841DC0" w:rsidRPr="00841DC0" w:rsidRDefault="00841DC0" w:rsidP="00827CF2">
      <w:pPr>
        <w:numPr>
          <w:ilvl w:val="0"/>
          <w:numId w:val="1"/>
        </w:numPr>
        <w:shd w:val="clear" w:color="auto" w:fill="F2F2F2" w:themeFill="background1" w:themeFillShade="F2"/>
        <w:tabs>
          <w:tab w:val="left" w:pos="993"/>
        </w:tabs>
        <w:spacing w:before="120" w:after="0" w:line="240" w:lineRule="auto"/>
        <w:ind w:firstLine="709"/>
        <w:contextualSpacing/>
        <w:jc w:val="both"/>
        <w:rPr>
          <w:rFonts w:cs="Times New Roman"/>
          <w:sz w:val="22"/>
        </w:rPr>
      </w:pPr>
      <w:r w:rsidRPr="00841DC0">
        <w:rPr>
          <w:rFonts w:cs="Times New Roman"/>
          <w:sz w:val="22"/>
        </w:rPr>
        <w:t>neuspokojivo  organizujú a nariaďujú poskytovanie lekárenskej pohotovostnej služby vo verejnej lekárni;</w:t>
      </w:r>
    </w:p>
    <w:p w:rsidR="00841DC0" w:rsidRPr="00841DC0" w:rsidRDefault="00841DC0" w:rsidP="00827CF2">
      <w:pPr>
        <w:numPr>
          <w:ilvl w:val="0"/>
          <w:numId w:val="1"/>
        </w:numPr>
        <w:shd w:val="clear" w:color="auto" w:fill="F2F2F2" w:themeFill="background1" w:themeFillShade="F2"/>
        <w:tabs>
          <w:tab w:val="left" w:pos="993"/>
        </w:tabs>
        <w:spacing w:before="120" w:after="0" w:line="240" w:lineRule="auto"/>
        <w:ind w:firstLine="709"/>
        <w:contextualSpacing/>
        <w:jc w:val="both"/>
        <w:rPr>
          <w:rFonts w:cs="Times New Roman"/>
          <w:sz w:val="22"/>
        </w:rPr>
      </w:pPr>
      <w:r w:rsidRPr="00841DC0">
        <w:rPr>
          <w:rFonts w:cs="Times New Roman"/>
          <w:sz w:val="22"/>
        </w:rPr>
        <w:t>nedostatočne overujú, či fyzická osoba, ktorá je držiteľom povolenia na poskytovanie lekárenskej starostlivosti vo verejnej lekárni nevykonáva zároveň aj činnosť odborného zástupcu v právnickej osobe držiteľa povolenia na poskytovanie lekárenskej starostlivosti vo verejnej lekárni.</w:t>
      </w:r>
    </w:p>
    <w:p w:rsidR="00841DC0" w:rsidRPr="00841DC0" w:rsidRDefault="00841DC0" w:rsidP="00827CF2">
      <w:pPr>
        <w:shd w:val="clear" w:color="auto" w:fill="F2F2F2" w:themeFill="background1" w:themeFillShade="F2"/>
        <w:spacing w:before="120" w:after="0" w:line="240" w:lineRule="auto"/>
        <w:ind w:firstLine="709"/>
        <w:jc w:val="both"/>
        <w:rPr>
          <w:rFonts w:cs="Times New Roman"/>
          <w:sz w:val="22"/>
        </w:rPr>
      </w:pPr>
      <w:r w:rsidRPr="00841DC0">
        <w:rPr>
          <w:rFonts w:cs="Times New Roman"/>
          <w:sz w:val="22"/>
        </w:rPr>
        <w:t>V budúcnosti bude potrebné dôslednejšie dodržiavanie príslušných ustanovení zákona č. 362/2011 Z. z. zo strany samosprávnych krajov.</w:t>
      </w:r>
    </w:p>
    <w:p w:rsidR="00841DC0" w:rsidRPr="00841DC0" w:rsidRDefault="00841DC0" w:rsidP="00827CF2">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1.4.</w:t>
      </w:r>
      <w:r w:rsidRPr="00841DC0">
        <w:rPr>
          <w:rFonts w:eastAsia="Times New Roman" w:cs="Times New Roman"/>
          <w:sz w:val="22"/>
          <w:u w:val="single"/>
          <w:lang w:eastAsia="cs-CZ"/>
        </w:rPr>
        <w:tab/>
        <w:t>Financovanie výkonu prenesených pôsobností</w:t>
      </w:r>
    </w:p>
    <w:p w:rsidR="008068BC" w:rsidRDefault="008068BC" w:rsidP="008B7049">
      <w:pPr>
        <w:keepLines/>
        <w:shd w:val="clear" w:color="auto" w:fill="F2F2F2" w:themeFill="background1" w:themeFillShade="F2"/>
        <w:tabs>
          <w:tab w:val="left" w:pos="1276"/>
        </w:tabs>
        <w:spacing w:before="120" w:after="120" w:line="240" w:lineRule="auto"/>
        <w:ind w:firstLine="709"/>
        <w:jc w:val="both"/>
        <w:rPr>
          <w:rFonts w:cs="Times New Roman"/>
          <w:sz w:val="22"/>
        </w:rPr>
      </w:pPr>
      <w:r w:rsidRPr="00841DC0">
        <w:rPr>
          <w:rFonts w:cs="Times New Roman"/>
          <w:sz w:val="22"/>
        </w:rPr>
        <w:t>V roku 2001, kedy činnosti vykonával orgán štátnej správy</w:t>
      </w:r>
      <w:r>
        <w:rPr>
          <w:rFonts w:cs="Times New Roman"/>
          <w:sz w:val="22"/>
        </w:rPr>
        <w:t xml:space="preserve"> </w:t>
      </w:r>
      <w:r w:rsidRPr="00841DC0">
        <w:rPr>
          <w:rFonts w:cs="Times New Roman"/>
          <w:sz w:val="22"/>
        </w:rPr>
        <w:t>(</w:t>
      </w:r>
      <w:r w:rsidR="00E901F1">
        <w:rPr>
          <w:rFonts w:cs="Times New Roman"/>
          <w:sz w:val="22"/>
        </w:rPr>
        <w:t>ministerstvo zdravotníctva</w:t>
      </w:r>
      <w:r w:rsidRPr="00841DC0">
        <w:rPr>
          <w:rFonts w:cs="Times New Roman"/>
          <w:sz w:val="22"/>
        </w:rPr>
        <w:t>) na úseku zdravotníctva, boli výdavky na zabezpečenie výkonu pôsobnosti prenesených na samosprávne kraje v objeme 113 611,45 eur</w:t>
      </w:r>
      <w:r>
        <w:rPr>
          <w:rFonts w:cs="Times New Roman"/>
          <w:sz w:val="22"/>
        </w:rPr>
        <w:t>. Po prenesení pôsobností na samosprávne kraje financovanie  úloh pri zabezpečení preneseného výkonu štátnej správy na úseku zdravotníctva a humánnej farmácie je hradené z vlastných finančných zdrojov samosprávnych krajov.</w:t>
      </w:r>
    </w:p>
    <w:p w:rsidR="008068BC" w:rsidRPr="00841DC0" w:rsidRDefault="008068BC" w:rsidP="008B7049">
      <w:pPr>
        <w:keepLines/>
        <w:shd w:val="clear" w:color="auto" w:fill="F2F2F2" w:themeFill="background1" w:themeFillShade="F2"/>
        <w:tabs>
          <w:tab w:val="left" w:pos="1276"/>
        </w:tabs>
        <w:spacing w:before="120" w:after="120" w:line="240" w:lineRule="auto"/>
        <w:ind w:firstLine="709"/>
        <w:jc w:val="both"/>
        <w:rPr>
          <w:rFonts w:cs="Times New Roman"/>
          <w:sz w:val="22"/>
        </w:rPr>
      </w:pPr>
      <w:r>
        <w:rPr>
          <w:rFonts w:cs="Times New Roman"/>
          <w:sz w:val="22"/>
        </w:rPr>
        <w:t xml:space="preserve">Z podkladov ministerstva zdravotníctva vyplýva, že v roku 2001 dával štát na zabezpečenie úloh na úseku zdravotníctva a humánnej farmácie menej finančných prostriedkov ako dávajú samosprávne kraje zo svojich vlastných zdrojov. </w:t>
      </w:r>
    </w:p>
    <w:p w:rsidR="008068BC" w:rsidRPr="00841DC0" w:rsidRDefault="008068BC" w:rsidP="008B7049">
      <w:pPr>
        <w:shd w:val="clear" w:color="auto" w:fill="F2F2F2" w:themeFill="background1" w:themeFillShade="F2"/>
        <w:tabs>
          <w:tab w:val="left" w:pos="1276"/>
        </w:tabs>
        <w:spacing w:before="120" w:after="120" w:line="240" w:lineRule="auto"/>
        <w:ind w:firstLine="709"/>
        <w:jc w:val="both"/>
        <w:rPr>
          <w:rFonts w:cs="Times New Roman"/>
          <w:sz w:val="22"/>
        </w:rPr>
      </w:pPr>
      <w:r>
        <w:rPr>
          <w:rFonts w:cs="Times New Roman"/>
          <w:sz w:val="22"/>
        </w:rPr>
        <w:t>Najvyššie výdavky na zabezpečenie úloh preneseného výkonu štátnej správy na úseku zdravotníctva a humánnej farmácie v sledovanom období vykazoval Nitriansky samosprávny kraj, naopak n</w:t>
      </w:r>
      <w:r w:rsidRPr="00841DC0">
        <w:rPr>
          <w:rFonts w:cs="Times New Roman"/>
          <w:sz w:val="22"/>
        </w:rPr>
        <w:t>ajnižšie výdavky</w:t>
      </w:r>
      <w:r>
        <w:rPr>
          <w:rFonts w:cs="Times New Roman"/>
          <w:sz w:val="22"/>
        </w:rPr>
        <w:t xml:space="preserve"> mal </w:t>
      </w:r>
      <w:r w:rsidRPr="00841DC0">
        <w:rPr>
          <w:rFonts w:cs="Times New Roman"/>
          <w:sz w:val="22"/>
        </w:rPr>
        <w:t>Trnavský samosprávny kraj</w:t>
      </w:r>
      <w:r>
        <w:rPr>
          <w:rFonts w:cs="Times New Roman"/>
          <w:sz w:val="22"/>
        </w:rPr>
        <w:t xml:space="preserve">. </w:t>
      </w:r>
      <w:r w:rsidRPr="00841DC0">
        <w:rPr>
          <w:rFonts w:cs="Times New Roman"/>
          <w:sz w:val="22"/>
        </w:rPr>
        <w:t xml:space="preserve">Najväčší nárast výdavkov v roku 2011 v porovnaní s rokom 2005 bol zaznamenaný </w:t>
      </w:r>
      <w:r w:rsidR="00201F4C">
        <w:rPr>
          <w:rFonts w:cs="Times New Roman"/>
          <w:sz w:val="22"/>
        </w:rPr>
        <w:t>v</w:t>
      </w:r>
      <w:r w:rsidRPr="00841DC0">
        <w:rPr>
          <w:rFonts w:cs="Times New Roman"/>
          <w:sz w:val="22"/>
        </w:rPr>
        <w:t> Košick</w:t>
      </w:r>
      <w:r w:rsidR="00201F4C">
        <w:rPr>
          <w:rFonts w:cs="Times New Roman"/>
          <w:sz w:val="22"/>
        </w:rPr>
        <w:t>om</w:t>
      </w:r>
      <w:r w:rsidRPr="00841DC0">
        <w:rPr>
          <w:rFonts w:cs="Times New Roman"/>
          <w:sz w:val="22"/>
        </w:rPr>
        <w:t xml:space="preserve"> samosprávn</w:t>
      </w:r>
      <w:r w:rsidR="00201F4C">
        <w:rPr>
          <w:rFonts w:cs="Times New Roman"/>
          <w:sz w:val="22"/>
        </w:rPr>
        <w:t>om</w:t>
      </w:r>
      <w:r w:rsidRPr="00841DC0">
        <w:rPr>
          <w:rFonts w:cs="Times New Roman"/>
          <w:sz w:val="22"/>
        </w:rPr>
        <w:t xml:space="preserve"> kraj</w:t>
      </w:r>
      <w:r w:rsidR="00201F4C">
        <w:rPr>
          <w:rFonts w:cs="Times New Roman"/>
          <w:sz w:val="22"/>
        </w:rPr>
        <w:t>i</w:t>
      </w:r>
      <w:r w:rsidRPr="00841DC0">
        <w:rPr>
          <w:rFonts w:cs="Times New Roman"/>
          <w:sz w:val="22"/>
        </w:rPr>
        <w:t xml:space="preserve">. </w:t>
      </w:r>
    </w:p>
    <w:p w:rsidR="008068BC" w:rsidRDefault="008068BC" w:rsidP="008068BC">
      <w:pPr>
        <w:shd w:val="clear" w:color="auto" w:fill="F2F2F2" w:themeFill="background1" w:themeFillShade="F2"/>
        <w:spacing w:before="120" w:after="120" w:line="240" w:lineRule="auto"/>
        <w:jc w:val="both"/>
        <w:rPr>
          <w:rFonts w:cs="Times New Roman"/>
          <w:sz w:val="22"/>
        </w:rPr>
      </w:pPr>
      <w:r>
        <w:rPr>
          <w:rFonts w:cs="Times New Roman"/>
          <w:sz w:val="22"/>
        </w:rPr>
        <w:tab/>
        <w:t xml:space="preserve">Pri zostavovaní rozpočtu kapitoly ministerstva zdravotníctva neboli zo strán samosprávnych krajov vznesené požiadavky na vyčlenenie objemu finančných prostriedkov potrebných na zabezpečenie preneseného výkonu štátnej správy na úseku zdravotníctva a humánnej farmácie. Na základe toho z rozpočtu ministerstva zdravotníctva neboli poskytnuté finančné prostriedky na prenesený výkon štátnej správy na úseku zdravotníctva a humánnej farmácie. </w:t>
      </w:r>
    </w:p>
    <w:p w:rsidR="00DF7627" w:rsidRPr="00022C35" w:rsidRDefault="00DF7627" w:rsidP="00DF7627">
      <w:pPr>
        <w:shd w:val="clear" w:color="auto" w:fill="F2F2F2" w:themeFill="background1" w:themeFillShade="F2"/>
        <w:spacing w:before="120" w:after="120" w:line="240" w:lineRule="auto"/>
        <w:ind w:firstLine="708"/>
        <w:jc w:val="both"/>
        <w:rPr>
          <w:rFonts w:cs="Times New Roman"/>
          <w:sz w:val="22"/>
        </w:rPr>
      </w:pPr>
      <w:r w:rsidRPr="00022C35">
        <w:rPr>
          <w:rFonts w:cs="Times New Roman"/>
          <w:sz w:val="22"/>
        </w:rPr>
        <w:t xml:space="preserve">Na základe uvedeného nie je možné na úseku zdravotníctva a humánnej farmácie zodpovedne vyhodnotiť stav vo financovaní preneseného výkonu štátnej správy na samosprávne kraje.   </w:t>
      </w:r>
    </w:p>
    <w:p w:rsidR="00841DC0" w:rsidRPr="00841DC0" w:rsidRDefault="00841DC0" w:rsidP="00827CF2">
      <w:pPr>
        <w:keepNext/>
        <w:shd w:val="clear" w:color="auto" w:fill="F2F2F2" w:themeFill="background1" w:themeFillShade="F2"/>
        <w:tabs>
          <w:tab w:val="left" w:pos="1276"/>
        </w:tabs>
        <w:spacing w:before="120" w:after="12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1.5.</w:t>
      </w:r>
      <w:r w:rsidRPr="00841DC0">
        <w:rPr>
          <w:rFonts w:eastAsia="Times New Roman" w:cs="Times New Roman"/>
          <w:sz w:val="22"/>
          <w:u w:val="single"/>
          <w:lang w:eastAsia="cs-CZ"/>
        </w:rPr>
        <w:tab/>
        <w:t>Návrhy opatrení</w:t>
      </w:r>
    </w:p>
    <w:p w:rsidR="00841DC0" w:rsidRPr="00841DC0" w:rsidRDefault="00841DC0" w:rsidP="00827CF2">
      <w:pPr>
        <w:shd w:val="clear" w:color="auto" w:fill="F2F2F2" w:themeFill="background1" w:themeFillShade="F2"/>
        <w:tabs>
          <w:tab w:val="left" w:pos="1276"/>
        </w:tabs>
        <w:spacing w:before="120" w:after="120" w:line="240" w:lineRule="auto"/>
        <w:ind w:firstLine="709"/>
        <w:jc w:val="both"/>
        <w:rPr>
          <w:rFonts w:eastAsia="Times New Roman" w:cs="Times New Roman"/>
          <w:sz w:val="22"/>
          <w:lang w:eastAsia="cs-CZ"/>
        </w:rPr>
      </w:pPr>
      <w:r w:rsidRPr="00841DC0">
        <w:rPr>
          <w:rFonts w:eastAsia="Times New Roman" w:cs="Times New Roman"/>
          <w:sz w:val="22"/>
          <w:lang w:eastAsia="cs-CZ"/>
        </w:rPr>
        <w:t>Ministerstvo zdravotníctva navrhlo legislatívne upraviť najmä vydávanie povolení na poskytovanie ústavnej zdravotnej starostlivosti; cieľom by malo byť, aby povolenia pre všetky nemocnice vydávalo ministerstvo. Navrhlo tiež otvorenie širokej diskusie so zástupcami samosprávnych krajov, Slovenskej lekárnickej komory, Slovenskej lekárskej komory, zdravotných poisťovní, ZMOS a ministerstva financií na tému ďalšieho fungovania lekárenskej pohotovostnej služby v nadväznosti na lekársku službu prvej pomoci.</w:t>
      </w:r>
    </w:p>
    <w:p w:rsidR="00841DC0" w:rsidRPr="00841DC0" w:rsidRDefault="00841DC0" w:rsidP="00827CF2">
      <w:pPr>
        <w:keepNext/>
        <w:shd w:val="clear" w:color="auto" w:fill="F2F2F2" w:themeFill="background1" w:themeFillShade="F2"/>
        <w:tabs>
          <w:tab w:val="left" w:pos="1276"/>
          <w:tab w:val="left" w:pos="1418"/>
        </w:tabs>
        <w:spacing w:before="120" w:after="12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lastRenderedPageBreak/>
        <w:t>Kritické stanovisko</w:t>
      </w:r>
    </w:p>
    <w:p w:rsidR="00841DC0" w:rsidRPr="00841DC0" w:rsidRDefault="00841DC0" w:rsidP="00827CF2">
      <w:pPr>
        <w:keepNext/>
        <w:shd w:val="clear" w:color="auto" w:fill="F2F2F2" w:themeFill="background1" w:themeFillShade="F2"/>
        <w:spacing w:before="120" w:after="0" w:line="240" w:lineRule="auto"/>
        <w:ind w:firstLine="708"/>
        <w:jc w:val="both"/>
        <w:rPr>
          <w:rFonts w:cs="Times New Roman"/>
          <w:sz w:val="22"/>
        </w:rPr>
      </w:pPr>
      <w:r w:rsidRPr="00841DC0">
        <w:rPr>
          <w:rFonts w:cs="Times New Roman"/>
          <w:sz w:val="22"/>
        </w:rPr>
        <w:t xml:space="preserve">Pri spracovaní správy z auditu ministerstvo zdravotníctva nepostupovalo podľa jednotnej metodiky. Podklady boli rozdelené podľa jednotlivých oblastí (oblasť zdravotnej starostlivosti a oblasť verejného zdravotníctva) a prelínali sa originálne kompetencie s preneseným výkonom štátnej správy, čo do značnej miery sťažovalo prácu s uvedenými údajmi, nenaplnila požadované očakávania a cieľ stanovený v jednotnej metodike.  </w:t>
      </w:r>
    </w:p>
    <w:p w:rsidR="00841DC0" w:rsidRPr="00841DC0" w:rsidRDefault="00841DC0" w:rsidP="00827CF2">
      <w:pPr>
        <w:keepNext/>
        <w:shd w:val="clear" w:color="auto" w:fill="F2F2F2" w:themeFill="background1" w:themeFillShade="F2"/>
        <w:spacing w:before="120" w:after="0" w:line="240" w:lineRule="auto"/>
        <w:jc w:val="both"/>
        <w:rPr>
          <w:rFonts w:cs="Times New Roman"/>
          <w:sz w:val="22"/>
        </w:rPr>
      </w:pPr>
      <w:r w:rsidRPr="00841DC0">
        <w:rPr>
          <w:rFonts w:cs="Times New Roman"/>
          <w:sz w:val="22"/>
        </w:rPr>
        <w:tab/>
        <w:t xml:space="preserve">Zhodnotenie kompetencií z pohľadu decentralizácie nevykonali, nenavrhli zrušenie žiadnej kompetencie bez náhrad.  </w:t>
      </w:r>
    </w:p>
    <w:p w:rsidR="00841DC0" w:rsidRPr="00841DC0" w:rsidRDefault="00841DC0" w:rsidP="00827CF2">
      <w:pPr>
        <w:shd w:val="clear" w:color="auto" w:fill="F2F2F2" w:themeFill="background1" w:themeFillShade="F2"/>
        <w:spacing w:before="120" w:after="0" w:line="240" w:lineRule="auto"/>
        <w:ind w:firstLine="709"/>
        <w:jc w:val="both"/>
        <w:rPr>
          <w:rFonts w:cs="Times New Roman"/>
          <w:sz w:val="22"/>
        </w:rPr>
      </w:pPr>
      <w:r w:rsidRPr="00841DC0">
        <w:rPr>
          <w:rFonts w:cs="Times New Roman"/>
          <w:sz w:val="22"/>
        </w:rPr>
        <w:t xml:space="preserve">Pri kvantitatívnych ukazovateľoch ministerstvo zdravotníctva uvádzalo priemerné hodnoty za jeden samosprávny kraj, pričom vychádzali len z čiastkových údajov. Možno odhadovať značnú nepresnosť údajov. </w:t>
      </w:r>
    </w:p>
    <w:p w:rsidR="00841DC0" w:rsidRPr="00841DC0" w:rsidRDefault="00841DC0" w:rsidP="00510A26">
      <w:pPr>
        <w:keepNext/>
        <w:spacing w:before="240" w:after="240" w:line="240" w:lineRule="auto"/>
        <w:jc w:val="both"/>
        <w:rPr>
          <w:rFonts w:cs="Times New Roman"/>
          <w:b/>
          <w:szCs w:val="24"/>
        </w:rPr>
      </w:pPr>
      <w:r w:rsidRPr="00841DC0">
        <w:rPr>
          <w:rFonts w:cs="Times New Roman"/>
          <w:b/>
          <w:szCs w:val="24"/>
        </w:rPr>
        <w:t>Ministerstvo životného prostredia Slovenskej republiky</w:t>
      </w:r>
    </w:p>
    <w:p w:rsidR="008B7049" w:rsidRPr="00D861B9" w:rsidRDefault="008B7049" w:rsidP="008B7049">
      <w:pPr>
        <w:keepNext/>
        <w:shd w:val="clear" w:color="auto" w:fill="FFFFFF" w:themeFill="background1"/>
        <w:tabs>
          <w:tab w:val="left" w:pos="1276"/>
        </w:tabs>
        <w:spacing w:before="120" w:after="120" w:line="240" w:lineRule="auto"/>
        <w:ind w:firstLine="709"/>
        <w:jc w:val="both"/>
        <w:rPr>
          <w:rFonts w:eastAsia="Times New Roman" w:cs="Times New Roman"/>
          <w:sz w:val="22"/>
          <w:u w:val="single"/>
          <w:lang w:eastAsia="cs-CZ"/>
        </w:rPr>
      </w:pPr>
      <w:r w:rsidRPr="00D861B9">
        <w:rPr>
          <w:rFonts w:eastAsia="Times New Roman" w:cs="Times New Roman"/>
          <w:sz w:val="22"/>
          <w:u w:val="single"/>
          <w:lang w:eastAsia="cs-CZ"/>
        </w:rPr>
        <w:t>1.1.</w:t>
      </w:r>
      <w:r w:rsidRPr="00D861B9">
        <w:rPr>
          <w:rFonts w:eastAsia="Times New Roman" w:cs="Times New Roman"/>
          <w:sz w:val="22"/>
          <w:u w:val="single"/>
          <w:lang w:eastAsia="cs-CZ"/>
        </w:rPr>
        <w:tab/>
        <w:t>Katalóg prenesených pôsobností</w:t>
      </w:r>
    </w:p>
    <w:p w:rsidR="008B7049" w:rsidRPr="00D861B9" w:rsidRDefault="008B7049" w:rsidP="00106245">
      <w:pPr>
        <w:keepNext/>
        <w:shd w:val="clear" w:color="auto" w:fill="FFFFFF" w:themeFill="background1"/>
        <w:tabs>
          <w:tab w:val="left" w:pos="1276"/>
        </w:tabs>
        <w:spacing w:before="120" w:after="120" w:line="240" w:lineRule="auto"/>
        <w:ind w:firstLine="709"/>
        <w:jc w:val="both"/>
        <w:rPr>
          <w:rFonts w:eastAsia="Times New Roman" w:cs="Times New Roman"/>
          <w:sz w:val="22"/>
          <w:lang w:eastAsia="cs-CZ"/>
        </w:rPr>
      </w:pPr>
      <w:r w:rsidRPr="00D861B9">
        <w:rPr>
          <w:rFonts w:eastAsia="Times New Roman" w:cs="Times New Roman"/>
          <w:sz w:val="22"/>
          <w:lang w:eastAsia="cs-CZ"/>
        </w:rPr>
        <w:t>Zoznam úsekov štátnej správy prenesených na obce a samosprávne kraje</w:t>
      </w:r>
      <w:r>
        <w:rPr>
          <w:rFonts w:eastAsia="Times New Roman" w:cs="Times New Roman"/>
          <w:sz w:val="22"/>
          <w:lang w:eastAsia="cs-CZ"/>
        </w:rPr>
        <w:t xml:space="preserve"> s údajmi o počte úloh:</w:t>
      </w:r>
    </w:p>
    <w:tbl>
      <w:tblPr>
        <w:tblStyle w:val="Mriekatabuky"/>
        <w:tblW w:w="0" w:type="auto"/>
        <w:jc w:val="center"/>
        <w:tblLook w:val="04A0" w:firstRow="1" w:lastRow="0" w:firstColumn="1" w:lastColumn="0" w:noHBand="0" w:noVBand="1"/>
      </w:tblPr>
      <w:tblGrid>
        <w:gridCol w:w="2126"/>
        <w:gridCol w:w="2552"/>
        <w:gridCol w:w="1275"/>
        <w:gridCol w:w="1620"/>
      </w:tblGrid>
      <w:tr w:rsidR="008B7049" w:rsidRPr="00D861B9" w:rsidTr="00106245">
        <w:trPr>
          <w:jc w:val="center"/>
        </w:trPr>
        <w:tc>
          <w:tcPr>
            <w:tcW w:w="2126" w:type="dxa"/>
            <w:shd w:val="clear" w:color="auto" w:fill="auto"/>
          </w:tcPr>
          <w:p w:rsidR="008B7049" w:rsidRPr="009766D2" w:rsidRDefault="008B7049" w:rsidP="00106245">
            <w:pPr>
              <w:shd w:val="clear" w:color="auto" w:fill="FFFFFF" w:themeFill="background1"/>
              <w:spacing w:before="120" w:after="60"/>
              <w:jc w:val="left"/>
              <w:rPr>
                <w:b/>
                <w:sz w:val="16"/>
                <w:szCs w:val="16"/>
              </w:rPr>
            </w:pPr>
            <w:r w:rsidRPr="009766D2">
              <w:rPr>
                <w:b/>
                <w:sz w:val="16"/>
                <w:szCs w:val="16"/>
              </w:rPr>
              <w:t>obce</w:t>
            </w:r>
          </w:p>
        </w:tc>
        <w:tc>
          <w:tcPr>
            <w:tcW w:w="2552" w:type="dxa"/>
            <w:shd w:val="clear" w:color="auto" w:fill="auto"/>
          </w:tcPr>
          <w:p w:rsidR="008B7049" w:rsidRPr="009766D2" w:rsidRDefault="008B7049" w:rsidP="00106245">
            <w:pPr>
              <w:shd w:val="clear" w:color="auto" w:fill="FFFFFF" w:themeFill="background1"/>
              <w:spacing w:before="120" w:after="60"/>
              <w:rPr>
                <w:b/>
                <w:sz w:val="16"/>
                <w:szCs w:val="16"/>
              </w:rPr>
            </w:pPr>
            <w:r w:rsidRPr="009766D2">
              <w:rPr>
                <w:b/>
                <w:sz w:val="16"/>
                <w:szCs w:val="16"/>
              </w:rPr>
              <w:t>samosprávne kraje</w:t>
            </w:r>
          </w:p>
        </w:tc>
        <w:tc>
          <w:tcPr>
            <w:tcW w:w="1275" w:type="dxa"/>
            <w:tcBorders>
              <w:right w:val="single" w:sz="4" w:space="0" w:color="auto"/>
            </w:tcBorders>
            <w:shd w:val="clear" w:color="auto" w:fill="auto"/>
          </w:tcPr>
          <w:p w:rsidR="008B7049" w:rsidRPr="00106245" w:rsidRDefault="008B7049" w:rsidP="00106245">
            <w:pPr>
              <w:shd w:val="clear" w:color="auto" w:fill="FFFFFF" w:themeFill="background1"/>
              <w:spacing w:before="120" w:after="60"/>
              <w:rPr>
                <w:b/>
                <w:color w:val="FFFFFF" w:themeColor="background1"/>
                <w:sz w:val="16"/>
                <w:szCs w:val="16"/>
              </w:rPr>
            </w:pPr>
            <w:r w:rsidRPr="009766D2">
              <w:rPr>
                <w:b/>
                <w:sz w:val="16"/>
                <w:szCs w:val="16"/>
              </w:rPr>
              <w:t>obce</w:t>
            </w:r>
          </w:p>
        </w:tc>
        <w:tc>
          <w:tcPr>
            <w:tcW w:w="1620" w:type="dxa"/>
            <w:tcBorders>
              <w:left w:val="single" w:sz="4" w:space="0" w:color="auto"/>
              <w:right w:val="single" w:sz="12" w:space="0" w:color="auto"/>
            </w:tcBorders>
            <w:shd w:val="clear" w:color="auto" w:fill="auto"/>
          </w:tcPr>
          <w:p w:rsidR="008B7049" w:rsidRPr="009766D2" w:rsidRDefault="008B7049" w:rsidP="00106245">
            <w:pPr>
              <w:shd w:val="clear" w:color="auto" w:fill="FFFFFF" w:themeFill="background1"/>
              <w:spacing w:before="120" w:after="60"/>
              <w:rPr>
                <w:b/>
                <w:sz w:val="16"/>
                <w:szCs w:val="16"/>
              </w:rPr>
            </w:pPr>
            <w:r w:rsidRPr="009766D2">
              <w:rPr>
                <w:b/>
                <w:sz w:val="16"/>
                <w:szCs w:val="16"/>
              </w:rPr>
              <w:t>samosprávne kraje</w:t>
            </w:r>
          </w:p>
        </w:tc>
      </w:tr>
      <w:tr w:rsidR="008B7049" w:rsidRPr="00D861B9" w:rsidTr="00106245">
        <w:trPr>
          <w:jc w:val="center"/>
        </w:trPr>
        <w:tc>
          <w:tcPr>
            <w:tcW w:w="2126" w:type="dxa"/>
            <w:shd w:val="clear" w:color="auto" w:fill="auto"/>
          </w:tcPr>
          <w:p w:rsidR="008B7049" w:rsidRPr="00146AA7" w:rsidRDefault="008B7049" w:rsidP="008B7049">
            <w:pPr>
              <w:spacing w:before="120" w:after="60"/>
              <w:jc w:val="left"/>
              <w:rPr>
                <w:sz w:val="16"/>
                <w:szCs w:val="16"/>
              </w:rPr>
            </w:pPr>
            <w:r w:rsidRPr="00146AA7">
              <w:rPr>
                <w:sz w:val="16"/>
                <w:szCs w:val="16"/>
              </w:rPr>
              <w:t xml:space="preserve"> úsek ochrany ovzdušia</w:t>
            </w:r>
          </w:p>
        </w:tc>
        <w:tc>
          <w:tcPr>
            <w:tcW w:w="2552" w:type="dxa"/>
            <w:shd w:val="clear" w:color="auto" w:fill="auto"/>
          </w:tcPr>
          <w:p w:rsidR="008B7049" w:rsidRPr="009766D2" w:rsidRDefault="008B7049" w:rsidP="008B7049">
            <w:pPr>
              <w:spacing w:before="120" w:after="60"/>
              <w:jc w:val="left"/>
              <w:rPr>
                <w:sz w:val="16"/>
                <w:szCs w:val="16"/>
              </w:rPr>
            </w:pPr>
            <w:r w:rsidRPr="009766D2">
              <w:rPr>
                <w:sz w:val="16"/>
                <w:szCs w:val="16"/>
              </w:rPr>
              <w:t>-</w:t>
            </w:r>
          </w:p>
        </w:tc>
        <w:tc>
          <w:tcPr>
            <w:tcW w:w="1275" w:type="dxa"/>
            <w:tcBorders>
              <w:right w:val="single" w:sz="4" w:space="0" w:color="auto"/>
            </w:tcBorders>
            <w:shd w:val="clear" w:color="auto" w:fill="auto"/>
            <w:vAlign w:val="center"/>
          </w:tcPr>
          <w:p w:rsidR="008B7049" w:rsidRPr="009766D2" w:rsidRDefault="008B7049" w:rsidP="005D0177">
            <w:pPr>
              <w:spacing w:before="120" w:after="60"/>
              <w:jc w:val="right"/>
              <w:rPr>
                <w:sz w:val="16"/>
                <w:szCs w:val="16"/>
              </w:rPr>
            </w:pPr>
            <w:r>
              <w:rPr>
                <w:sz w:val="16"/>
                <w:szCs w:val="16"/>
              </w:rPr>
              <w:t>10 A</w:t>
            </w:r>
          </w:p>
        </w:tc>
        <w:tc>
          <w:tcPr>
            <w:tcW w:w="1620" w:type="dxa"/>
            <w:tcBorders>
              <w:left w:val="single" w:sz="4" w:space="0" w:color="auto"/>
              <w:right w:val="single" w:sz="12" w:space="0" w:color="auto"/>
            </w:tcBorders>
            <w:shd w:val="clear" w:color="auto" w:fill="auto"/>
            <w:vAlign w:val="center"/>
          </w:tcPr>
          <w:p w:rsidR="008B7049" w:rsidRPr="009766D2" w:rsidRDefault="008B7049" w:rsidP="005D0177">
            <w:pPr>
              <w:spacing w:before="120" w:after="60"/>
              <w:jc w:val="right"/>
              <w:rPr>
                <w:sz w:val="16"/>
                <w:szCs w:val="16"/>
              </w:rPr>
            </w:pPr>
            <w:r w:rsidRPr="009766D2">
              <w:rPr>
                <w:sz w:val="16"/>
                <w:szCs w:val="16"/>
              </w:rPr>
              <w:t>-</w:t>
            </w:r>
          </w:p>
        </w:tc>
      </w:tr>
      <w:tr w:rsidR="008B7049" w:rsidRPr="00D861B9" w:rsidTr="00106245">
        <w:trPr>
          <w:jc w:val="center"/>
        </w:trPr>
        <w:tc>
          <w:tcPr>
            <w:tcW w:w="2126" w:type="dxa"/>
            <w:shd w:val="clear" w:color="auto" w:fill="auto"/>
          </w:tcPr>
          <w:p w:rsidR="008B7049" w:rsidRPr="00146AA7" w:rsidRDefault="008B7049" w:rsidP="008B7049">
            <w:pPr>
              <w:spacing w:before="120" w:after="60"/>
              <w:jc w:val="left"/>
              <w:rPr>
                <w:sz w:val="16"/>
                <w:szCs w:val="16"/>
              </w:rPr>
            </w:pPr>
            <w:r w:rsidRPr="00146AA7">
              <w:rPr>
                <w:sz w:val="16"/>
                <w:szCs w:val="16"/>
              </w:rPr>
              <w:t>úsek ochrany pred    povodňami</w:t>
            </w:r>
          </w:p>
        </w:tc>
        <w:tc>
          <w:tcPr>
            <w:tcW w:w="2552" w:type="dxa"/>
            <w:shd w:val="clear" w:color="auto" w:fill="auto"/>
          </w:tcPr>
          <w:p w:rsidR="008B7049" w:rsidRPr="009766D2" w:rsidRDefault="008B7049" w:rsidP="008B7049">
            <w:pPr>
              <w:spacing w:before="120" w:after="60"/>
              <w:jc w:val="left"/>
              <w:rPr>
                <w:sz w:val="16"/>
                <w:szCs w:val="16"/>
              </w:rPr>
            </w:pPr>
            <w:r w:rsidRPr="009766D2">
              <w:rPr>
                <w:sz w:val="16"/>
                <w:szCs w:val="16"/>
              </w:rPr>
              <w:t>-</w:t>
            </w:r>
          </w:p>
        </w:tc>
        <w:tc>
          <w:tcPr>
            <w:tcW w:w="1275" w:type="dxa"/>
            <w:tcBorders>
              <w:right w:val="single" w:sz="4" w:space="0" w:color="auto"/>
            </w:tcBorders>
            <w:shd w:val="clear" w:color="auto" w:fill="auto"/>
            <w:vAlign w:val="center"/>
          </w:tcPr>
          <w:p w:rsidR="008B7049" w:rsidRPr="009766D2" w:rsidRDefault="008B7049" w:rsidP="005D0177">
            <w:pPr>
              <w:spacing w:before="120" w:after="60"/>
              <w:jc w:val="right"/>
              <w:rPr>
                <w:sz w:val="16"/>
                <w:szCs w:val="16"/>
              </w:rPr>
            </w:pPr>
            <w:r>
              <w:rPr>
                <w:sz w:val="16"/>
                <w:szCs w:val="16"/>
              </w:rPr>
              <w:t>28 A</w:t>
            </w:r>
          </w:p>
        </w:tc>
        <w:tc>
          <w:tcPr>
            <w:tcW w:w="1620" w:type="dxa"/>
            <w:tcBorders>
              <w:left w:val="single" w:sz="4" w:space="0" w:color="auto"/>
              <w:right w:val="single" w:sz="12" w:space="0" w:color="auto"/>
            </w:tcBorders>
            <w:shd w:val="clear" w:color="auto" w:fill="auto"/>
            <w:vAlign w:val="center"/>
          </w:tcPr>
          <w:p w:rsidR="008B7049" w:rsidRPr="009766D2" w:rsidRDefault="008B7049" w:rsidP="005D0177">
            <w:pPr>
              <w:spacing w:before="120" w:after="60"/>
              <w:jc w:val="right"/>
              <w:rPr>
                <w:sz w:val="16"/>
                <w:szCs w:val="16"/>
              </w:rPr>
            </w:pPr>
            <w:r w:rsidRPr="009766D2">
              <w:rPr>
                <w:sz w:val="16"/>
                <w:szCs w:val="16"/>
              </w:rPr>
              <w:t>-</w:t>
            </w:r>
          </w:p>
        </w:tc>
      </w:tr>
      <w:tr w:rsidR="008B7049" w:rsidRPr="00D861B9" w:rsidTr="00106245">
        <w:trPr>
          <w:jc w:val="center"/>
        </w:trPr>
        <w:tc>
          <w:tcPr>
            <w:tcW w:w="2126" w:type="dxa"/>
            <w:shd w:val="clear" w:color="auto" w:fill="auto"/>
          </w:tcPr>
          <w:p w:rsidR="008B7049" w:rsidRPr="00146AA7" w:rsidRDefault="008B7049" w:rsidP="008B7049">
            <w:pPr>
              <w:spacing w:before="120" w:after="60"/>
              <w:jc w:val="left"/>
              <w:rPr>
                <w:sz w:val="16"/>
                <w:szCs w:val="16"/>
              </w:rPr>
            </w:pPr>
            <w:r w:rsidRPr="00146AA7">
              <w:rPr>
                <w:sz w:val="16"/>
                <w:szCs w:val="16"/>
              </w:rPr>
              <w:t>úsek ochrany krajiny a prírody</w:t>
            </w:r>
          </w:p>
        </w:tc>
        <w:tc>
          <w:tcPr>
            <w:tcW w:w="2552" w:type="dxa"/>
            <w:shd w:val="clear" w:color="auto" w:fill="auto"/>
          </w:tcPr>
          <w:p w:rsidR="008B7049" w:rsidRPr="009766D2" w:rsidRDefault="008B7049" w:rsidP="008B7049">
            <w:pPr>
              <w:spacing w:before="120" w:after="60"/>
              <w:jc w:val="left"/>
              <w:rPr>
                <w:sz w:val="16"/>
                <w:szCs w:val="16"/>
              </w:rPr>
            </w:pPr>
            <w:r w:rsidRPr="009766D2">
              <w:rPr>
                <w:sz w:val="16"/>
                <w:szCs w:val="16"/>
              </w:rPr>
              <w:t>-</w:t>
            </w:r>
          </w:p>
        </w:tc>
        <w:tc>
          <w:tcPr>
            <w:tcW w:w="1275" w:type="dxa"/>
            <w:tcBorders>
              <w:right w:val="single" w:sz="4" w:space="0" w:color="auto"/>
            </w:tcBorders>
            <w:shd w:val="clear" w:color="auto" w:fill="auto"/>
            <w:vAlign w:val="center"/>
          </w:tcPr>
          <w:p w:rsidR="008B7049" w:rsidRPr="009766D2" w:rsidRDefault="008B7049" w:rsidP="005D0177">
            <w:pPr>
              <w:spacing w:before="120" w:after="60"/>
              <w:jc w:val="right"/>
              <w:rPr>
                <w:sz w:val="16"/>
                <w:szCs w:val="16"/>
              </w:rPr>
            </w:pPr>
            <w:r>
              <w:rPr>
                <w:sz w:val="16"/>
                <w:szCs w:val="16"/>
              </w:rPr>
              <w:t>13 A</w:t>
            </w:r>
          </w:p>
        </w:tc>
        <w:tc>
          <w:tcPr>
            <w:tcW w:w="1620" w:type="dxa"/>
            <w:tcBorders>
              <w:left w:val="single" w:sz="4" w:space="0" w:color="auto"/>
              <w:right w:val="single" w:sz="12" w:space="0" w:color="auto"/>
            </w:tcBorders>
            <w:shd w:val="clear" w:color="auto" w:fill="auto"/>
            <w:vAlign w:val="center"/>
          </w:tcPr>
          <w:p w:rsidR="008B7049" w:rsidRPr="009766D2" w:rsidRDefault="008B7049" w:rsidP="005D0177">
            <w:pPr>
              <w:spacing w:before="120" w:after="60"/>
              <w:jc w:val="right"/>
              <w:rPr>
                <w:sz w:val="16"/>
                <w:szCs w:val="16"/>
              </w:rPr>
            </w:pPr>
            <w:r w:rsidRPr="009766D2">
              <w:rPr>
                <w:sz w:val="16"/>
                <w:szCs w:val="16"/>
              </w:rPr>
              <w:t>-</w:t>
            </w:r>
          </w:p>
        </w:tc>
      </w:tr>
      <w:tr w:rsidR="008B7049" w:rsidRPr="00D861B9" w:rsidTr="00106245">
        <w:trPr>
          <w:jc w:val="center"/>
        </w:trPr>
        <w:tc>
          <w:tcPr>
            <w:tcW w:w="2126" w:type="dxa"/>
            <w:shd w:val="clear" w:color="auto" w:fill="auto"/>
          </w:tcPr>
          <w:p w:rsidR="008B7049" w:rsidRPr="00146AA7" w:rsidRDefault="008B7049" w:rsidP="008B7049">
            <w:pPr>
              <w:spacing w:before="120" w:after="60"/>
              <w:jc w:val="left"/>
              <w:rPr>
                <w:sz w:val="16"/>
                <w:szCs w:val="16"/>
              </w:rPr>
            </w:pPr>
            <w:r w:rsidRPr="00146AA7">
              <w:rPr>
                <w:sz w:val="16"/>
                <w:szCs w:val="16"/>
              </w:rPr>
              <w:t xml:space="preserve"> úsek št. vodnej správy</w:t>
            </w:r>
          </w:p>
        </w:tc>
        <w:tc>
          <w:tcPr>
            <w:tcW w:w="2552" w:type="dxa"/>
            <w:shd w:val="clear" w:color="auto" w:fill="auto"/>
          </w:tcPr>
          <w:p w:rsidR="008B7049" w:rsidRPr="009766D2" w:rsidRDefault="008B7049" w:rsidP="008B7049">
            <w:pPr>
              <w:spacing w:before="120" w:after="60"/>
              <w:jc w:val="left"/>
              <w:rPr>
                <w:sz w:val="16"/>
                <w:szCs w:val="16"/>
              </w:rPr>
            </w:pPr>
            <w:r w:rsidRPr="009766D2">
              <w:rPr>
                <w:sz w:val="16"/>
                <w:szCs w:val="16"/>
              </w:rPr>
              <w:t>-</w:t>
            </w:r>
          </w:p>
        </w:tc>
        <w:tc>
          <w:tcPr>
            <w:tcW w:w="1275" w:type="dxa"/>
            <w:tcBorders>
              <w:right w:val="single" w:sz="4" w:space="0" w:color="auto"/>
            </w:tcBorders>
            <w:shd w:val="clear" w:color="auto" w:fill="auto"/>
            <w:vAlign w:val="center"/>
          </w:tcPr>
          <w:p w:rsidR="008B7049" w:rsidRPr="009766D2" w:rsidRDefault="008B7049" w:rsidP="005D0177">
            <w:pPr>
              <w:spacing w:before="120" w:after="60"/>
              <w:jc w:val="right"/>
              <w:rPr>
                <w:sz w:val="16"/>
                <w:szCs w:val="16"/>
              </w:rPr>
            </w:pPr>
            <w:r>
              <w:rPr>
                <w:sz w:val="16"/>
                <w:szCs w:val="16"/>
              </w:rPr>
              <w:t>8 A</w:t>
            </w:r>
          </w:p>
        </w:tc>
        <w:tc>
          <w:tcPr>
            <w:tcW w:w="1620" w:type="dxa"/>
            <w:tcBorders>
              <w:left w:val="single" w:sz="4" w:space="0" w:color="auto"/>
              <w:right w:val="single" w:sz="12" w:space="0" w:color="auto"/>
            </w:tcBorders>
            <w:shd w:val="clear" w:color="auto" w:fill="auto"/>
            <w:vAlign w:val="center"/>
          </w:tcPr>
          <w:p w:rsidR="008B7049" w:rsidRPr="009766D2" w:rsidRDefault="008B7049" w:rsidP="005D0177">
            <w:pPr>
              <w:spacing w:before="120" w:after="60"/>
              <w:jc w:val="right"/>
              <w:rPr>
                <w:sz w:val="16"/>
                <w:szCs w:val="16"/>
              </w:rPr>
            </w:pPr>
            <w:r w:rsidRPr="009766D2">
              <w:rPr>
                <w:sz w:val="16"/>
                <w:szCs w:val="16"/>
              </w:rPr>
              <w:t>-</w:t>
            </w:r>
          </w:p>
        </w:tc>
      </w:tr>
    </w:tbl>
    <w:p w:rsidR="00841DC0" w:rsidRPr="00841DC0" w:rsidRDefault="00841DC0" w:rsidP="00841DC0">
      <w:pPr>
        <w:keepNext/>
        <w:tabs>
          <w:tab w:val="left" w:pos="1276"/>
        </w:tabs>
        <w:spacing w:before="120" w:after="120" w:line="240" w:lineRule="auto"/>
        <w:ind w:firstLine="709"/>
        <w:jc w:val="both"/>
        <w:rPr>
          <w:rFonts w:eastAsia="Times New Roman" w:cs="Times New Roman"/>
          <w:sz w:val="22"/>
          <w:u w:val="single"/>
          <w:lang w:eastAsia="cs-CZ"/>
        </w:rPr>
      </w:pPr>
      <w:r w:rsidRPr="00841DC0">
        <w:rPr>
          <w:rFonts w:cs="Times New Roman"/>
          <w:sz w:val="22"/>
        </w:rPr>
        <w:t xml:space="preserve">Ministerstvo životného prostredia Slovenskej republiky (ďalej len „ministerstvo životného prostredia“) </w:t>
      </w:r>
      <w:r w:rsidRPr="00841DC0">
        <w:rPr>
          <w:rFonts w:eastAsia="Times New Roman" w:cs="Times New Roman"/>
          <w:sz w:val="22"/>
          <w:lang w:eastAsia="cs-CZ"/>
        </w:rPr>
        <w:t xml:space="preserve">zozbieralo údaje </w:t>
      </w:r>
      <w:r w:rsidRPr="00841DC0">
        <w:rPr>
          <w:rFonts w:cs="Times New Roman"/>
          <w:sz w:val="22"/>
        </w:rPr>
        <w:t>na úrovni úloh v rámci úsekov.</w:t>
      </w:r>
      <w:r w:rsidRPr="00841DC0">
        <w:rPr>
          <w:rFonts w:eastAsia="Times New Roman" w:cs="Times New Roman"/>
          <w:sz w:val="22"/>
          <w:lang w:eastAsia="cs-CZ"/>
        </w:rPr>
        <w:t xml:space="preserve"> Údaje zbierali od obcí. Návratnosť vyplnených dotazníkov z 2906 obcí predstavuje 43,4% (1260 obcí), čo považuje za úspešné.</w:t>
      </w:r>
    </w:p>
    <w:p w:rsidR="00841DC0" w:rsidRPr="00841DC0" w:rsidRDefault="00841DC0" w:rsidP="00841DC0">
      <w:pPr>
        <w:keepNext/>
        <w:tabs>
          <w:tab w:val="left" w:pos="1276"/>
        </w:tabs>
        <w:spacing w:before="120" w:after="12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1.2.</w:t>
      </w:r>
      <w:r w:rsidRPr="00841DC0">
        <w:rPr>
          <w:rFonts w:eastAsia="Times New Roman" w:cs="Times New Roman"/>
          <w:sz w:val="22"/>
          <w:u w:val="single"/>
          <w:lang w:eastAsia="cs-CZ"/>
        </w:rPr>
        <w:tab/>
        <w:t>Kvantifikácia výkonu prenesených pôsobností</w:t>
      </w:r>
    </w:p>
    <w:p w:rsidR="00841DC0" w:rsidRPr="00841DC0" w:rsidRDefault="00841DC0" w:rsidP="00841DC0">
      <w:pPr>
        <w:spacing w:after="0" w:line="240" w:lineRule="auto"/>
        <w:jc w:val="both"/>
        <w:rPr>
          <w:rFonts w:cs="Times New Roman"/>
          <w:sz w:val="22"/>
        </w:rPr>
      </w:pPr>
      <w:r w:rsidRPr="00841DC0">
        <w:rPr>
          <w:rFonts w:cs="Times New Roman"/>
          <w:sz w:val="22"/>
        </w:rPr>
        <w:tab/>
      </w:r>
      <w:r w:rsidRPr="00841DC0">
        <w:rPr>
          <w:rFonts w:eastAsia="Times New Roman" w:cs="Times New Roman"/>
          <w:sz w:val="22"/>
          <w:lang w:eastAsia="cs-CZ"/>
        </w:rPr>
        <w:t>V prípade jednotlivých úsekoch štátnej správy starostlivosti o životné prostredie</w:t>
      </w:r>
      <w:r w:rsidRPr="00841DC0">
        <w:rPr>
          <w:rFonts w:cs="Times New Roman"/>
          <w:sz w:val="22"/>
        </w:rPr>
        <w:t xml:space="preserve"> sa ukázalo, že výrazné nedostatky sú v kategóriách obcí s nižším počtom obyvateľov (A, B, a v menšej miere aj C), kým ku kvalitnému výkonu prenesených pôsobností dochádza iba v prípade kategórie D. </w:t>
      </w:r>
    </w:p>
    <w:p w:rsidR="00841DC0" w:rsidRPr="00841DC0" w:rsidRDefault="00841DC0" w:rsidP="00841DC0">
      <w:pPr>
        <w:spacing w:before="120" w:after="0" w:line="240" w:lineRule="auto"/>
        <w:jc w:val="both"/>
        <w:rPr>
          <w:rFonts w:cs="Times New Roman"/>
          <w:sz w:val="22"/>
        </w:rPr>
      </w:pPr>
      <w:r w:rsidRPr="00841DC0">
        <w:rPr>
          <w:rFonts w:cs="Times New Roman"/>
          <w:sz w:val="22"/>
        </w:rPr>
        <w:tab/>
        <w:t xml:space="preserve">V kategóriách A, B a C bolo zistené nevykonávanie viacerých pôsobností alebo nekvalitné plnenie. Ide najmä o nasledovné úlohy: </w:t>
      </w:r>
    </w:p>
    <w:p w:rsidR="00841DC0" w:rsidRPr="00841DC0" w:rsidRDefault="00841DC0" w:rsidP="00841DC0">
      <w:pPr>
        <w:numPr>
          <w:ilvl w:val="0"/>
          <w:numId w:val="2"/>
        </w:numPr>
        <w:spacing w:before="60" w:after="0" w:line="240" w:lineRule="auto"/>
        <w:ind w:left="714" w:hanging="357"/>
        <w:contextualSpacing/>
        <w:jc w:val="both"/>
        <w:rPr>
          <w:rFonts w:eastAsia="Times New Roman" w:cs="Times New Roman"/>
          <w:sz w:val="22"/>
          <w:lang w:eastAsia="cs-CZ"/>
        </w:rPr>
      </w:pPr>
      <w:r w:rsidRPr="00841DC0">
        <w:rPr>
          <w:rFonts w:eastAsia="Times New Roman" w:cs="Times New Roman"/>
          <w:sz w:val="22"/>
          <w:lang w:eastAsia="cs-CZ"/>
        </w:rPr>
        <w:t>vykonanie kontrol prevádzkovateľov malých zdrojov: 85% obcí nevykonáva;</w:t>
      </w:r>
    </w:p>
    <w:p w:rsidR="00841DC0" w:rsidRPr="00841DC0" w:rsidRDefault="00841DC0" w:rsidP="00841DC0">
      <w:pPr>
        <w:numPr>
          <w:ilvl w:val="0"/>
          <w:numId w:val="2"/>
        </w:numPr>
        <w:spacing w:after="0" w:line="240" w:lineRule="auto"/>
        <w:contextualSpacing/>
        <w:jc w:val="both"/>
        <w:rPr>
          <w:rFonts w:eastAsia="Times New Roman" w:cs="Times New Roman"/>
          <w:sz w:val="22"/>
          <w:lang w:eastAsia="cs-CZ"/>
        </w:rPr>
      </w:pPr>
      <w:r w:rsidRPr="00841DC0">
        <w:rPr>
          <w:rFonts w:eastAsia="Times New Roman" w:cs="Times New Roman"/>
          <w:sz w:val="22"/>
          <w:lang w:eastAsia="cs-CZ"/>
        </w:rPr>
        <w:t>vydanie súhlasov pre malé zdroje znečisťovania ovzdušia: 50% obcí nevykonáva;</w:t>
      </w:r>
    </w:p>
    <w:p w:rsidR="00841DC0" w:rsidRPr="00841DC0" w:rsidRDefault="00841DC0" w:rsidP="00841DC0">
      <w:pPr>
        <w:numPr>
          <w:ilvl w:val="0"/>
          <w:numId w:val="2"/>
        </w:numPr>
        <w:spacing w:after="0" w:line="240" w:lineRule="auto"/>
        <w:contextualSpacing/>
        <w:jc w:val="both"/>
        <w:rPr>
          <w:rFonts w:eastAsia="Times New Roman" w:cs="Times New Roman"/>
          <w:sz w:val="22"/>
          <w:lang w:eastAsia="cs-CZ"/>
        </w:rPr>
      </w:pPr>
      <w:r w:rsidRPr="00841DC0">
        <w:rPr>
          <w:rFonts w:eastAsia="Times New Roman" w:cs="Times New Roman"/>
          <w:sz w:val="22"/>
          <w:lang w:eastAsia="cs-CZ"/>
        </w:rPr>
        <w:t>určenie rozsahu a požiadaviek vedenia prevádzkovej evidencie malých zdrojov: 90% obcí nevykonáva;</w:t>
      </w:r>
    </w:p>
    <w:p w:rsidR="00841DC0" w:rsidRPr="00841DC0" w:rsidRDefault="00841DC0" w:rsidP="00841DC0">
      <w:pPr>
        <w:numPr>
          <w:ilvl w:val="0"/>
          <w:numId w:val="2"/>
        </w:numPr>
        <w:spacing w:after="0" w:line="240" w:lineRule="auto"/>
        <w:contextualSpacing/>
        <w:jc w:val="both"/>
        <w:rPr>
          <w:rFonts w:eastAsia="Times New Roman" w:cs="Times New Roman"/>
          <w:sz w:val="22"/>
          <w:lang w:eastAsia="cs-CZ"/>
        </w:rPr>
      </w:pPr>
      <w:r w:rsidRPr="00841DC0">
        <w:rPr>
          <w:rFonts w:eastAsia="Times New Roman" w:cs="Times New Roman"/>
          <w:sz w:val="22"/>
          <w:lang w:eastAsia="cs-CZ"/>
        </w:rPr>
        <w:t>vydanie súhlasu na umiestnenie výsadby drevín: 93% obcí nevydalo žiadny súhlas;</w:t>
      </w:r>
    </w:p>
    <w:p w:rsidR="00841DC0" w:rsidRPr="00841DC0" w:rsidRDefault="00841DC0" w:rsidP="00841DC0">
      <w:pPr>
        <w:numPr>
          <w:ilvl w:val="0"/>
          <w:numId w:val="2"/>
        </w:numPr>
        <w:spacing w:after="0" w:line="240" w:lineRule="auto"/>
        <w:contextualSpacing/>
        <w:jc w:val="both"/>
        <w:rPr>
          <w:rFonts w:eastAsia="Times New Roman" w:cs="Times New Roman"/>
          <w:sz w:val="22"/>
          <w:lang w:eastAsia="cs-CZ"/>
        </w:rPr>
      </w:pPr>
      <w:r w:rsidRPr="00841DC0">
        <w:rPr>
          <w:rFonts w:eastAsia="Times New Roman" w:cs="Times New Roman"/>
          <w:sz w:val="22"/>
          <w:lang w:eastAsia="cs-CZ"/>
        </w:rPr>
        <w:t>vykonanie štátneho dozoru na úseku výrubu drevín: 85% obcí nevykonalo dozor;</w:t>
      </w:r>
    </w:p>
    <w:p w:rsidR="00841DC0" w:rsidRPr="00841DC0" w:rsidRDefault="00841DC0" w:rsidP="00841DC0">
      <w:pPr>
        <w:numPr>
          <w:ilvl w:val="0"/>
          <w:numId w:val="2"/>
        </w:numPr>
        <w:spacing w:after="0" w:line="240" w:lineRule="auto"/>
        <w:contextualSpacing/>
        <w:jc w:val="both"/>
        <w:rPr>
          <w:rFonts w:eastAsia="Times New Roman" w:cs="Times New Roman"/>
          <w:sz w:val="22"/>
          <w:lang w:eastAsia="cs-CZ"/>
        </w:rPr>
      </w:pPr>
      <w:r w:rsidRPr="00841DC0">
        <w:rPr>
          <w:rFonts w:eastAsia="Times New Roman" w:cs="Times New Roman"/>
          <w:sz w:val="22"/>
          <w:lang w:eastAsia="cs-CZ"/>
        </w:rPr>
        <w:t>povinnosť viesť evidenciu pozemkov na náhradnú výsadbu: 40% obcí nevedie evidenciu;</w:t>
      </w:r>
    </w:p>
    <w:p w:rsidR="00841DC0" w:rsidRPr="00841DC0" w:rsidRDefault="00841DC0" w:rsidP="00841DC0">
      <w:pPr>
        <w:numPr>
          <w:ilvl w:val="0"/>
          <w:numId w:val="2"/>
        </w:numPr>
        <w:spacing w:after="0" w:line="240" w:lineRule="auto"/>
        <w:contextualSpacing/>
        <w:jc w:val="both"/>
        <w:rPr>
          <w:rFonts w:eastAsia="Times New Roman" w:cs="Times New Roman"/>
          <w:sz w:val="22"/>
          <w:lang w:eastAsia="cs-CZ"/>
        </w:rPr>
      </w:pPr>
      <w:r w:rsidRPr="00841DC0">
        <w:rPr>
          <w:rFonts w:eastAsia="Times New Roman" w:cs="Times New Roman"/>
          <w:sz w:val="22"/>
          <w:lang w:eastAsia="cs-CZ"/>
        </w:rPr>
        <w:t>vydanie povolení na odber vody: 79%-92% obcí nevydalo žiadne povolenie;</w:t>
      </w:r>
    </w:p>
    <w:p w:rsidR="00841DC0" w:rsidRPr="00841DC0" w:rsidRDefault="00841DC0" w:rsidP="00841DC0">
      <w:pPr>
        <w:numPr>
          <w:ilvl w:val="0"/>
          <w:numId w:val="2"/>
        </w:numPr>
        <w:spacing w:after="0" w:line="240" w:lineRule="auto"/>
        <w:contextualSpacing/>
        <w:jc w:val="both"/>
        <w:rPr>
          <w:rFonts w:eastAsia="Times New Roman" w:cs="Times New Roman"/>
          <w:sz w:val="22"/>
          <w:lang w:eastAsia="cs-CZ"/>
        </w:rPr>
      </w:pPr>
      <w:r w:rsidRPr="00841DC0">
        <w:rPr>
          <w:rFonts w:eastAsia="Times New Roman" w:cs="Times New Roman"/>
          <w:sz w:val="22"/>
          <w:lang w:eastAsia="cs-CZ"/>
        </w:rPr>
        <w:t>vydanie opatrení pri odstraňovaní škodlivého stavu pri poškodzovaní verejného vodovodu alebo verejnej kanalizácie: túto pôsobnosť vykonávalo len 0,3% obcí;</w:t>
      </w:r>
    </w:p>
    <w:p w:rsidR="00841DC0" w:rsidRPr="00841DC0" w:rsidRDefault="00841DC0" w:rsidP="00841DC0">
      <w:pPr>
        <w:numPr>
          <w:ilvl w:val="0"/>
          <w:numId w:val="2"/>
        </w:numPr>
        <w:spacing w:after="0" w:line="240" w:lineRule="auto"/>
        <w:contextualSpacing/>
        <w:jc w:val="both"/>
        <w:rPr>
          <w:rFonts w:eastAsia="Times New Roman" w:cs="Times New Roman"/>
          <w:sz w:val="22"/>
          <w:lang w:eastAsia="cs-CZ"/>
        </w:rPr>
      </w:pPr>
      <w:r w:rsidRPr="00841DC0">
        <w:rPr>
          <w:rFonts w:eastAsia="Times New Roman" w:cs="Times New Roman"/>
          <w:sz w:val="22"/>
          <w:lang w:eastAsia="cs-CZ"/>
        </w:rPr>
        <w:t>výkon vodoochranného dozoru nad dodržiavaním rozhodnutí a povolení: túto pôsobnosť vykonávalo len 6,3% obcí;</w:t>
      </w:r>
    </w:p>
    <w:p w:rsidR="00841DC0" w:rsidRPr="00841DC0" w:rsidRDefault="00841DC0" w:rsidP="00841DC0">
      <w:pPr>
        <w:numPr>
          <w:ilvl w:val="0"/>
          <w:numId w:val="2"/>
        </w:numPr>
        <w:spacing w:after="0" w:line="240" w:lineRule="auto"/>
        <w:contextualSpacing/>
        <w:jc w:val="both"/>
        <w:rPr>
          <w:rFonts w:eastAsia="Times New Roman" w:cs="Times New Roman"/>
          <w:sz w:val="22"/>
          <w:lang w:eastAsia="cs-CZ"/>
        </w:rPr>
      </w:pPr>
      <w:r w:rsidRPr="00841DC0">
        <w:rPr>
          <w:rFonts w:eastAsia="Times New Roman" w:cs="Times New Roman"/>
          <w:sz w:val="22"/>
          <w:lang w:eastAsia="cs-CZ"/>
        </w:rPr>
        <w:t>odvolania, ktorým bolo vyhovené voči rozhodnutiam vo veciach povolenia odberu vody a vodnej stavby: 6%-15,9%;</w:t>
      </w:r>
    </w:p>
    <w:p w:rsidR="00841DC0" w:rsidRPr="00841DC0" w:rsidRDefault="00841DC0" w:rsidP="00841DC0">
      <w:pPr>
        <w:numPr>
          <w:ilvl w:val="0"/>
          <w:numId w:val="2"/>
        </w:numPr>
        <w:spacing w:after="0" w:line="240" w:lineRule="auto"/>
        <w:contextualSpacing/>
        <w:jc w:val="both"/>
        <w:rPr>
          <w:rFonts w:eastAsia="Times New Roman" w:cs="Times New Roman"/>
          <w:sz w:val="22"/>
          <w:lang w:eastAsia="cs-CZ"/>
        </w:rPr>
      </w:pPr>
      <w:r w:rsidRPr="00841DC0">
        <w:rPr>
          <w:rFonts w:eastAsia="Times New Roman" w:cs="Times New Roman"/>
          <w:sz w:val="22"/>
          <w:lang w:eastAsia="cs-CZ"/>
        </w:rPr>
        <w:t>počet vydaných vyjadrení k vodným stavbám: 80% obcí nevydalo žiadne;</w:t>
      </w:r>
    </w:p>
    <w:p w:rsidR="00841DC0" w:rsidRPr="00841DC0" w:rsidRDefault="00841DC0" w:rsidP="00841DC0">
      <w:pPr>
        <w:numPr>
          <w:ilvl w:val="0"/>
          <w:numId w:val="2"/>
        </w:numPr>
        <w:spacing w:after="0" w:line="240" w:lineRule="auto"/>
        <w:contextualSpacing/>
        <w:jc w:val="both"/>
        <w:rPr>
          <w:rFonts w:eastAsia="Times New Roman" w:cs="Times New Roman"/>
          <w:sz w:val="22"/>
          <w:lang w:eastAsia="cs-CZ"/>
        </w:rPr>
      </w:pPr>
      <w:r w:rsidRPr="00841DC0">
        <w:rPr>
          <w:rFonts w:eastAsia="Times New Roman" w:cs="Times New Roman"/>
          <w:sz w:val="22"/>
          <w:lang w:eastAsia="cs-CZ"/>
        </w:rPr>
        <w:t>vedenie evidencie o vodách: 90% obcí neplní túto zákonnú povinnosť;</w:t>
      </w:r>
    </w:p>
    <w:p w:rsidR="00841DC0" w:rsidRPr="00841DC0" w:rsidRDefault="00841DC0" w:rsidP="00841DC0">
      <w:pPr>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lastRenderedPageBreak/>
        <w:t xml:space="preserve">Nekvalitné plnenie niektorých úloh potvrdzuje aj využitie možnosti obvodných úradov životného prostredia (ďalej len „OÚŽP“) vyhradiť si pôsobnosti obce na úseku ochrany prírody a krajiny v zákonom ustanovených záležitostiach. Vyhradenú pôsobnosť OÚŽP využili v prípade 47,5% obcí, a to najmä z dôvodu zlého vykonávania pôsobností obcou. </w:t>
      </w:r>
    </w:p>
    <w:p w:rsidR="00841DC0" w:rsidRPr="00841DC0" w:rsidRDefault="00841DC0" w:rsidP="00841DC0">
      <w:pPr>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Čo sa týka personálneho zabezpečenia úloh, percento zamestnancov s osobitným kvalifikačným predpokladom pre výkon štátnej správy na releva</w:t>
      </w:r>
      <w:r w:rsidR="00091DAA">
        <w:rPr>
          <w:rFonts w:eastAsia="Times New Roman" w:cs="Times New Roman"/>
          <w:sz w:val="22"/>
          <w:lang w:eastAsia="cs-CZ"/>
        </w:rPr>
        <w:t>ntných úsekoch starostlivosti o </w:t>
      </w:r>
      <w:r w:rsidRPr="00841DC0">
        <w:rPr>
          <w:rFonts w:eastAsia="Times New Roman" w:cs="Times New Roman"/>
          <w:sz w:val="22"/>
          <w:lang w:eastAsia="cs-CZ"/>
        </w:rPr>
        <w:t>životné prostredie vo veľkostných kategóriách A </w:t>
      </w:r>
      <w:proofErr w:type="spellStart"/>
      <w:r w:rsidRPr="00841DC0">
        <w:rPr>
          <w:rFonts w:eastAsia="Times New Roman" w:cs="Times New Roman"/>
          <w:sz w:val="22"/>
          <w:lang w:eastAsia="cs-CZ"/>
        </w:rPr>
        <w:t>a</w:t>
      </w:r>
      <w:proofErr w:type="spellEnd"/>
      <w:r w:rsidRPr="00841DC0">
        <w:rPr>
          <w:rFonts w:eastAsia="Times New Roman" w:cs="Times New Roman"/>
          <w:sz w:val="22"/>
          <w:lang w:eastAsia="cs-CZ"/>
        </w:rPr>
        <w:t xml:space="preserve"> B sa pohybuje v rozmedzí 21,5% - 32 %, kým v kategórii C v rozmedzí 36% - 53,7%. Uspokojivý stav je len v obciach nad 5000 obyvateľov: 67,6% - 91,3%. Presun kompetencie na OÚŽP sa však z dôvodu nedostatočných kapacít zamestnancov nenavrhuje. </w:t>
      </w:r>
    </w:p>
    <w:p w:rsidR="00841DC0" w:rsidRPr="00841DC0" w:rsidRDefault="00841DC0" w:rsidP="00841DC0">
      <w:pPr>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 xml:space="preserve">Nadväzujúc na uvedené skutočnosti a nedostatky v menších obciach, </w:t>
      </w:r>
      <w:r w:rsidRPr="00841DC0">
        <w:rPr>
          <w:rFonts w:cs="Times New Roman"/>
          <w:sz w:val="22"/>
        </w:rPr>
        <w:t>ministerstvo životného prostredia</w:t>
      </w:r>
      <w:r w:rsidRPr="00841DC0">
        <w:rPr>
          <w:rFonts w:cs="Times New Roman"/>
          <w:b/>
          <w:sz w:val="22"/>
        </w:rPr>
        <w:t xml:space="preserve"> </w:t>
      </w:r>
      <w:r w:rsidRPr="00841DC0">
        <w:rPr>
          <w:rFonts w:eastAsia="Times New Roman" w:cs="Times New Roman"/>
          <w:sz w:val="22"/>
          <w:lang w:eastAsia="cs-CZ"/>
        </w:rPr>
        <w:t>navrhuje zriadenie spoločných obecných úradov pre obce s veľkosťou do 5000 obyvateľov.</w:t>
      </w:r>
    </w:p>
    <w:p w:rsidR="00841DC0" w:rsidRPr="00841DC0" w:rsidRDefault="00841DC0" w:rsidP="00841DC0">
      <w:pPr>
        <w:tabs>
          <w:tab w:val="left" w:pos="1276"/>
        </w:tabs>
        <w:spacing w:before="120" w:after="120" w:line="240" w:lineRule="auto"/>
        <w:ind w:firstLine="709"/>
        <w:jc w:val="both"/>
        <w:rPr>
          <w:rFonts w:eastAsia="Times New Roman" w:cs="Times New Roman"/>
          <w:sz w:val="22"/>
          <w:lang w:eastAsia="cs-CZ"/>
        </w:rPr>
      </w:pPr>
      <w:r w:rsidRPr="00841DC0">
        <w:rPr>
          <w:rFonts w:eastAsia="Times New Roman" w:cs="Times New Roman"/>
          <w:sz w:val="22"/>
          <w:u w:val="single"/>
          <w:lang w:eastAsia="cs-CZ"/>
        </w:rPr>
        <w:t>1.3.</w:t>
      </w:r>
      <w:r w:rsidRPr="00841DC0">
        <w:rPr>
          <w:rFonts w:eastAsia="Times New Roman" w:cs="Times New Roman"/>
          <w:sz w:val="22"/>
          <w:u w:val="single"/>
          <w:lang w:eastAsia="cs-CZ"/>
        </w:rPr>
        <w:tab/>
        <w:t>Zhodnotenie kvality výkonu prenesených pôsobností</w:t>
      </w:r>
    </w:p>
    <w:p w:rsidR="00841DC0" w:rsidRPr="00841DC0" w:rsidRDefault="00841DC0" w:rsidP="00841DC0">
      <w:pPr>
        <w:spacing w:after="0" w:line="240" w:lineRule="auto"/>
        <w:jc w:val="both"/>
        <w:rPr>
          <w:rFonts w:cs="Times New Roman"/>
          <w:sz w:val="22"/>
          <w:u w:val="single"/>
        </w:rPr>
      </w:pPr>
      <w:r w:rsidRPr="00841DC0">
        <w:rPr>
          <w:rFonts w:cs="Times New Roman"/>
          <w:sz w:val="22"/>
        </w:rPr>
        <w:tab/>
      </w:r>
      <w:r w:rsidRPr="00841DC0">
        <w:rPr>
          <w:rFonts w:eastAsia="Times New Roman" w:cs="Times New Roman"/>
          <w:sz w:val="22"/>
          <w:lang w:eastAsia="cs-CZ"/>
        </w:rPr>
        <w:t xml:space="preserve">Ministerstvo životného prostredia všeobecne hodnotí kvalitu výkonu prenesených pôsobností ako nedostatočnú. Zhodnotenie vyplýva jednak z nepostačujúcich údajov a informácií získaných počas uskutočnenia auditu a jednak aj z podkladov, ktoré ministerstvo životného prostredia k dispozícii malo a ktoré zhodnotili kvalitu výkonu prenesených pôsobností ako neadekvátnu.  </w:t>
      </w:r>
    </w:p>
    <w:p w:rsidR="00841DC0" w:rsidRPr="00841DC0" w:rsidRDefault="00841DC0" w:rsidP="00841DC0">
      <w:pPr>
        <w:spacing w:before="120" w:after="0" w:line="240" w:lineRule="auto"/>
        <w:ind w:firstLine="709"/>
        <w:jc w:val="both"/>
        <w:rPr>
          <w:rFonts w:cs="Times New Roman"/>
          <w:sz w:val="22"/>
          <w:u w:val="single"/>
        </w:rPr>
      </w:pPr>
      <w:r w:rsidRPr="00841DC0">
        <w:rPr>
          <w:rFonts w:eastAsia="Times New Roman" w:cs="Times New Roman"/>
          <w:sz w:val="22"/>
          <w:lang w:eastAsia="cs-CZ"/>
        </w:rPr>
        <w:t>S dôrazom na veľkosť obce možno konštatovať, že najväčšie prekážky pre kvalitný výkon prenesených pôsobností sú v obciach do 1000 obyvateľov. Tieto obce nie sú dostatočne personálne, odborne a materiálne spôsobilé na výkon pôsobností na všetkých úsekoch štátnej správy, na ktorých vykonávajú činnosti podľa osobitných predpisov. Obce do 5000 obyvateľov vyk</w:t>
      </w:r>
      <w:r w:rsidR="00091DAA">
        <w:rPr>
          <w:rFonts w:eastAsia="Times New Roman" w:cs="Times New Roman"/>
          <w:sz w:val="22"/>
          <w:lang w:eastAsia="cs-CZ"/>
        </w:rPr>
        <w:t>a</w:t>
      </w:r>
      <w:r w:rsidRPr="00841DC0">
        <w:rPr>
          <w:rFonts w:eastAsia="Times New Roman" w:cs="Times New Roman"/>
          <w:sz w:val="22"/>
          <w:lang w:eastAsia="cs-CZ"/>
        </w:rPr>
        <w:t>z</w:t>
      </w:r>
      <w:r w:rsidR="00091DAA">
        <w:rPr>
          <w:rFonts w:eastAsia="Times New Roman" w:cs="Times New Roman"/>
          <w:sz w:val="22"/>
          <w:lang w:eastAsia="cs-CZ"/>
        </w:rPr>
        <w:t>u</w:t>
      </w:r>
      <w:r w:rsidRPr="00841DC0">
        <w:rPr>
          <w:rFonts w:eastAsia="Times New Roman" w:cs="Times New Roman"/>
          <w:sz w:val="22"/>
          <w:lang w:eastAsia="cs-CZ"/>
        </w:rPr>
        <w:t xml:space="preserve">jú lepšiu, avšak stále neuspokojivú kvalitu výkonu prenesených pôsobností. Uspokojivú úroveň kvality výkonu daných pôsobností možno konštatovať iba v prípade obcí nad 5000 obyvateľov. Táto skutočnosť platí pre všetky prenesené pôsobnosti. </w:t>
      </w:r>
    </w:p>
    <w:p w:rsidR="00841DC0" w:rsidRPr="00841DC0" w:rsidRDefault="00841DC0" w:rsidP="00841DC0">
      <w:pPr>
        <w:keepNext/>
        <w:spacing w:before="120" w:after="0" w:line="240" w:lineRule="auto"/>
        <w:ind w:firstLine="709"/>
        <w:jc w:val="both"/>
        <w:rPr>
          <w:rFonts w:cs="Times New Roman"/>
          <w:sz w:val="22"/>
          <w:u w:val="single"/>
        </w:rPr>
      </w:pPr>
      <w:r w:rsidRPr="00841DC0">
        <w:rPr>
          <w:rFonts w:eastAsia="Times New Roman" w:cs="Times New Roman"/>
          <w:sz w:val="22"/>
          <w:lang w:eastAsia="cs-CZ"/>
        </w:rPr>
        <w:t>Bez ohľadu na veľkosť obce možno konštatovať, že existujú výrazné nedostatky procesného i</w:t>
      </w:r>
      <w:r w:rsidR="00091DAA">
        <w:rPr>
          <w:rFonts w:eastAsia="Times New Roman" w:cs="Times New Roman"/>
          <w:sz w:val="22"/>
          <w:lang w:eastAsia="cs-CZ"/>
        </w:rPr>
        <w:t> </w:t>
      </w:r>
      <w:r w:rsidRPr="00841DC0">
        <w:rPr>
          <w:rFonts w:eastAsia="Times New Roman" w:cs="Times New Roman"/>
          <w:sz w:val="22"/>
          <w:lang w:eastAsia="cs-CZ"/>
        </w:rPr>
        <w:t>hmotného charakteru v správnych konaniach. Medzi tieto nedostatky patria najmä:</w:t>
      </w:r>
    </w:p>
    <w:p w:rsidR="00841DC0" w:rsidRPr="00841DC0" w:rsidRDefault="00841DC0" w:rsidP="00841DC0">
      <w:pPr>
        <w:numPr>
          <w:ilvl w:val="0"/>
          <w:numId w:val="5"/>
        </w:numPr>
        <w:spacing w:before="60" w:after="0" w:line="240" w:lineRule="auto"/>
        <w:ind w:left="850" w:hanging="357"/>
        <w:contextualSpacing/>
        <w:jc w:val="both"/>
        <w:rPr>
          <w:rFonts w:eastAsia="Times New Roman" w:cs="Times New Roman"/>
          <w:sz w:val="22"/>
          <w:lang w:eastAsia="cs-CZ"/>
        </w:rPr>
      </w:pPr>
      <w:r w:rsidRPr="00841DC0">
        <w:rPr>
          <w:rFonts w:eastAsia="Times New Roman" w:cs="Times New Roman"/>
          <w:sz w:val="22"/>
          <w:lang w:eastAsia="cs-CZ"/>
        </w:rPr>
        <w:t xml:space="preserve">zmätočné rozhodnutia obcí, </w:t>
      </w:r>
    </w:p>
    <w:p w:rsidR="00841DC0" w:rsidRPr="00841DC0" w:rsidRDefault="00841DC0" w:rsidP="00841DC0">
      <w:pPr>
        <w:numPr>
          <w:ilvl w:val="0"/>
          <w:numId w:val="5"/>
        </w:numPr>
        <w:spacing w:after="0" w:line="240" w:lineRule="auto"/>
        <w:ind w:left="851"/>
        <w:contextualSpacing/>
        <w:jc w:val="both"/>
        <w:rPr>
          <w:rFonts w:eastAsia="Times New Roman" w:cs="Times New Roman"/>
          <w:sz w:val="22"/>
          <w:lang w:eastAsia="cs-CZ"/>
        </w:rPr>
      </w:pPr>
      <w:r w:rsidRPr="00841DC0">
        <w:rPr>
          <w:rFonts w:eastAsia="Times New Roman" w:cs="Times New Roman"/>
          <w:sz w:val="22"/>
          <w:lang w:eastAsia="cs-CZ"/>
        </w:rPr>
        <w:t xml:space="preserve">nečinnosť obcí, </w:t>
      </w:r>
    </w:p>
    <w:p w:rsidR="00841DC0" w:rsidRPr="00841DC0" w:rsidRDefault="00841DC0" w:rsidP="00841DC0">
      <w:pPr>
        <w:numPr>
          <w:ilvl w:val="0"/>
          <w:numId w:val="5"/>
        </w:numPr>
        <w:spacing w:after="0" w:line="240" w:lineRule="auto"/>
        <w:ind w:left="851"/>
        <w:contextualSpacing/>
        <w:jc w:val="both"/>
        <w:rPr>
          <w:rFonts w:eastAsia="Times New Roman" w:cs="Times New Roman"/>
          <w:sz w:val="22"/>
          <w:lang w:eastAsia="cs-CZ"/>
        </w:rPr>
      </w:pPr>
      <w:r w:rsidRPr="00841DC0">
        <w:rPr>
          <w:rFonts w:eastAsia="Times New Roman" w:cs="Times New Roman"/>
          <w:sz w:val="22"/>
          <w:lang w:eastAsia="cs-CZ"/>
        </w:rPr>
        <w:t xml:space="preserve">procesné pochybenia, </w:t>
      </w:r>
    </w:p>
    <w:p w:rsidR="00841DC0" w:rsidRPr="00841DC0" w:rsidRDefault="00841DC0" w:rsidP="00841DC0">
      <w:pPr>
        <w:numPr>
          <w:ilvl w:val="0"/>
          <w:numId w:val="5"/>
        </w:numPr>
        <w:spacing w:after="0" w:line="240" w:lineRule="auto"/>
        <w:ind w:left="851"/>
        <w:contextualSpacing/>
        <w:jc w:val="both"/>
        <w:rPr>
          <w:rFonts w:eastAsia="Times New Roman" w:cs="Times New Roman"/>
          <w:sz w:val="22"/>
          <w:lang w:eastAsia="cs-CZ"/>
        </w:rPr>
      </w:pPr>
      <w:r w:rsidRPr="00841DC0">
        <w:rPr>
          <w:rFonts w:eastAsia="Times New Roman" w:cs="Times New Roman"/>
          <w:sz w:val="22"/>
          <w:lang w:eastAsia="cs-CZ"/>
        </w:rPr>
        <w:t xml:space="preserve">nesúlad vedenia procesu so zákonom, </w:t>
      </w:r>
    </w:p>
    <w:p w:rsidR="00841DC0" w:rsidRPr="00841DC0" w:rsidRDefault="00841DC0" w:rsidP="00841DC0">
      <w:pPr>
        <w:numPr>
          <w:ilvl w:val="0"/>
          <w:numId w:val="5"/>
        </w:numPr>
        <w:spacing w:after="0" w:line="240" w:lineRule="auto"/>
        <w:ind w:left="851"/>
        <w:contextualSpacing/>
        <w:jc w:val="both"/>
        <w:rPr>
          <w:rFonts w:eastAsia="Times New Roman" w:cs="Times New Roman"/>
          <w:sz w:val="22"/>
          <w:lang w:eastAsia="cs-CZ"/>
        </w:rPr>
      </w:pPr>
      <w:r w:rsidRPr="00841DC0">
        <w:rPr>
          <w:rFonts w:eastAsia="Times New Roman" w:cs="Times New Roman"/>
          <w:sz w:val="22"/>
          <w:lang w:eastAsia="cs-CZ"/>
        </w:rPr>
        <w:t xml:space="preserve">nedodržanie lehôt, </w:t>
      </w:r>
    </w:p>
    <w:p w:rsidR="00841DC0" w:rsidRPr="00841DC0" w:rsidRDefault="00841DC0" w:rsidP="00841DC0">
      <w:pPr>
        <w:numPr>
          <w:ilvl w:val="0"/>
          <w:numId w:val="5"/>
        </w:numPr>
        <w:spacing w:after="0" w:line="240" w:lineRule="auto"/>
        <w:ind w:left="851"/>
        <w:contextualSpacing/>
        <w:jc w:val="both"/>
        <w:rPr>
          <w:rFonts w:eastAsia="Times New Roman" w:cs="Times New Roman"/>
          <w:sz w:val="22"/>
          <w:lang w:eastAsia="cs-CZ"/>
        </w:rPr>
      </w:pPr>
      <w:r w:rsidRPr="00841DC0">
        <w:rPr>
          <w:rFonts w:eastAsia="Times New Roman" w:cs="Times New Roman"/>
          <w:sz w:val="22"/>
          <w:lang w:eastAsia="cs-CZ"/>
        </w:rPr>
        <w:t xml:space="preserve">nesprávne doručovanie, </w:t>
      </w:r>
    </w:p>
    <w:p w:rsidR="00841DC0" w:rsidRPr="00841DC0" w:rsidRDefault="00841DC0" w:rsidP="00841DC0">
      <w:pPr>
        <w:numPr>
          <w:ilvl w:val="0"/>
          <w:numId w:val="5"/>
        </w:numPr>
        <w:spacing w:after="0" w:line="240" w:lineRule="auto"/>
        <w:ind w:left="851"/>
        <w:contextualSpacing/>
        <w:jc w:val="both"/>
        <w:rPr>
          <w:rFonts w:eastAsia="Times New Roman" w:cs="Times New Roman"/>
          <w:sz w:val="22"/>
          <w:lang w:eastAsia="cs-CZ"/>
        </w:rPr>
      </w:pPr>
      <w:r w:rsidRPr="00841DC0">
        <w:rPr>
          <w:rFonts w:eastAsia="Times New Roman" w:cs="Times New Roman"/>
          <w:sz w:val="22"/>
          <w:lang w:eastAsia="cs-CZ"/>
        </w:rPr>
        <w:t>neoboznámenie účastníkov konania o začatí, atď.</w:t>
      </w:r>
    </w:p>
    <w:p w:rsidR="00841DC0" w:rsidRPr="00841DC0" w:rsidRDefault="00841DC0" w:rsidP="00841DC0">
      <w:pPr>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Celkovo</w:t>
      </w:r>
      <w:r w:rsidRPr="00841DC0">
        <w:rPr>
          <w:rFonts w:eastAsia="Times New Roman" w:cs="Times New Roman"/>
          <w:i/>
          <w:sz w:val="22"/>
          <w:lang w:eastAsia="cs-CZ"/>
        </w:rPr>
        <w:t xml:space="preserve"> </w:t>
      </w:r>
      <w:r w:rsidRPr="00841DC0">
        <w:rPr>
          <w:rFonts w:eastAsia="Times New Roman" w:cs="Times New Roman"/>
          <w:sz w:val="22"/>
          <w:lang w:eastAsia="cs-CZ"/>
        </w:rPr>
        <w:t xml:space="preserve">možno konštatovať, že obce vykonávajú štátnu správu väčšinou len na úseku ochrany prírody, ochrany pred povodňami a na úseku ochrany ovzdušia (najmä mestá) a výnimočne na úseku vodnej správy. Úlohy v rámci prenesených pôsobností v oblasti životného prostredia zabezpečujú pracovníci, ktorí majú kumulované rôzne funkcie, spolu vôbec nesúvisiace, čo je na úkor kvality práce. </w:t>
      </w:r>
    </w:p>
    <w:p w:rsidR="00841DC0" w:rsidRPr="00841DC0" w:rsidRDefault="00841DC0" w:rsidP="00841DC0">
      <w:pPr>
        <w:spacing w:before="120" w:after="0" w:line="240" w:lineRule="auto"/>
        <w:ind w:firstLine="709"/>
        <w:jc w:val="both"/>
        <w:rPr>
          <w:rFonts w:eastAsia="Times New Roman" w:cs="Times New Roman"/>
          <w:sz w:val="22"/>
          <w:lang w:eastAsia="cs-CZ"/>
        </w:rPr>
      </w:pPr>
      <w:r w:rsidRPr="00841DC0">
        <w:rPr>
          <w:rFonts w:eastAsia="Times New Roman" w:cs="Times New Roman"/>
          <w:sz w:val="22"/>
          <w:lang w:eastAsia="cs-CZ"/>
        </w:rPr>
        <w:t>Na základe uvedeného možno skonštatovať, že úroveň zabezpečovania prenesených pôsobností územnou samosprávou na úseku tvorby a ochrany životného prostredia je nedostatočná, avšak zodpovedajúca personálnym a finančným možnostiam jednotlivých obcí. Predpokladané zámery pri prechode pôsobností z orgánov štátnej správy na obce sa nenaplnili ani v očakávanom rozsahu, ani v očakávanej kvalite. Základným problémom je aj skutočnosť, že obce nedisponujú žiadnou jednotnou metodikou na pravidelné spracovanie údajov o svojej činnosti.</w:t>
      </w:r>
    </w:p>
    <w:p w:rsidR="00841DC0" w:rsidRPr="00841DC0" w:rsidRDefault="00841DC0" w:rsidP="00841DC0">
      <w:pPr>
        <w:keepNext/>
        <w:tabs>
          <w:tab w:val="left" w:pos="1276"/>
        </w:tabs>
        <w:spacing w:before="120" w:after="12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1.4.</w:t>
      </w:r>
      <w:r w:rsidRPr="00841DC0">
        <w:rPr>
          <w:rFonts w:eastAsia="Times New Roman" w:cs="Times New Roman"/>
          <w:sz w:val="22"/>
          <w:u w:val="single"/>
          <w:lang w:eastAsia="cs-CZ"/>
        </w:rPr>
        <w:tab/>
        <w:t>Financovanie výkonu prenesených pôsobností</w:t>
      </w:r>
    </w:p>
    <w:p w:rsidR="000736CD" w:rsidRPr="000736CD" w:rsidRDefault="000736CD" w:rsidP="000736CD">
      <w:pPr>
        <w:spacing w:before="120" w:after="0" w:line="240" w:lineRule="auto"/>
        <w:ind w:firstLine="709"/>
        <w:jc w:val="both"/>
        <w:rPr>
          <w:rFonts w:eastAsia="Times New Roman" w:cs="Times New Roman"/>
          <w:sz w:val="22"/>
          <w:lang w:eastAsia="cs-CZ"/>
        </w:rPr>
      </w:pPr>
      <w:r w:rsidRPr="000736CD">
        <w:rPr>
          <w:rFonts w:eastAsia="Times New Roman" w:cs="Times New Roman"/>
          <w:lang w:eastAsia="cs-CZ"/>
        </w:rPr>
        <w:t>V</w:t>
      </w:r>
      <w:r w:rsidRPr="000736CD">
        <w:rPr>
          <w:rFonts w:eastAsia="Times New Roman" w:cs="Times New Roman"/>
          <w:sz w:val="22"/>
          <w:lang w:eastAsia="cs-CZ"/>
        </w:rPr>
        <w:t>zhľadom na skutočnosť, že údaje za rok 2001 nie sú k dispozícií a z údajov ministerstva životného prostredia nebolo možné získať záznam o dotácii pre obce za rok 2005, ministerstvo životného prostredia ako referenčný rok zvolilo rok 2006.</w:t>
      </w:r>
    </w:p>
    <w:p w:rsidR="000736CD" w:rsidRPr="000736CD" w:rsidRDefault="000736CD" w:rsidP="000736CD">
      <w:pPr>
        <w:spacing w:before="120" w:after="0" w:line="240" w:lineRule="auto"/>
        <w:ind w:firstLine="709"/>
        <w:jc w:val="both"/>
        <w:rPr>
          <w:rFonts w:eastAsia="Times New Roman" w:cs="Times New Roman"/>
          <w:sz w:val="22"/>
          <w:lang w:eastAsia="cs-CZ"/>
        </w:rPr>
      </w:pPr>
      <w:r w:rsidRPr="000736CD">
        <w:rPr>
          <w:rFonts w:eastAsia="Times New Roman" w:cs="Times New Roman"/>
          <w:sz w:val="22"/>
          <w:lang w:eastAsia="cs-CZ"/>
        </w:rPr>
        <w:lastRenderedPageBreak/>
        <w:t>Suma dotácie na jedného obyvateľa obce bola za rok 2006 stanovená vo výške 0,12314 eur. V roku 2011 sa suma dotácie upravila na 0,11402 eur. Táto suma pozostáva zo štyroch zložiek, a to zo sumy dotácie na 1 obyvateľa na úseku:</w:t>
      </w:r>
    </w:p>
    <w:p w:rsidR="000736CD" w:rsidRPr="000736CD" w:rsidRDefault="000736CD" w:rsidP="000736CD">
      <w:pPr>
        <w:pStyle w:val="Odsekzoznamu"/>
        <w:numPr>
          <w:ilvl w:val="0"/>
          <w:numId w:val="8"/>
        </w:numPr>
        <w:spacing w:before="120" w:after="0" w:line="240" w:lineRule="auto"/>
        <w:ind w:left="1134" w:hanging="425"/>
        <w:jc w:val="both"/>
        <w:rPr>
          <w:rFonts w:ascii="Times New Roman" w:eastAsia="Times New Roman" w:hAnsi="Times New Roman" w:cs="Times New Roman"/>
          <w:lang w:eastAsia="cs-CZ"/>
        </w:rPr>
      </w:pPr>
      <w:r w:rsidRPr="000736CD">
        <w:rPr>
          <w:rFonts w:ascii="Times New Roman" w:eastAsia="Times New Roman" w:hAnsi="Times New Roman" w:cs="Times New Roman"/>
          <w:lang w:eastAsia="cs-CZ"/>
        </w:rPr>
        <w:t>ochrany prírody a krajiny,</w:t>
      </w:r>
    </w:p>
    <w:p w:rsidR="000736CD" w:rsidRPr="000736CD" w:rsidRDefault="000736CD" w:rsidP="000736CD">
      <w:pPr>
        <w:pStyle w:val="Odsekzoznamu"/>
        <w:numPr>
          <w:ilvl w:val="0"/>
          <w:numId w:val="8"/>
        </w:numPr>
        <w:spacing w:before="120" w:after="0" w:line="240" w:lineRule="auto"/>
        <w:ind w:left="1134" w:hanging="425"/>
        <w:jc w:val="both"/>
        <w:rPr>
          <w:rFonts w:ascii="Times New Roman" w:eastAsia="Times New Roman" w:hAnsi="Times New Roman" w:cs="Times New Roman"/>
          <w:lang w:eastAsia="cs-CZ"/>
        </w:rPr>
      </w:pPr>
      <w:r w:rsidRPr="000736CD">
        <w:rPr>
          <w:rFonts w:ascii="Times New Roman" w:eastAsia="Times New Roman" w:hAnsi="Times New Roman" w:cs="Times New Roman"/>
          <w:lang w:eastAsia="cs-CZ"/>
        </w:rPr>
        <w:t>štátnej vodnej správy,</w:t>
      </w:r>
    </w:p>
    <w:p w:rsidR="000736CD" w:rsidRPr="000736CD" w:rsidRDefault="000736CD" w:rsidP="000736CD">
      <w:pPr>
        <w:pStyle w:val="Odsekzoznamu"/>
        <w:numPr>
          <w:ilvl w:val="0"/>
          <w:numId w:val="8"/>
        </w:numPr>
        <w:spacing w:before="120" w:after="0" w:line="240" w:lineRule="auto"/>
        <w:ind w:left="1134" w:hanging="425"/>
        <w:jc w:val="both"/>
        <w:rPr>
          <w:rFonts w:ascii="Times New Roman" w:eastAsia="Times New Roman" w:hAnsi="Times New Roman" w:cs="Times New Roman"/>
          <w:lang w:eastAsia="cs-CZ"/>
        </w:rPr>
      </w:pPr>
      <w:r w:rsidRPr="000736CD">
        <w:rPr>
          <w:rFonts w:ascii="Times New Roman" w:eastAsia="Times New Roman" w:hAnsi="Times New Roman" w:cs="Times New Roman"/>
          <w:lang w:eastAsia="cs-CZ"/>
        </w:rPr>
        <w:t>ochrany pred povodňami a</w:t>
      </w:r>
    </w:p>
    <w:p w:rsidR="000736CD" w:rsidRPr="000736CD" w:rsidRDefault="000736CD" w:rsidP="000736CD">
      <w:pPr>
        <w:pStyle w:val="Odsekzoznamu"/>
        <w:numPr>
          <w:ilvl w:val="0"/>
          <w:numId w:val="8"/>
        </w:numPr>
        <w:spacing w:before="120" w:after="0" w:line="240" w:lineRule="auto"/>
        <w:ind w:left="1134" w:hanging="425"/>
        <w:jc w:val="both"/>
        <w:rPr>
          <w:rFonts w:ascii="Times New Roman" w:eastAsia="Times New Roman" w:hAnsi="Times New Roman" w:cs="Times New Roman"/>
          <w:lang w:eastAsia="cs-CZ"/>
        </w:rPr>
      </w:pPr>
      <w:r w:rsidRPr="000736CD">
        <w:rPr>
          <w:rFonts w:ascii="Times New Roman" w:eastAsia="Times New Roman" w:hAnsi="Times New Roman" w:cs="Times New Roman"/>
          <w:lang w:eastAsia="cs-CZ"/>
        </w:rPr>
        <w:t xml:space="preserve">ochrany ovzdušia. </w:t>
      </w:r>
    </w:p>
    <w:p w:rsidR="000736CD" w:rsidRPr="000736CD" w:rsidRDefault="000736CD" w:rsidP="000736CD">
      <w:pPr>
        <w:spacing w:before="120" w:after="0" w:line="240" w:lineRule="auto"/>
        <w:ind w:firstLine="709"/>
        <w:jc w:val="both"/>
        <w:rPr>
          <w:rFonts w:eastAsia="Times New Roman" w:cs="Times New Roman"/>
          <w:sz w:val="22"/>
          <w:lang w:eastAsia="cs-CZ"/>
        </w:rPr>
      </w:pPr>
      <w:r w:rsidRPr="000736CD">
        <w:rPr>
          <w:rFonts w:eastAsia="Times New Roman" w:cs="Times New Roman"/>
          <w:sz w:val="22"/>
          <w:lang w:eastAsia="cs-CZ"/>
        </w:rPr>
        <w:t>Podiel z dotácie na jedného obyvateľa predstavoval v oboch referenčných rokoch pri ochrane prírody a krajiny 18%, štátnej vodnej správy 32 %, ochrane pred povodňami 27%, ochrane ovzdušia 23 %.</w:t>
      </w:r>
    </w:p>
    <w:p w:rsidR="000736CD" w:rsidRDefault="000736CD" w:rsidP="000736CD">
      <w:pPr>
        <w:spacing w:before="120" w:after="0" w:line="240" w:lineRule="auto"/>
        <w:ind w:firstLine="709"/>
        <w:jc w:val="both"/>
        <w:rPr>
          <w:rFonts w:eastAsia="Times New Roman" w:cs="Times New Roman"/>
          <w:sz w:val="22"/>
          <w:lang w:eastAsia="cs-CZ"/>
        </w:rPr>
      </w:pPr>
      <w:r w:rsidRPr="000736CD">
        <w:rPr>
          <w:rFonts w:eastAsia="Times New Roman" w:cs="Times New Roman"/>
          <w:sz w:val="22"/>
          <w:lang w:eastAsia="cs-CZ"/>
        </w:rPr>
        <w:t>Na prvý pohľad je vidieť že dotácie zo štátneho rozpočtu v roku 2011 klesli. Pri porovnávaní finančných prostriedkov v čase je zároveň potrebné brať do úvahy vplyv inflácie. V cenách roku 2006 dotácia na rok 2011 predstavuje 539 552 eur. V percentuálnom vyjadrení ide o zníženie dotácie o 18,7</w:t>
      </w:r>
      <w:r w:rsidR="00091DAA">
        <w:rPr>
          <w:rFonts w:eastAsia="Times New Roman" w:cs="Times New Roman"/>
          <w:sz w:val="22"/>
          <w:lang w:eastAsia="cs-CZ"/>
        </w:rPr>
        <w:t> </w:t>
      </w:r>
      <w:r w:rsidRPr="000736CD">
        <w:rPr>
          <w:rFonts w:eastAsia="Times New Roman" w:cs="Times New Roman"/>
          <w:sz w:val="22"/>
          <w:lang w:eastAsia="cs-CZ"/>
        </w:rPr>
        <w:t>%. Uvedené možno zhodnotiť tak, že výdavky štátneho rozpočtu na výkon štátnej správy starostlivosti o životné prostredie klesali.</w:t>
      </w:r>
    </w:p>
    <w:p w:rsidR="00DF7627" w:rsidRPr="00022C35" w:rsidRDefault="00DF7627" w:rsidP="00DF7627">
      <w:pPr>
        <w:spacing w:before="120" w:after="0" w:line="240" w:lineRule="auto"/>
        <w:ind w:firstLine="709"/>
        <w:jc w:val="both"/>
        <w:rPr>
          <w:rFonts w:eastAsia="Times New Roman" w:cs="Times New Roman"/>
          <w:sz w:val="22"/>
          <w:lang w:eastAsia="cs-CZ"/>
        </w:rPr>
      </w:pPr>
      <w:r w:rsidRPr="00022C35">
        <w:rPr>
          <w:rFonts w:eastAsia="Times New Roman" w:cs="Times New Roman"/>
          <w:sz w:val="22"/>
          <w:lang w:eastAsia="cs-CZ"/>
        </w:rPr>
        <w:t>Ministerstvo životného prostredia vykonalo aj prepočet celkových nákladov obce na jedno rozhodnutie z poskytnutej dotácie. V roku 2011 výdavky na jedno rozhodnutie z pridelenej dot</w:t>
      </w:r>
      <w:r w:rsidR="00E901F1">
        <w:rPr>
          <w:rFonts w:eastAsia="Times New Roman" w:cs="Times New Roman"/>
          <w:sz w:val="22"/>
          <w:lang w:eastAsia="cs-CZ"/>
        </w:rPr>
        <w:t>ácie predstavovali čiastku 23,3</w:t>
      </w:r>
      <w:r w:rsidRPr="00022C35">
        <w:rPr>
          <w:rFonts w:eastAsia="Times New Roman" w:cs="Times New Roman"/>
          <w:sz w:val="22"/>
          <w:lang w:eastAsia="cs-CZ"/>
        </w:rPr>
        <w:t xml:space="preserve"> </w:t>
      </w:r>
      <w:r w:rsidR="00E901F1">
        <w:rPr>
          <w:rFonts w:eastAsia="Times New Roman" w:cs="Times New Roman"/>
          <w:sz w:val="22"/>
          <w:lang w:eastAsia="cs-CZ"/>
        </w:rPr>
        <w:t>eur</w:t>
      </w:r>
      <w:r w:rsidRPr="00022C35">
        <w:rPr>
          <w:rFonts w:eastAsia="Times New Roman" w:cs="Times New Roman"/>
          <w:sz w:val="22"/>
          <w:lang w:eastAsia="cs-CZ"/>
        </w:rPr>
        <w:t xml:space="preserve">. Najnižšie výdavky uvádzali u obcí v kategórii A, najvyššie </w:t>
      </w:r>
      <w:r>
        <w:rPr>
          <w:rFonts w:eastAsia="Times New Roman" w:cs="Times New Roman"/>
          <w:sz w:val="22"/>
          <w:lang w:eastAsia="cs-CZ"/>
        </w:rPr>
        <w:t xml:space="preserve">    </w:t>
      </w:r>
      <w:r w:rsidRPr="00022C35">
        <w:rPr>
          <w:rFonts w:eastAsia="Times New Roman" w:cs="Times New Roman"/>
          <w:sz w:val="22"/>
          <w:lang w:eastAsia="cs-CZ"/>
        </w:rPr>
        <w:t>v kategórií C.</w:t>
      </w:r>
    </w:p>
    <w:p w:rsidR="00DF7627" w:rsidRPr="00022C35" w:rsidRDefault="00DF7627" w:rsidP="00DF7627">
      <w:pPr>
        <w:spacing w:before="120" w:after="0" w:line="240" w:lineRule="auto"/>
        <w:ind w:firstLine="709"/>
        <w:jc w:val="both"/>
        <w:rPr>
          <w:rFonts w:eastAsia="Times New Roman" w:cs="Times New Roman"/>
          <w:sz w:val="22"/>
          <w:lang w:eastAsia="cs-CZ"/>
        </w:rPr>
      </w:pPr>
      <w:r w:rsidRPr="00022C35">
        <w:rPr>
          <w:rFonts w:eastAsia="Times New Roman" w:cs="Times New Roman"/>
          <w:sz w:val="22"/>
          <w:lang w:eastAsia="cs-CZ"/>
        </w:rPr>
        <w:t xml:space="preserve">Ministerstvo životného prostredia poukázalo na klesajúcu tendenciu poskytovanej dotácie najmä po roku 2009, čo súvisí s každoročným znižovaním limitu výdavkov kapitoly ministerstva.    </w:t>
      </w:r>
    </w:p>
    <w:p w:rsidR="00841DC0" w:rsidRPr="00841DC0" w:rsidRDefault="00841DC0" w:rsidP="00841DC0">
      <w:pPr>
        <w:keepNext/>
        <w:tabs>
          <w:tab w:val="left" w:pos="1276"/>
        </w:tabs>
        <w:spacing w:before="120" w:after="12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1.5.</w:t>
      </w:r>
      <w:r w:rsidRPr="00841DC0">
        <w:rPr>
          <w:rFonts w:eastAsia="Times New Roman" w:cs="Times New Roman"/>
          <w:sz w:val="22"/>
          <w:u w:val="single"/>
          <w:lang w:eastAsia="cs-CZ"/>
        </w:rPr>
        <w:tab/>
        <w:t>Návrhy opatrení</w:t>
      </w:r>
    </w:p>
    <w:p w:rsidR="00841DC0" w:rsidRPr="00841DC0" w:rsidRDefault="00841DC0" w:rsidP="00510A26">
      <w:pPr>
        <w:spacing w:line="240" w:lineRule="auto"/>
        <w:jc w:val="both"/>
        <w:rPr>
          <w:rFonts w:cs="Times New Roman"/>
          <w:sz w:val="22"/>
        </w:rPr>
      </w:pPr>
      <w:r w:rsidRPr="00841DC0">
        <w:rPr>
          <w:rFonts w:cs="Times New Roman"/>
          <w:sz w:val="22"/>
        </w:rPr>
        <w:tab/>
        <w:t xml:space="preserve">Ministerstvo životného prostredia v prípade prenesených pôsobností na úsekoch starostlivosti o životné prostredia navrhuje v prvom rade zaviesť povinnosť osobitného kvalifikačného predpokladu zamestnancov a zabezpečiť pravidelné vzdelávanie za účelom zlepšiť kvalitu výkonu úloh na jednotlivých úsekoch. V rámci vykonania auditu ministerstvo životného prostredia zistilo, že kvalita výkonu činností na úsekoch starostlivosti o životné prostredie v menších obciach (t.j. v kategóriách A, B a v menšej miere aj v C) je neuspokojivá, preto navrhuje v  týchto obciach vybudovať sieť spoločných obecných úradov. Taktiež navrhuje v prípade niektorých úloh na úseku ochrany prírody a krajiny a na úseku ochrany pred povodňami vrátiť prenesenú pôsobnosť na obvodné úrady životného prostredia. Ďalej, ministerstvo životného prostredia navrhuje zaviesť pravidelný jednotný monitoring a zber údajov. V neposlednom rade navrhuje vytvorenie internetového portálu za účelom poskytovania informácií v danej oblasti pre zamestnancov v oblasti starostlivosti o životné prostredie, ako aj verejnosti. </w:t>
      </w:r>
    </w:p>
    <w:p w:rsidR="00841DC0" w:rsidRPr="00841DC0" w:rsidRDefault="00841DC0" w:rsidP="00841DC0">
      <w:pPr>
        <w:keepNext/>
        <w:tabs>
          <w:tab w:val="left" w:pos="1276"/>
          <w:tab w:val="left" w:pos="1418"/>
        </w:tabs>
        <w:spacing w:before="120" w:after="120" w:line="240" w:lineRule="auto"/>
        <w:ind w:firstLine="709"/>
        <w:jc w:val="both"/>
        <w:rPr>
          <w:rFonts w:eastAsia="Times New Roman" w:cs="Times New Roman"/>
          <w:sz w:val="22"/>
          <w:u w:val="single"/>
          <w:lang w:eastAsia="cs-CZ"/>
        </w:rPr>
      </w:pPr>
      <w:r w:rsidRPr="00841DC0">
        <w:rPr>
          <w:rFonts w:eastAsia="Times New Roman" w:cs="Times New Roman"/>
          <w:sz w:val="22"/>
          <w:u w:val="single"/>
          <w:lang w:eastAsia="cs-CZ"/>
        </w:rPr>
        <w:t>Kritické stanovisko</w:t>
      </w:r>
    </w:p>
    <w:p w:rsidR="00841DC0" w:rsidRPr="00841DC0" w:rsidRDefault="00841DC0" w:rsidP="00841DC0">
      <w:pPr>
        <w:spacing w:before="120" w:after="0" w:line="240" w:lineRule="auto"/>
        <w:jc w:val="both"/>
        <w:rPr>
          <w:rFonts w:eastAsia="Times New Roman" w:cs="Times New Roman"/>
          <w:sz w:val="22"/>
          <w:lang w:eastAsia="cs-CZ"/>
        </w:rPr>
      </w:pPr>
      <w:r w:rsidRPr="00841DC0">
        <w:rPr>
          <w:rFonts w:eastAsia="Times New Roman" w:cs="Times New Roman"/>
          <w:sz w:val="22"/>
          <w:lang w:eastAsia="cs-CZ"/>
        </w:rPr>
        <w:tab/>
        <w:t>Správu spolu s tabuľkami ministerstva životného prostredia možno hodnotiť ako kvalitnú. Pri vypracovaní správy postupovali podľa jednotnej metodiky a dodržali jej štruktúru. Tabuľky sú vyplnené úplne.</w:t>
      </w:r>
    </w:p>
    <w:p w:rsidR="00841DC0" w:rsidRPr="00841DC0" w:rsidRDefault="00841DC0" w:rsidP="00841DC0">
      <w:pPr>
        <w:spacing w:before="120" w:after="0" w:line="240" w:lineRule="auto"/>
        <w:jc w:val="both"/>
        <w:rPr>
          <w:rFonts w:eastAsia="Times New Roman" w:cs="Times New Roman"/>
          <w:sz w:val="22"/>
          <w:lang w:eastAsia="cs-CZ"/>
        </w:rPr>
      </w:pPr>
      <w:r w:rsidRPr="00841DC0">
        <w:rPr>
          <w:rFonts w:eastAsia="Times New Roman" w:cs="Times New Roman"/>
          <w:sz w:val="22"/>
          <w:lang w:eastAsia="cs-CZ"/>
        </w:rPr>
        <w:tab/>
        <w:t xml:space="preserve">Ministerstvo životného prostredia zhodnotilo kvalitu výkonu prenesených a samosprávnych pôsobností jednak všeobecne a jednak podľa konkrétnych kritérií kvality (hospodárne, efektívne). Pri vyplňovaní tabuliek a hodnotení porovnali jednotné veľkostné kategórie. </w:t>
      </w:r>
    </w:p>
    <w:p w:rsidR="00841DC0" w:rsidRPr="00841DC0" w:rsidRDefault="00841DC0" w:rsidP="00841DC0">
      <w:pPr>
        <w:spacing w:before="120" w:after="0" w:line="240" w:lineRule="auto"/>
        <w:jc w:val="both"/>
        <w:rPr>
          <w:rFonts w:eastAsia="Times New Roman" w:cs="Times New Roman"/>
          <w:sz w:val="22"/>
          <w:lang w:eastAsia="cs-CZ"/>
        </w:rPr>
      </w:pPr>
      <w:r w:rsidRPr="00841DC0">
        <w:rPr>
          <w:rFonts w:eastAsia="Times New Roman" w:cs="Times New Roman"/>
          <w:sz w:val="22"/>
          <w:lang w:eastAsia="cs-CZ"/>
        </w:rPr>
        <w:tab/>
        <w:t>Ministerstvo životného prostredia zhodnotilo kvalitu výkonu pôsobností ako nedostatočné v obciach do 5000 obyvateľov. Nadväzujúc na nedostatky v týchto obciach na relevantných úsekoch navrhuje vybudovanie siete spoločných obecných úradov za účelom skvalitnenia výkonu.</w:t>
      </w:r>
    </w:p>
    <w:p w:rsidR="00841DC0" w:rsidRPr="00841DC0" w:rsidRDefault="00841DC0" w:rsidP="00841DC0">
      <w:pPr>
        <w:spacing w:before="120" w:after="0" w:line="240" w:lineRule="auto"/>
        <w:jc w:val="both"/>
        <w:rPr>
          <w:rFonts w:eastAsia="Times New Roman" w:cs="Times New Roman"/>
          <w:sz w:val="22"/>
          <w:lang w:eastAsia="cs-CZ"/>
        </w:rPr>
      </w:pPr>
      <w:r w:rsidRPr="00841DC0">
        <w:rPr>
          <w:rFonts w:eastAsia="Times New Roman" w:cs="Times New Roman"/>
          <w:sz w:val="22"/>
          <w:lang w:eastAsia="cs-CZ"/>
        </w:rPr>
        <w:tab/>
        <w:t xml:space="preserve">Vychádzajúc zo svojich súčasných podkladov nenavrhuje zrušenie žiadnej kompetencie bez náhrady. </w:t>
      </w:r>
      <w:r w:rsidRPr="00841DC0">
        <w:rPr>
          <w:rFonts w:eastAsia="Times New Roman" w:cs="Times New Roman"/>
          <w:sz w:val="22"/>
          <w:lang w:eastAsia="cs-CZ"/>
        </w:rPr>
        <w:tab/>
      </w:r>
    </w:p>
    <w:p w:rsidR="008B65B4" w:rsidRPr="00841DC0" w:rsidRDefault="00841DC0" w:rsidP="00201F4C">
      <w:pPr>
        <w:spacing w:before="120" w:after="0" w:line="240" w:lineRule="auto"/>
        <w:jc w:val="both"/>
        <w:rPr>
          <w:sz w:val="22"/>
        </w:rPr>
      </w:pPr>
      <w:r w:rsidRPr="00841DC0">
        <w:rPr>
          <w:rFonts w:eastAsia="Times New Roman" w:cs="Times New Roman"/>
          <w:sz w:val="22"/>
          <w:lang w:eastAsia="cs-CZ"/>
        </w:rPr>
        <w:tab/>
        <w:t xml:space="preserve">Presun pôsobností navrhuje na troch úsekoch, kde špecifikuje pôsobnosti, ktoré sa majú presunúť. V rámci týchto návrhov opatrení chýba konkrétny termín uskutočnenia. </w:t>
      </w:r>
      <w:r w:rsidRPr="00841DC0">
        <w:rPr>
          <w:rFonts w:eastAsia="Times New Roman" w:cs="Times New Roman"/>
          <w:sz w:val="22"/>
          <w:lang w:eastAsia="cs-CZ"/>
        </w:rPr>
        <w:tab/>
      </w:r>
    </w:p>
    <w:sectPr w:rsidR="008B65B4" w:rsidRPr="00841DC0" w:rsidSect="008F1DE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AC5" w:rsidRDefault="00235AC5" w:rsidP="00841DC0">
      <w:pPr>
        <w:spacing w:after="0" w:line="240" w:lineRule="auto"/>
      </w:pPr>
      <w:r>
        <w:separator/>
      </w:r>
    </w:p>
  </w:endnote>
  <w:endnote w:type="continuationSeparator" w:id="0">
    <w:p w:rsidR="00235AC5" w:rsidRDefault="00235AC5" w:rsidP="0084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772864"/>
      <w:docPartObj>
        <w:docPartGallery w:val="Page Numbers (Bottom of Page)"/>
        <w:docPartUnique/>
      </w:docPartObj>
    </w:sdtPr>
    <w:sdtEndPr>
      <w:rPr>
        <w:sz w:val="22"/>
      </w:rPr>
    </w:sdtEndPr>
    <w:sdtContent>
      <w:p w:rsidR="00510A26" w:rsidRPr="00510A26" w:rsidRDefault="00510A26" w:rsidP="00510A26">
        <w:pPr>
          <w:pStyle w:val="Pta"/>
          <w:jc w:val="right"/>
          <w:rPr>
            <w:sz w:val="22"/>
          </w:rPr>
        </w:pPr>
        <w:r w:rsidRPr="00510A26">
          <w:rPr>
            <w:sz w:val="22"/>
          </w:rPr>
          <w:fldChar w:fldCharType="begin"/>
        </w:r>
        <w:r w:rsidRPr="00510A26">
          <w:rPr>
            <w:sz w:val="22"/>
          </w:rPr>
          <w:instrText>PAGE   \* MERGEFORMAT</w:instrText>
        </w:r>
        <w:r w:rsidRPr="00510A26">
          <w:rPr>
            <w:sz w:val="22"/>
          </w:rPr>
          <w:fldChar w:fldCharType="separate"/>
        </w:r>
        <w:r w:rsidR="00167EE7">
          <w:rPr>
            <w:noProof/>
            <w:sz w:val="22"/>
          </w:rPr>
          <w:t>15</w:t>
        </w:r>
        <w:r w:rsidRPr="00510A26">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AC5" w:rsidRDefault="00235AC5" w:rsidP="00841DC0">
      <w:pPr>
        <w:spacing w:after="0" w:line="240" w:lineRule="auto"/>
      </w:pPr>
      <w:r>
        <w:separator/>
      </w:r>
    </w:p>
  </w:footnote>
  <w:footnote w:type="continuationSeparator" w:id="0">
    <w:p w:rsidR="00235AC5" w:rsidRDefault="00235AC5" w:rsidP="00841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DC0" w:rsidRPr="00841DC0" w:rsidRDefault="008F1DED" w:rsidP="00841DC0">
    <w:pPr>
      <w:pStyle w:val="Hlavika"/>
      <w:jc w:val="right"/>
      <w:rPr>
        <w:sz w:val="22"/>
      </w:rPr>
    </w:pPr>
    <w:r>
      <w:rPr>
        <w:sz w:val="22"/>
      </w:rPr>
      <w:t>Príloha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2A5C"/>
    <w:multiLevelType w:val="hybridMultilevel"/>
    <w:tmpl w:val="AD786EEC"/>
    <w:lvl w:ilvl="0" w:tplc="EE085D6C">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B3362A8"/>
    <w:multiLevelType w:val="hybridMultilevel"/>
    <w:tmpl w:val="42E228A2"/>
    <w:lvl w:ilvl="0" w:tplc="041B0001">
      <w:start w:val="1"/>
      <w:numFmt w:val="bullet"/>
      <w:lvlText w:val=""/>
      <w:lvlJc w:val="left"/>
      <w:pPr>
        <w:ind w:left="1590" w:hanging="360"/>
      </w:pPr>
      <w:rPr>
        <w:rFonts w:ascii="Symbol" w:hAnsi="Symbol" w:hint="default"/>
      </w:rPr>
    </w:lvl>
    <w:lvl w:ilvl="1" w:tplc="041B0003" w:tentative="1">
      <w:start w:val="1"/>
      <w:numFmt w:val="bullet"/>
      <w:lvlText w:val="o"/>
      <w:lvlJc w:val="left"/>
      <w:pPr>
        <w:ind w:left="2310" w:hanging="360"/>
      </w:pPr>
      <w:rPr>
        <w:rFonts w:ascii="Courier New" w:hAnsi="Courier New" w:cs="Courier New" w:hint="default"/>
      </w:rPr>
    </w:lvl>
    <w:lvl w:ilvl="2" w:tplc="041B0005" w:tentative="1">
      <w:start w:val="1"/>
      <w:numFmt w:val="bullet"/>
      <w:lvlText w:val=""/>
      <w:lvlJc w:val="left"/>
      <w:pPr>
        <w:ind w:left="3030" w:hanging="360"/>
      </w:pPr>
      <w:rPr>
        <w:rFonts w:ascii="Wingdings" w:hAnsi="Wingdings" w:hint="default"/>
      </w:rPr>
    </w:lvl>
    <w:lvl w:ilvl="3" w:tplc="041B0001" w:tentative="1">
      <w:start w:val="1"/>
      <w:numFmt w:val="bullet"/>
      <w:lvlText w:val=""/>
      <w:lvlJc w:val="left"/>
      <w:pPr>
        <w:ind w:left="3750" w:hanging="360"/>
      </w:pPr>
      <w:rPr>
        <w:rFonts w:ascii="Symbol" w:hAnsi="Symbol" w:hint="default"/>
      </w:rPr>
    </w:lvl>
    <w:lvl w:ilvl="4" w:tplc="041B0003" w:tentative="1">
      <w:start w:val="1"/>
      <w:numFmt w:val="bullet"/>
      <w:lvlText w:val="o"/>
      <w:lvlJc w:val="left"/>
      <w:pPr>
        <w:ind w:left="4470" w:hanging="360"/>
      </w:pPr>
      <w:rPr>
        <w:rFonts w:ascii="Courier New" w:hAnsi="Courier New" w:cs="Courier New" w:hint="default"/>
      </w:rPr>
    </w:lvl>
    <w:lvl w:ilvl="5" w:tplc="041B0005" w:tentative="1">
      <w:start w:val="1"/>
      <w:numFmt w:val="bullet"/>
      <w:lvlText w:val=""/>
      <w:lvlJc w:val="left"/>
      <w:pPr>
        <w:ind w:left="5190" w:hanging="360"/>
      </w:pPr>
      <w:rPr>
        <w:rFonts w:ascii="Wingdings" w:hAnsi="Wingdings" w:hint="default"/>
      </w:rPr>
    </w:lvl>
    <w:lvl w:ilvl="6" w:tplc="041B0001" w:tentative="1">
      <w:start w:val="1"/>
      <w:numFmt w:val="bullet"/>
      <w:lvlText w:val=""/>
      <w:lvlJc w:val="left"/>
      <w:pPr>
        <w:ind w:left="5910" w:hanging="360"/>
      </w:pPr>
      <w:rPr>
        <w:rFonts w:ascii="Symbol" w:hAnsi="Symbol" w:hint="default"/>
      </w:rPr>
    </w:lvl>
    <w:lvl w:ilvl="7" w:tplc="041B0003" w:tentative="1">
      <w:start w:val="1"/>
      <w:numFmt w:val="bullet"/>
      <w:lvlText w:val="o"/>
      <w:lvlJc w:val="left"/>
      <w:pPr>
        <w:ind w:left="6630" w:hanging="360"/>
      </w:pPr>
      <w:rPr>
        <w:rFonts w:ascii="Courier New" w:hAnsi="Courier New" w:cs="Courier New" w:hint="default"/>
      </w:rPr>
    </w:lvl>
    <w:lvl w:ilvl="8" w:tplc="041B0005" w:tentative="1">
      <w:start w:val="1"/>
      <w:numFmt w:val="bullet"/>
      <w:lvlText w:val=""/>
      <w:lvlJc w:val="left"/>
      <w:pPr>
        <w:ind w:left="7350" w:hanging="360"/>
      </w:pPr>
      <w:rPr>
        <w:rFonts w:ascii="Wingdings" w:hAnsi="Wingdings" w:hint="default"/>
      </w:rPr>
    </w:lvl>
  </w:abstractNum>
  <w:abstractNum w:abstractNumId="2">
    <w:nsid w:val="27356802"/>
    <w:multiLevelType w:val="hybridMultilevel"/>
    <w:tmpl w:val="E6FE4F9E"/>
    <w:lvl w:ilvl="0" w:tplc="39668C5E">
      <w:numFmt w:val="bullet"/>
      <w:lvlText w:val="-"/>
      <w:lvlJc w:val="left"/>
      <w:pPr>
        <w:ind w:left="1429" w:hanging="360"/>
      </w:pPr>
      <w:rPr>
        <w:rFonts w:ascii="Times New Roman" w:eastAsiaTheme="minorHAnsi"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nsid w:val="2EE07909"/>
    <w:multiLevelType w:val="hybridMultilevel"/>
    <w:tmpl w:val="4906E576"/>
    <w:lvl w:ilvl="0" w:tplc="39668C5E">
      <w:numFmt w:val="bullet"/>
      <w:lvlText w:val="-"/>
      <w:lvlJc w:val="left"/>
      <w:pPr>
        <w:ind w:left="1429" w:hanging="360"/>
      </w:pPr>
      <w:rPr>
        <w:rFonts w:ascii="Times New Roman" w:eastAsiaTheme="minorHAnsi"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4">
    <w:nsid w:val="3BEF7525"/>
    <w:multiLevelType w:val="hybridMultilevel"/>
    <w:tmpl w:val="9ED2870C"/>
    <w:lvl w:ilvl="0" w:tplc="6AA84F02">
      <w:start w:val="2"/>
      <w:numFmt w:val="bullet"/>
      <w:lvlText w:val="-"/>
      <w:lvlJc w:val="left"/>
      <w:pPr>
        <w:tabs>
          <w:tab w:val="num" w:pos="1068"/>
        </w:tabs>
        <w:ind w:left="1068" w:hanging="360"/>
      </w:pPr>
      <w:rPr>
        <w:rFonts w:ascii="Arial" w:eastAsia="Times New Roman" w:hAnsi="Arial" w:cs="Arial" w:hint="default"/>
      </w:rPr>
    </w:lvl>
    <w:lvl w:ilvl="1" w:tplc="041B000F">
      <w:start w:val="1"/>
      <w:numFmt w:val="decimal"/>
      <w:lvlText w:val="%2."/>
      <w:lvlJc w:val="left"/>
      <w:pPr>
        <w:tabs>
          <w:tab w:val="num" w:pos="1800"/>
        </w:tabs>
        <w:ind w:left="180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
    <w:nsid w:val="3F1D69A7"/>
    <w:multiLevelType w:val="hybridMultilevel"/>
    <w:tmpl w:val="176ABAA2"/>
    <w:lvl w:ilvl="0" w:tplc="EE085D6C">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60527C5"/>
    <w:multiLevelType w:val="hybridMultilevel"/>
    <w:tmpl w:val="E3E0ACA6"/>
    <w:lvl w:ilvl="0" w:tplc="EE085D6C">
      <w:start w:val="1"/>
      <w:numFmt w:val="bullet"/>
      <w:lvlText w:val="-"/>
      <w:lvlJc w:val="left"/>
      <w:pPr>
        <w:ind w:left="1080" w:hanging="360"/>
      </w:pPr>
      <w:rPr>
        <w:rFonts w:ascii="Courier New" w:hAnsi="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713B43F3"/>
    <w:multiLevelType w:val="hybridMultilevel"/>
    <w:tmpl w:val="F064DC5C"/>
    <w:lvl w:ilvl="0" w:tplc="39668C5E">
      <w:numFmt w:val="bullet"/>
      <w:lvlText w:val="-"/>
      <w:lvlJc w:val="left"/>
      <w:pPr>
        <w:ind w:left="1429" w:hanging="360"/>
      </w:pPr>
      <w:rPr>
        <w:rFonts w:ascii="Times New Roman" w:eastAsiaTheme="minorHAnsi"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8">
    <w:nsid w:val="73386B3C"/>
    <w:multiLevelType w:val="hybridMultilevel"/>
    <w:tmpl w:val="4A38C1A8"/>
    <w:lvl w:ilvl="0" w:tplc="EE085D6C">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5"/>
  </w:num>
  <w:num w:numId="5">
    <w:abstractNumId w:val="6"/>
  </w:num>
  <w:num w:numId="6">
    <w:abstractNumId w:val="4"/>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421"/>
    <w:rsid w:val="000736CD"/>
    <w:rsid w:val="00091DAA"/>
    <w:rsid w:val="00093015"/>
    <w:rsid w:val="00106245"/>
    <w:rsid w:val="001573F2"/>
    <w:rsid w:val="00167EE7"/>
    <w:rsid w:val="001B3C15"/>
    <w:rsid w:val="00201F4C"/>
    <w:rsid w:val="00205E46"/>
    <w:rsid w:val="00235AC5"/>
    <w:rsid w:val="00270D36"/>
    <w:rsid w:val="00286714"/>
    <w:rsid w:val="002A1ADD"/>
    <w:rsid w:val="002A5761"/>
    <w:rsid w:val="00310690"/>
    <w:rsid w:val="00331033"/>
    <w:rsid w:val="00342167"/>
    <w:rsid w:val="00360AA8"/>
    <w:rsid w:val="003A735A"/>
    <w:rsid w:val="003C5D8B"/>
    <w:rsid w:val="003F4D5C"/>
    <w:rsid w:val="00411205"/>
    <w:rsid w:val="005035A7"/>
    <w:rsid w:val="00510A26"/>
    <w:rsid w:val="00520FC5"/>
    <w:rsid w:val="00545707"/>
    <w:rsid w:val="0058028B"/>
    <w:rsid w:val="00627FAC"/>
    <w:rsid w:val="006674ED"/>
    <w:rsid w:val="006B44C6"/>
    <w:rsid w:val="006C3F1A"/>
    <w:rsid w:val="006C70FF"/>
    <w:rsid w:val="008068BC"/>
    <w:rsid w:val="00810CDB"/>
    <w:rsid w:val="00827CF2"/>
    <w:rsid w:val="00841DC0"/>
    <w:rsid w:val="00863540"/>
    <w:rsid w:val="0086399D"/>
    <w:rsid w:val="008B65B4"/>
    <w:rsid w:val="008B7049"/>
    <w:rsid w:val="008D08DF"/>
    <w:rsid w:val="008F1DED"/>
    <w:rsid w:val="009F62B1"/>
    <w:rsid w:val="00A31FDD"/>
    <w:rsid w:val="00AB5A1F"/>
    <w:rsid w:val="00B01421"/>
    <w:rsid w:val="00B304AC"/>
    <w:rsid w:val="00C34FA1"/>
    <w:rsid w:val="00C764D0"/>
    <w:rsid w:val="00CB5060"/>
    <w:rsid w:val="00CD765C"/>
    <w:rsid w:val="00D467A7"/>
    <w:rsid w:val="00D861B9"/>
    <w:rsid w:val="00D961E2"/>
    <w:rsid w:val="00DA5258"/>
    <w:rsid w:val="00DF7627"/>
    <w:rsid w:val="00E82B5C"/>
    <w:rsid w:val="00E901F1"/>
    <w:rsid w:val="00EC1633"/>
    <w:rsid w:val="00EF7A17"/>
    <w:rsid w:val="00F0443B"/>
    <w:rsid w:val="00F17712"/>
    <w:rsid w:val="00F42B3A"/>
    <w:rsid w:val="00FB7C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861B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841DC0"/>
    <w:pPr>
      <w:spacing w:after="0" w:line="240" w:lineRule="auto"/>
      <w:jc w:val="both"/>
    </w:pPr>
    <w:rPr>
      <w:rFonts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841D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1DC0"/>
  </w:style>
  <w:style w:type="paragraph" w:styleId="Pta">
    <w:name w:val="footer"/>
    <w:basedOn w:val="Normlny"/>
    <w:link w:val="PtaChar"/>
    <w:uiPriority w:val="99"/>
    <w:unhideWhenUsed/>
    <w:rsid w:val="00841DC0"/>
    <w:pPr>
      <w:tabs>
        <w:tab w:val="center" w:pos="4536"/>
        <w:tab w:val="right" w:pos="9072"/>
      </w:tabs>
      <w:spacing w:after="0" w:line="240" w:lineRule="auto"/>
    </w:pPr>
  </w:style>
  <w:style w:type="character" w:customStyle="1" w:styleId="PtaChar">
    <w:name w:val="Päta Char"/>
    <w:basedOn w:val="Predvolenpsmoodseku"/>
    <w:link w:val="Pta"/>
    <w:uiPriority w:val="99"/>
    <w:rsid w:val="00841DC0"/>
  </w:style>
  <w:style w:type="paragraph" w:styleId="Odsekzoznamu">
    <w:name w:val="List Paragraph"/>
    <w:basedOn w:val="Normlny"/>
    <w:link w:val="OdsekzoznamuChar"/>
    <w:uiPriority w:val="34"/>
    <w:qFormat/>
    <w:rsid w:val="00A31FDD"/>
    <w:pPr>
      <w:ind w:left="720"/>
      <w:contextualSpacing/>
    </w:pPr>
    <w:rPr>
      <w:rFonts w:asciiTheme="minorHAnsi" w:hAnsiTheme="minorHAnsi"/>
      <w:sz w:val="22"/>
    </w:rPr>
  </w:style>
  <w:style w:type="character" w:customStyle="1" w:styleId="OdsekzoznamuChar">
    <w:name w:val="Odsek zoznamu Char"/>
    <w:basedOn w:val="Predvolenpsmoodseku"/>
    <w:link w:val="Odsekzoznamu"/>
    <w:uiPriority w:val="34"/>
    <w:rsid w:val="00A31FDD"/>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861B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841DC0"/>
    <w:pPr>
      <w:spacing w:after="0" w:line="240" w:lineRule="auto"/>
      <w:jc w:val="both"/>
    </w:pPr>
    <w:rPr>
      <w:rFonts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841D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1DC0"/>
  </w:style>
  <w:style w:type="paragraph" w:styleId="Pta">
    <w:name w:val="footer"/>
    <w:basedOn w:val="Normlny"/>
    <w:link w:val="PtaChar"/>
    <w:uiPriority w:val="99"/>
    <w:unhideWhenUsed/>
    <w:rsid w:val="00841DC0"/>
    <w:pPr>
      <w:tabs>
        <w:tab w:val="center" w:pos="4536"/>
        <w:tab w:val="right" w:pos="9072"/>
      </w:tabs>
      <w:spacing w:after="0" w:line="240" w:lineRule="auto"/>
    </w:pPr>
  </w:style>
  <w:style w:type="character" w:customStyle="1" w:styleId="PtaChar">
    <w:name w:val="Päta Char"/>
    <w:basedOn w:val="Predvolenpsmoodseku"/>
    <w:link w:val="Pta"/>
    <w:uiPriority w:val="99"/>
    <w:rsid w:val="00841DC0"/>
  </w:style>
  <w:style w:type="paragraph" w:styleId="Odsekzoznamu">
    <w:name w:val="List Paragraph"/>
    <w:basedOn w:val="Normlny"/>
    <w:link w:val="OdsekzoznamuChar"/>
    <w:uiPriority w:val="34"/>
    <w:qFormat/>
    <w:rsid w:val="00A31FDD"/>
    <w:pPr>
      <w:ind w:left="720"/>
      <w:contextualSpacing/>
    </w:pPr>
    <w:rPr>
      <w:rFonts w:asciiTheme="minorHAnsi" w:hAnsiTheme="minorHAnsi"/>
      <w:sz w:val="22"/>
    </w:rPr>
  </w:style>
  <w:style w:type="character" w:customStyle="1" w:styleId="OdsekzoznamuChar">
    <w:name w:val="Odsek zoznamu Char"/>
    <w:basedOn w:val="Predvolenpsmoodseku"/>
    <w:link w:val="Odsekzoznamu"/>
    <w:uiPriority w:val="34"/>
    <w:rsid w:val="00A31FDD"/>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lc_DocId xmlns="e60a29af-d413-48d4-bd90-fe9d2a897e4b">WKX3UHSAJ2R6-2-378428</_dlc_DocId>
    <_dlc_DocIdUrl xmlns="e60a29af-d413-48d4-bd90-fe9d2a897e4b">
      <Url>https://ovdmasv601/sites/DMS/_layouts/15/DocIdRedir.aspx?ID=WKX3UHSAJ2R6-2-378428</Url>
      <Description>WKX3UHSAJ2R6-2-378428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3268D-7CB0-4BBF-A21D-830459374948}"/>
</file>

<file path=customXml/itemProps2.xml><?xml version="1.0" encoding="utf-8"?>
<ds:datastoreItem xmlns:ds="http://schemas.openxmlformats.org/officeDocument/2006/customXml" ds:itemID="{66EFBEB1-D8DD-49F7-8A3E-FD6E031F0314}"/>
</file>

<file path=customXml/itemProps3.xml><?xml version="1.0" encoding="utf-8"?>
<ds:datastoreItem xmlns:ds="http://schemas.openxmlformats.org/officeDocument/2006/customXml" ds:itemID="{7C028DB2-2849-457C-8C49-D7DF94AD2619}"/>
</file>

<file path=customXml/itemProps4.xml><?xml version="1.0" encoding="utf-8"?>
<ds:datastoreItem xmlns:ds="http://schemas.openxmlformats.org/officeDocument/2006/customXml" ds:itemID="{5DC5FAFA-2F4E-4B81-848E-D62881346A12}"/>
</file>

<file path=docProps/app.xml><?xml version="1.0" encoding="utf-8"?>
<Properties xmlns="http://schemas.openxmlformats.org/officeDocument/2006/extended-properties" xmlns:vt="http://schemas.openxmlformats.org/officeDocument/2006/docPropsVTypes">
  <Template>Normal</Template>
  <TotalTime>384</TotalTime>
  <Pages>15</Pages>
  <Words>7755</Words>
  <Characters>44210</Characters>
  <Application>Microsoft Office Word</Application>
  <DocSecurity>0</DocSecurity>
  <Lines>368</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 J.</dc:creator>
  <cp:keywords/>
  <dc:description/>
  <cp:lastModifiedBy>Ján J.</cp:lastModifiedBy>
  <cp:revision>51</cp:revision>
  <dcterms:created xsi:type="dcterms:W3CDTF">2013-09-11T07:02:00Z</dcterms:created>
  <dcterms:modified xsi:type="dcterms:W3CDTF">2013-12-02T13:24:00Z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839f430d-2d5d-4a53-b0db-14768533b23f</vt:lpwstr>
  </property>
</Properties>
</file>