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AECBE" w14:textId="77777777" w:rsidR="00CD0015" w:rsidRPr="0036616E" w:rsidRDefault="00CD0015" w:rsidP="00CD0015">
      <w:pPr>
        <w:widowControl w:val="0"/>
        <w:spacing w:after="0"/>
        <w:jc w:val="center"/>
        <w:rPr>
          <w:b/>
          <w:color w:val="auto"/>
        </w:rPr>
      </w:pPr>
      <w:bookmarkStart w:id="0" w:name="_Hlk163117573"/>
      <w:r w:rsidRPr="0036616E">
        <w:rPr>
          <w:b/>
          <w:color w:val="auto"/>
        </w:rPr>
        <w:t>Doložka vybraných vplyvov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31"/>
        <w:gridCol w:w="284"/>
        <w:gridCol w:w="254"/>
        <w:gridCol w:w="1133"/>
        <w:gridCol w:w="284"/>
        <w:gridCol w:w="263"/>
        <w:gridCol w:w="1297"/>
      </w:tblGrid>
      <w:tr w:rsidR="00CD0015" w:rsidRPr="0036616E" w14:paraId="50880C38" w14:textId="77777777" w:rsidTr="00CF216E">
        <w:tc>
          <w:tcPr>
            <w:tcW w:w="9180" w:type="dxa"/>
            <w:gridSpan w:val="12"/>
            <w:tcBorders>
              <w:bottom w:val="single" w:sz="4" w:space="0" w:color="FFFFFF"/>
            </w:tcBorders>
            <w:shd w:val="clear" w:color="auto" w:fill="E2E2E2"/>
          </w:tcPr>
          <w:p w14:paraId="3AC91DC6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Základné údaje</w:t>
            </w:r>
          </w:p>
        </w:tc>
      </w:tr>
      <w:tr w:rsidR="00CD0015" w:rsidRPr="0036616E" w14:paraId="3C308645" w14:textId="77777777" w:rsidTr="00CF216E">
        <w:tc>
          <w:tcPr>
            <w:tcW w:w="9180" w:type="dxa"/>
            <w:gridSpan w:val="12"/>
            <w:tcBorders>
              <w:bottom w:val="single" w:sz="4" w:space="0" w:color="FFFFFF"/>
            </w:tcBorders>
            <w:shd w:val="clear" w:color="auto" w:fill="E2E2E2"/>
          </w:tcPr>
          <w:p w14:paraId="0E49B1A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Názov materiálu</w:t>
            </w:r>
          </w:p>
        </w:tc>
      </w:tr>
      <w:tr w:rsidR="00CD0015" w:rsidRPr="0036616E" w14:paraId="6F1D05FB" w14:textId="77777777" w:rsidTr="00CF216E">
        <w:tc>
          <w:tcPr>
            <w:tcW w:w="9180" w:type="dxa"/>
            <w:gridSpan w:val="12"/>
            <w:tcBorders>
              <w:top w:val="single" w:sz="4" w:space="0" w:color="FFFFFF"/>
              <w:bottom w:val="single" w:sz="4" w:space="0" w:color="auto"/>
            </w:tcBorders>
          </w:tcPr>
          <w:p w14:paraId="2C9BC68E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235C9B">
              <w:rPr>
                <w:iCs/>
                <w:color w:val="auto"/>
              </w:rPr>
              <w:t>Návrh na pristúpenie Slovenskej republiky k Zmluve o priateľstve a spolupráci v juhovýchodnej Ázii a jej prvému, druhému a tretiemu Protokolu</w:t>
            </w:r>
          </w:p>
        </w:tc>
      </w:tr>
      <w:tr w:rsidR="00CD0015" w:rsidRPr="0036616E" w14:paraId="64B4043B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14:paraId="477B6A90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Predkladateľ (a spolupredkladateľ)</w:t>
            </w:r>
          </w:p>
        </w:tc>
      </w:tr>
      <w:tr w:rsidR="00CD0015" w:rsidRPr="0036616E" w14:paraId="2138C132" w14:textId="77777777" w:rsidTr="00CF216E">
        <w:tc>
          <w:tcPr>
            <w:tcW w:w="9180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13372E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Ministerstvo zahraničných vecí a európskych záležitostí Slovenskej republiky</w:t>
            </w:r>
          </w:p>
        </w:tc>
      </w:tr>
      <w:tr w:rsidR="00CD0015" w:rsidRPr="0036616E" w14:paraId="66815599" w14:textId="77777777" w:rsidTr="00CF216E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  <w:vAlign w:val="center"/>
          </w:tcPr>
          <w:p w14:paraId="19585AB5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Charakter predkladaného materiálu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9C866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42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DF80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Materiál nelegislatívnej povahy</w:t>
            </w:r>
          </w:p>
        </w:tc>
      </w:tr>
      <w:tr w:rsidR="00CD0015" w:rsidRPr="0036616E" w14:paraId="0690AC38" w14:textId="77777777" w:rsidTr="00CF216E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14:paraId="0ABDB0BE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A321A8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☒</w:t>
            </w:r>
          </w:p>
        </w:tc>
        <w:tc>
          <w:tcPr>
            <w:tcW w:w="42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5F316F8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Materiál legislatívnej povahy</w:t>
            </w:r>
          </w:p>
        </w:tc>
      </w:tr>
      <w:tr w:rsidR="00CD0015" w:rsidRPr="0036616E" w14:paraId="50472C9A" w14:textId="77777777" w:rsidTr="00CF216E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14:paraId="772BA4D3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5F339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42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3F4B8C03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Transpozícia/ implementácia práva EÚ</w:t>
            </w:r>
          </w:p>
        </w:tc>
      </w:tr>
      <w:tr w:rsidR="00CD0015" w:rsidRPr="0036616E" w14:paraId="31F7AA62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FFFFFF"/>
          </w:tcPr>
          <w:p w14:paraId="5586DDC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i/>
                <w:color w:val="auto"/>
              </w:rPr>
              <w:t>V prípade transpozície/implementácie uveďte zoznam transponovaných/implementovaných predpisov:</w:t>
            </w:r>
          </w:p>
        </w:tc>
      </w:tr>
      <w:tr w:rsidR="00CD0015" w:rsidRPr="0036616E" w14:paraId="0CA26FC2" w14:textId="77777777" w:rsidTr="00CF216E">
        <w:tc>
          <w:tcPr>
            <w:tcW w:w="594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05505230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Termín začiatku a ukončenia PPK</w:t>
            </w:r>
          </w:p>
        </w:tc>
        <w:tc>
          <w:tcPr>
            <w:tcW w:w="323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B415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i/>
                <w:color w:val="auto"/>
              </w:rPr>
            </w:pPr>
          </w:p>
        </w:tc>
      </w:tr>
      <w:tr w:rsidR="00CD0015" w:rsidRPr="0036616E" w14:paraId="1A20B817" w14:textId="77777777" w:rsidTr="00CF216E">
        <w:tc>
          <w:tcPr>
            <w:tcW w:w="59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4EA62F21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Predpokladaný termín predloženia na pripomienkové konanie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F40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iCs/>
                <w:color w:val="auto"/>
              </w:rPr>
            </w:pPr>
            <w:r w:rsidRPr="0036616E">
              <w:rPr>
                <w:iCs/>
                <w:color w:val="auto"/>
              </w:rPr>
              <w:t>apríl 2026</w:t>
            </w:r>
          </w:p>
        </w:tc>
      </w:tr>
      <w:tr w:rsidR="00CD0015" w:rsidRPr="0036616E" w14:paraId="47899B47" w14:textId="77777777" w:rsidTr="00CF216E">
        <w:trPr>
          <w:trHeight w:val="320"/>
        </w:trPr>
        <w:tc>
          <w:tcPr>
            <w:tcW w:w="59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74431462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 xml:space="preserve">Predpokladaný termín začiatku a ukončenia ZP** 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DF20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i/>
                <w:color w:val="auto"/>
              </w:rPr>
            </w:pPr>
          </w:p>
        </w:tc>
      </w:tr>
      <w:tr w:rsidR="00CD0015" w:rsidRPr="0036616E" w14:paraId="71185A3C" w14:textId="77777777" w:rsidTr="00CF216E">
        <w:tc>
          <w:tcPr>
            <w:tcW w:w="59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0516C5A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Predpokladaný termín predloženia na rokovanie vlády SR*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E08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iCs/>
                <w:color w:val="auto"/>
              </w:rPr>
            </w:pPr>
            <w:r>
              <w:rPr>
                <w:iCs/>
                <w:color w:val="auto"/>
              </w:rPr>
              <w:t xml:space="preserve"> august </w:t>
            </w:r>
            <w:r w:rsidRPr="0036616E">
              <w:rPr>
                <w:iCs/>
                <w:color w:val="auto"/>
              </w:rPr>
              <w:t>2026</w:t>
            </w:r>
          </w:p>
        </w:tc>
      </w:tr>
      <w:tr w:rsidR="00CD0015" w:rsidRPr="0036616E" w14:paraId="21184FB7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4E4AA7E8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Definovanie problému</w:t>
            </w:r>
          </w:p>
        </w:tc>
      </w:tr>
      <w:tr w:rsidR="00CD0015" w:rsidRPr="0036616E" w14:paraId="51373F97" w14:textId="77777777" w:rsidTr="00CF216E">
        <w:trPr>
          <w:trHeight w:val="718"/>
        </w:trPr>
        <w:tc>
          <w:tcPr>
            <w:tcW w:w="9180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6F08E" w14:textId="77777777" w:rsidR="00CD0015" w:rsidRPr="0036616E" w:rsidRDefault="00CD0015" w:rsidP="00CF216E">
            <w:pPr>
              <w:widowControl w:val="0"/>
              <w:spacing w:after="0"/>
              <w:rPr>
                <w:color w:val="auto"/>
              </w:rPr>
            </w:pPr>
            <w:r w:rsidRPr="00235C9B">
              <w:rPr>
                <w:color w:val="auto"/>
              </w:rPr>
              <w:t>Zmluva o priateľstve a spolupráci v juhovýchodnej Ázii a jej prvému, druhému a tretiemu Protokolu (ďalej len „Zmluva“) bola prijatá v roku 1976 s cieľom vytvoriť stabilný, predvídateľný a mierový rámec spolupráce</w:t>
            </w:r>
            <w:r w:rsidRPr="0036616E">
              <w:rPr>
                <w:color w:val="auto"/>
              </w:rPr>
              <w:t xml:space="preserve"> medzi štátmi juhovýchodnej Ázie. Postupne bola rozšírená tak, aby umožnila pristúpenie štátov mimo regiónu a reflektovala rastúcu úlohu Združenia národov juhovýchodnej Ázie (ďalej len „ASEAN“) v medzinárodných vzťahoch. Slovenská republika doposiaľ nebola zmluvnou stranou </w:t>
            </w:r>
            <w:r>
              <w:rPr>
                <w:color w:val="auto"/>
              </w:rPr>
              <w:t>Zmluvy</w:t>
            </w:r>
            <w:r w:rsidRPr="0036616E">
              <w:rPr>
                <w:color w:val="auto"/>
              </w:rPr>
              <w:t xml:space="preserve">, čo obmedzuje jej formálne nástroje spolupráce s ASEAN v oblastiach politického dialógu, mierového riešenia sporov, bezpečnostných otázok a regionálneho </w:t>
            </w:r>
            <w:proofErr w:type="spellStart"/>
            <w:r w:rsidRPr="0036616E">
              <w:rPr>
                <w:color w:val="auto"/>
              </w:rPr>
              <w:t>multilateralizmu</w:t>
            </w:r>
            <w:proofErr w:type="spellEnd"/>
            <w:r w:rsidRPr="0036616E">
              <w:rPr>
                <w:color w:val="auto"/>
              </w:rPr>
              <w:t xml:space="preserve">. Vzhľadom na rastúci politický, ekonomický a strategický význam regiónu juhovýchodnej Ázie a na posilňovanie angažovanosti Európskej únie v </w:t>
            </w:r>
            <w:proofErr w:type="spellStart"/>
            <w:r w:rsidRPr="0036616E">
              <w:rPr>
                <w:color w:val="auto"/>
              </w:rPr>
              <w:t>Indopacifiku</w:t>
            </w:r>
            <w:proofErr w:type="spellEnd"/>
            <w:r w:rsidRPr="0036616E">
              <w:rPr>
                <w:color w:val="auto"/>
              </w:rPr>
              <w:t xml:space="preserve"> je potrebné vytvoriť právny rámec, ktorý umožní Slovenskej republike participovať na regionálnych mechanizmoch ASEAN, prehĺbiť vzťahy s členskými štátmi ASEAN a zvýšiť váhu Slovenskej republiky v tomto geopoliticky dôležitom priestore. Pristúpenie k </w:t>
            </w:r>
            <w:r>
              <w:rPr>
                <w:color w:val="auto"/>
              </w:rPr>
              <w:t>Zmluve</w:t>
            </w:r>
            <w:r w:rsidRPr="0036616E">
              <w:rPr>
                <w:color w:val="auto"/>
              </w:rPr>
              <w:t xml:space="preserve"> rieši absenciu formálneho politického ukotvenia Slovenskej republiky v </w:t>
            </w:r>
            <w:proofErr w:type="spellStart"/>
            <w:r w:rsidRPr="0036616E">
              <w:rPr>
                <w:color w:val="auto"/>
              </w:rPr>
              <w:t>indopacifickej</w:t>
            </w:r>
            <w:proofErr w:type="spellEnd"/>
            <w:r w:rsidRPr="0036616E">
              <w:rPr>
                <w:color w:val="auto"/>
              </w:rPr>
              <w:t xml:space="preserve"> architektúre a je v súlade s cieľmi Strategickej koncepcie pre angažovanosť Slovenskej republiky v </w:t>
            </w:r>
            <w:proofErr w:type="spellStart"/>
            <w:r w:rsidRPr="0036616E">
              <w:rPr>
                <w:color w:val="auto"/>
              </w:rPr>
              <w:t>indopacifickom</w:t>
            </w:r>
            <w:proofErr w:type="spellEnd"/>
            <w:r w:rsidRPr="0036616E">
              <w:rPr>
                <w:color w:val="auto"/>
              </w:rPr>
              <w:t xml:space="preserve"> regióne schválenej v roku 2025, ktorá kladie dôraz na prehĺbenie spolupráce s ASEAN.</w:t>
            </w:r>
          </w:p>
        </w:tc>
      </w:tr>
      <w:tr w:rsidR="00CD0015" w:rsidRPr="0036616E" w14:paraId="4D3D827A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F8F730C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Ciele a výsledný stav</w:t>
            </w:r>
          </w:p>
        </w:tc>
      </w:tr>
      <w:tr w:rsidR="00CD0015" w:rsidRPr="0036616E" w14:paraId="22D869DE" w14:textId="77777777" w:rsidTr="00CF216E">
        <w:trPr>
          <w:trHeight w:val="741"/>
        </w:trPr>
        <w:tc>
          <w:tcPr>
            <w:tcW w:w="918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36A78" w14:textId="77777777" w:rsidR="00CD0015" w:rsidRPr="0036616E" w:rsidRDefault="00CD0015" w:rsidP="00CF216E">
            <w:pPr>
              <w:widowControl w:val="0"/>
              <w:spacing w:after="0"/>
              <w:rPr>
                <w:color w:val="auto"/>
              </w:rPr>
            </w:pPr>
            <w:r w:rsidRPr="0036616E">
              <w:rPr>
                <w:color w:val="auto"/>
              </w:rPr>
              <w:t xml:space="preserve">Cieľom pristúpenia Slovenskej republiky k </w:t>
            </w:r>
            <w:r>
              <w:rPr>
                <w:color w:val="auto"/>
              </w:rPr>
              <w:t>Zmluve</w:t>
            </w:r>
            <w:r w:rsidRPr="0036616E">
              <w:rPr>
                <w:color w:val="auto"/>
              </w:rPr>
              <w:t xml:space="preserve"> je nadviazať na spoločné hodnoty a zásady, ktoré tvoria základ regionálnej stability v juhovýchodnej Ázii: rešpekt k suverenite, územnej celistvosti, nenásilie, nezasahovanie do vnútorných záležitostí, mierové riešenie sporov a vzájomná spolupráca. Pristúpením k </w:t>
            </w:r>
            <w:r>
              <w:rPr>
                <w:color w:val="auto"/>
              </w:rPr>
              <w:t>Zmluve</w:t>
            </w:r>
            <w:r w:rsidRPr="0036616E">
              <w:rPr>
                <w:color w:val="auto"/>
              </w:rPr>
              <w:t xml:space="preserve"> Slovenská republika posilní politický dialóg a spoluprácu s ASEAN a jeho členskými štátmi, podporí stabilitu, mier a bezpečnosť v </w:t>
            </w:r>
            <w:proofErr w:type="spellStart"/>
            <w:r w:rsidRPr="0036616E">
              <w:rPr>
                <w:color w:val="auto"/>
              </w:rPr>
              <w:t>indopacifickom</w:t>
            </w:r>
            <w:proofErr w:type="spellEnd"/>
            <w:r w:rsidRPr="0036616E">
              <w:rPr>
                <w:color w:val="auto"/>
              </w:rPr>
              <w:t xml:space="preserve"> regióne a prispeje k prehlbovaniu multilaterálneho poriadku založeného na pravidlách. Zmluvné strany </w:t>
            </w:r>
            <w:r>
              <w:rPr>
                <w:color w:val="auto"/>
              </w:rPr>
              <w:t>Zmluvy</w:t>
            </w:r>
            <w:r w:rsidRPr="0036616E">
              <w:rPr>
                <w:color w:val="auto"/>
              </w:rPr>
              <w:t xml:space="preserve"> sa zaväzujú k princípom efektívnej spolupráce, </w:t>
            </w:r>
            <w:r w:rsidRPr="0036616E">
              <w:rPr>
                <w:color w:val="auto"/>
              </w:rPr>
              <w:lastRenderedPageBreak/>
              <w:t xml:space="preserve">mierového urovnávania sporov, rozvoja priateľských vzťahov a posilňovania regionálnej </w:t>
            </w:r>
            <w:proofErr w:type="spellStart"/>
            <w:r w:rsidRPr="0036616E">
              <w:rPr>
                <w:color w:val="auto"/>
              </w:rPr>
              <w:t>reziliencie</w:t>
            </w:r>
            <w:proofErr w:type="spellEnd"/>
            <w:r w:rsidRPr="0036616E">
              <w:rPr>
                <w:color w:val="auto"/>
              </w:rPr>
              <w:t>. Výsledkom pristúpenia bude vytvorenie politického a diplomatického rámca umožňujúceho Slovenskej republike aktívne spolupracovať v oblastiach spoločného záujmu, najmä v obchode, investíciách, vzdelávaní, prepojení infraštruktúr, bezpečnostných otázkach, zelených a digitálnych riešeniach a regionálnej integrácii. Pristúpenie zároveň podporí lepšie zapojenie slovenských subjektov do dynamicky sa rozvíjajúcich trhov juhovýchodnej Ázie.</w:t>
            </w:r>
          </w:p>
        </w:tc>
      </w:tr>
      <w:tr w:rsidR="00CD0015" w:rsidRPr="0036616E" w14:paraId="48B8E721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63622F2E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lastRenderedPageBreak/>
              <w:t>Dotknuté subjekty</w:t>
            </w:r>
          </w:p>
        </w:tc>
      </w:tr>
      <w:tr w:rsidR="00CD0015" w:rsidRPr="0036616E" w14:paraId="0A104E18" w14:textId="77777777" w:rsidTr="00CF216E">
        <w:tc>
          <w:tcPr>
            <w:tcW w:w="918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7BAA5" w14:textId="77777777" w:rsidR="00CD0015" w:rsidRPr="0036616E" w:rsidRDefault="00CD0015" w:rsidP="00CF216E">
            <w:pPr>
              <w:widowControl w:val="0"/>
              <w:spacing w:after="0"/>
              <w:rPr>
                <w:color w:val="auto"/>
              </w:rPr>
            </w:pPr>
            <w:r w:rsidRPr="0036616E">
              <w:rPr>
                <w:color w:val="auto"/>
              </w:rPr>
              <w:t xml:space="preserve">Dotknutými subjektmi z pohľadu medzinárodného práva sú všetky zmluvné strany </w:t>
            </w:r>
            <w:r>
              <w:rPr>
                <w:color w:val="auto"/>
              </w:rPr>
              <w:t>Zmluvy</w:t>
            </w:r>
            <w:r w:rsidRPr="0036616E">
              <w:rPr>
                <w:color w:val="auto"/>
              </w:rPr>
              <w:t xml:space="preserve">, teda členské štáty ASEAN ( a ostatné štáty a regionálne organizácie, ktoré k zmluve pristúpili.) Pristúpením Slovenskej republiky sa Slovenská republika stane plnohodnotnou zmluvnou stranou </w:t>
            </w:r>
            <w:r>
              <w:rPr>
                <w:color w:val="auto"/>
              </w:rPr>
              <w:t>Zmluvy</w:t>
            </w:r>
            <w:r w:rsidRPr="0036616E">
              <w:rPr>
                <w:color w:val="auto"/>
              </w:rPr>
              <w:t xml:space="preserve">. Odkazy na „územie“ v </w:t>
            </w:r>
            <w:r>
              <w:rPr>
                <w:color w:val="auto"/>
              </w:rPr>
              <w:t>Zmluve</w:t>
            </w:r>
            <w:r w:rsidRPr="0036616E">
              <w:rPr>
                <w:color w:val="auto"/>
              </w:rPr>
              <w:t xml:space="preserve"> sa vzťahujú na územie štátu v zmysle medzinárodného práva vrátane vzdušného priestoru a pobrežného mora, ako ich definuje Dohovor Organizácie Spojených národov  o morskom práve prijatý v </w:t>
            </w:r>
            <w:proofErr w:type="spellStart"/>
            <w:r w:rsidRPr="0036616E">
              <w:rPr>
                <w:color w:val="auto"/>
              </w:rPr>
              <w:t>Montego</w:t>
            </w:r>
            <w:proofErr w:type="spellEnd"/>
            <w:r w:rsidRPr="0036616E">
              <w:rPr>
                <w:color w:val="auto"/>
              </w:rPr>
              <w:t xml:space="preserve"> </w:t>
            </w:r>
            <w:proofErr w:type="spellStart"/>
            <w:r w:rsidRPr="0036616E">
              <w:rPr>
                <w:color w:val="auto"/>
              </w:rPr>
              <w:t>Bay</w:t>
            </w:r>
            <w:proofErr w:type="spellEnd"/>
            <w:r w:rsidRPr="0036616E">
              <w:rPr>
                <w:color w:val="auto"/>
              </w:rPr>
              <w:t xml:space="preserve"> 10. decembra 1982.</w:t>
            </w:r>
          </w:p>
        </w:tc>
      </w:tr>
      <w:tr w:rsidR="00CD0015" w:rsidRPr="0036616E" w14:paraId="009C47F5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E90B5D4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Alternatívne riešenia</w:t>
            </w:r>
          </w:p>
        </w:tc>
      </w:tr>
      <w:tr w:rsidR="00CD0015" w:rsidRPr="0036616E" w14:paraId="25078BB4" w14:textId="77777777" w:rsidTr="00CF216E">
        <w:trPr>
          <w:trHeight w:val="444"/>
        </w:trPr>
        <w:tc>
          <w:tcPr>
            <w:tcW w:w="918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12F7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iCs/>
                <w:color w:val="auto"/>
              </w:rPr>
            </w:pPr>
            <w:r w:rsidRPr="0036616E">
              <w:rPr>
                <w:color w:val="auto"/>
              </w:rPr>
              <w:t>Alternatívne riešenia neboli zvažované.</w:t>
            </w:r>
          </w:p>
        </w:tc>
      </w:tr>
      <w:tr w:rsidR="00CD0015" w:rsidRPr="0036616E" w14:paraId="3ABC5CED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2D874DB1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Vykonávacie predpisy</w:t>
            </w:r>
          </w:p>
        </w:tc>
      </w:tr>
      <w:tr w:rsidR="00CD0015" w:rsidRPr="0036616E" w14:paraId="7854423D" w14:textId="77777777" w:rsidTr="00CF216E">
        <w:tc>
          <w:tcPr>
            <w:tcW w:w="6203" w:type="dxa"/>
            <w:gridSpan w:val="8"/>
            <w:tcBorders>
              <w:top w:val="single" w:sz="4" w:space="0" w:color="FFFFFF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745B53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i/>
                <w:color w:val="auto"/>
              </w:rPr>
            </w:pPr>
            <w:r w:rsidRPr="0036616E">
              <w:rPr>
                <w:i/>
                <w:color w:val="auto"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14:paraId="784601A7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  <w:r w:rsidRPr="0036616E">
              <w:rPr>
                <w:b/>
                <w:color w:val="auto"/>
              </w:rPr>
              <w:t xml:space="preserve">  </w:t>
            </w:r>
            <w:r w:rsidRPr="0036616E">
              <w:rPr>
                <w:rFonts w:cs="Times New Roman"/>
                <w:b/>
                <w:color w:val="auto"/>
              </w:rPr>
              <w:t>Á</w:t>
            </w:r>
            <w:r w:rsidRPr="0036616E">
              <w:rPr>
                <w:b/>
                <w:color w:val="auto"/>
              </w:rPr>
              <w:t>no</w:t>
            </w: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0BA5B7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  <w:r w:rsidRPr="0036616E">
              <w:rPr>
                <w:b/>
                <w:color w:val="auto"/>
              </w:rPr>
              <w:t xml:space="preserve">  Nie</w:t>
            </w:r>
          </w:p>
        </w:tc>
      </w:tr>
      <w:tr w:rsidR="00CD0015" w:rsidRPr="0036616E" w14:paraId="2987BA4A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537E2614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 xml:space="preserve">Transpozícia/implementácia práva EÚ </w:t>
            </w:r>
          </w:p>
        </w:tc>
      </w:tr>
      <w:tr w:rsidR="00CD0015" w:rsidRPr="0036616E" w14:paraId="7D158DD3" w14:textId="77777777" w:rsidTr="00CF216E">
        <w:trPr>
          <w:trHeight w:val="157"/>
        </w:trPr>
        <w:tc>
          <w:tcPr>
            <w:tcW w:w="9180" w:type="dxa"/>
            <w:gridSpan w:val="1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643"/>
            </w:tblGrid>
            <w:tr w:rsidR="00CD0015" w:rsidRPr="0036616E" w14:paraId="6BF1CB09" w14:textId="77777777" w:rsidTr="00CF216E">
              <w:trPr>
                <w:trHeight w:val="90"/>
              </w:trPr>
              <w:tc>
                <w:tcPr>
                  <w:tcW w:w="8643" w:type="dxa"/>
                </w:tcPr>
                <w:p w14:paraId="5702675F" w14:textId="77777777" w:rsidR="00CD0015" w:rsidRPr="0036616E" w:rsidRDefault="00CD0015" w:rsidP="00CF216E">
                  <w:pPr>
                    <w:widowControl w:val="0"/>
                    <w:spacing w:after="0"/>
                    <w:rPr>
                      <w:color w:val="auto"/>
                    </w:rPr>
                  </w:pPr>
                  <w:r w:rsidRPr="0036616E">
                    <w:rPr>
                      <w:color w:val="auto"/>
                    </w:rPr>
                    <w:t>Materiálom nedochádza k transpozícii práva Európskej únie.</w:t>
                  </w:r>
                </w:p>
                <w:p w14:paraId="12449416" w14:textId="77777777" w:rsidR="00CD0015" w:rsidRPr="0036616E" w:rsidRDefault="00CD0015" w:rsidP="00CF216E">
                  <w:pPr>
                    <w:widowControl w:val="0"/>
                    <w:spacing w:after="0"/>
                    <w:rPr>
                      <w:color w:val="auto"/>
                    </w:rPr>
                  </w:pPr>
                  <w:r w:rsidRPr="0036616E">
                    <w:rPr>
                      <w:i/>
                      <w:iCs/>
                      <w:color w:val="auto"/>
                    </w:rPr>
                    <w:t xml:space="preserve">Uveďte, či v predkladanom návrhu právneho predpisu dochádza ku </w:t>
                  </w:r>
                  <w:proofErr w:type="spellStart"/>
                  <w:r w:rsidRPr="0036616E">
                    <w:rPr>
                      <w:i/>
                      <w:iCs/>
                      <w:color w:val="auto"/>
                    </w:rPr>
                    <w:t>goldplatingu</w:t>
                  </w:r>
                  <w:proofErr w:type="spellEnd"/>
                  <w:r w:rsidRPr="0036616E">
                    <w:rPr>
                      <w:i/>
                      <w:iCs/>
                      <w:color w:val="auto"/>
                    </w:rPr>
                    <w:t xml:space="preserve"> podľa tabuľky zhody, resp. či ku </w:t>
                  </w:r>
                  <w:proofErr w:type="spellStart"/>
                  <w:r w:rsidRPr="0036616E">
                    <w:rPr>
                      <w:i/>
                      <w:iCs/>
                      <w:color w:val="auto"/>
                    </w:rPr>
                    <w:t>goldplatingu</w:t>
                  </w:r>
                  <w:proofErr w:type="spellEnd"/>
                  <w:r w:rsidRPr="0036616E">
                    <w:rPr>
                      <w:i/>
                      <w:iCs/>
                      <w:color w:val="auto"/>
                    </w:rPr>
                    <w:t xml:space="preserve"> dochádza pri implementácii práva EÚ.</w:t>
                  </w:r>
                </w:p>
              </w:tc>
            </w:tr>
            <w:tr w:rsidR="00CD0015" w:rsidRPr="0036616E" w14:paraId="44466520" w14:textId="77777777" w:rsidTr="00CF216E">
              <w:trPr>
                <w:trHeight w:val="296"/>
              </w:trPr>
              <w:tc>
                <w:tcPr>
                  <w:tcW w:w="8643" w:type="dxa"/>
                </w:tcPr>
                <w:p w14:paraId="3606F734" w14:textId="77777777" w:rsidR="00CD0015" w:rsidRPr="0036616E" w:rsidRDefault="00CD0015" w:rsidP="00CF216E">
                  <w:pPr>
                    <w:widowControl w:val="0"/>
                    <w:spacing w:after="0"/>
                    <w:rPr>
                      <w:b/>
                      <w:iCs/>
                      <w:color w:val="auto"/>
                      <w:lang w:val="fr-BE"/>
                    </w:rPr>
                  </w:pPr>
                  <w:r w:rsidRPr="0036616E">
                    <w:rPr>
                      <w:rFonts w:ascii="Segoe UI Symbol" w:hAnsi="Segoe UI Symbol" w:cs="Segoe UI Symbol"/>
                      <w:b/>
                      <w:iCs/>
                      <w:color w:val="auto"/>
                      <w:lang w:val="fr-BE"/>
                    </w:rPr>
                    <w:t>☒</w:t>
                  </w:r>
                  <w:r w:rsidRPr="0036616E">
                    <w:rPr>
                      <w:b/>
                      <w:iCs/>
                      <w:color w:val="auto"/>
                      <w:lang w:val="fr-BE"/>
                    </w:rPr>
                    <w:t xml:space="preserve"> Nie</w:t>
                  </w:r>
                  <w:r w:rsidRPr="0036616E">
                    <w:rPr>
                      <w:b/>
                      <w:iCs/>
                      <w:color w:val="auto"/>
                      <w:lang w:val="fr-BE"/>
                    </w:rPr>
                    <w:tab/>
                  </w:r>
                  <w:r w:rsidRPr="0036616E">
                    <w:rPr>
                      <w:b/>
                      <w:iCs/>
                      <w:color w:val="auto"/>
                    </w:rPr>
                    <w:t xml:space="preserve">                                                                                                                    </w:t>
                  </w:r>
                  <w:r w:rsidRPr="0036616E">
                    <w:rPr>
                      <w:rFonts w:ascii="Segoe UI Symbol" w:hAnsi="Segoe UI Symbol" w:cs="Segoe UI Symbol"/>
                      <w:b/>
                      <w:iCs/>
                      <w:color w:val="auto"/>
                      <w:lang w:val="fr-BE"/>
                    </w:rPr>
                    <w:t>☐</w:t>
                  </w:r>
                  <w:r w:rsidRPr="0036616E">
                    <w:rPr>
                      <w:b/>
                      <w:iCs/>
                      <w:color w:val="auto"/>
                      <w:lang w:val="fr-BE"/>
                    </w:rPr>
                    <w:t xml:space="preserve"> </w:t>
                  </w:r>
                  <w:r w:rsidRPr="0036616E">
                    <w:rPr>
                      <w:rFonts w:cs="Times New Roman"/>
                      <w:b/>
                      <w:iCs/>
                      <w:color w:val="auto"/>
                      <w:lang w:val="fr-BE"/>
                    </w:rPr>
                    <w:t>Á</w:t>
                  </w:r>
                  <w:r w:rsidRPr="0036616E">
                    <w:rPr>
                      <w:b/>
                      <w:iCs/>
                      <w:color w:val="auto"/>
                      <w:lang w:val="fr-BE"/>
                    </w:rPr>
                    <w:t xml:space="preserve">no                  </w:t>
                  </w:r>
                </w:p>
              </w:tc>
            </w:tr>
          </w:tbl>
          <w:p w14:paraId="5BA2514B" w14:textId="77777777" w:rsidR="00CD0015" w:rsidRPr="0036616E" w:rsidRDefault="00CD0015" w:rsidP="00CF216E">
            <w:pPr>
              <w:widowControl w:val="0"/>
              <w:spacing w:after="0"/>
              <w:rPr>
                <w:i/>
                <w:color w:val="auto"/>
              </w:rPr>
            </w:pPr>
          </w:p>
        </w:tc>
      </w:tr>
      <w:tr w:rsidR="00CD0015" w:rsidRPr="0036616E" w14:paraId="686945EE" w14:textId="77777777" w:rsidTr="00CF216E">
        <w:trPr>
          <w:trHeight w:val="80"/>
        </w:trPr>
        <w:tc>
          <w:tcPr>
            <w:tcW w:w="9180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EEC0DA" w14:textId="77777777" w:rsidR="00CD0015" w:rsidRPr="0036616E" w:rsidRDefault="00CD0015" w:rsidP="00CF216E">
            <w:pPr>
              <w:widowControl w:val="0"/>
              <w:spacing w:after="0"/>
              <w:rPr>
                <w:color w:val="auto"/>
              </w:rPr>
            </w:pPr>
          </w:p>
        </w:tc>
      </w:tr>
      <w:tr w:rsidR="00CD0015" w:rsidRPr="0036616E" w14:paraId="62775CA0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29ACBA64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Preskúmanie účelnosti</w:t>
            </w:r>
          </w:p>
        </w:tc>
      </w:tr>
      <w:tr w:rsidR="00CD0015" w:rsidRPr="0036616E" w14:paraId="0636627A" w14:textId="77777777" w:rsidTr="00CF216E">
        <w:trPr>
          <w:trHeight w:val="1233"/>
        </w:trPr>
        <w:tc>
          <w:tcPr>
            <w:tcW w:w="9180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5F36" w14:textId="77777777" w:rsidR="00CD0015" w:rsidRPr="00995648" w:rsidRDefault="00CD0015" w:rsidP="00CF216E">
            <w:pPr>
              <w:widowControl w:val="0"/>
              <w:spacing w:after="0"/>
              <w:rPr>
                <w:color w:val="auto"/>
              </w:rPr>
            </w:pPr>
            <w:r w:rsidRPr="00995648">
              <w:rPr>
                <w:color w:val="auto"/>
              </w:rPr>
              <w:t>Záujem Slovenskej republiky pristúpiť k Zmluve vychádza zo strategického významu regiónu juhovýchodnej Ázie, jeho dynamického hospodárskeho rastu a rastúcej úlohy v globálnych politických a ekonomických procesoch. Slovensko sa usiluje posilniť svoju prítomnosť                 v regióne, ktorý je jadrom globálnych ekonomických trendov.</w:t>
            </w:r>
          </w:p>
        </w:tc>
      </w:tr>
      <w:tr w:rsidR="00CD0015" w:rsidRPr="0036616E" w14:paraId="34D817FB" w14:textId="77777777" w:rsidTr="00CF216E">
        <w:trPr>
          <w:trHeight w:val="283"/>
        </w:trPr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vAlign w:val="center"/>
          </w:tcPr>
          <w:p w14:paraId="6F6C9D36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Vybrané vplyvy  materiálu</w:t>
            </w:r>
          </w:p>
        </w:tc>
      </w:tr>
      <w:tr w:rsidR="00CD0015" w:rsidRPr="0036616E" w14:paraId="6CE85946" w14:textId="77777777" w:rsidTr="00CF216E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611CB94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Vplyvy na rozpočet verejnej správy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25FD6C8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63961A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264A2C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9C68FD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1888D6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EA6B7DC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Negatívne</w:t>
            </w:r>
          </w:p>
        </w:tc>
      </w:tr>
      <w:tr w:rsidR="00CD0015" w:rsidRPr="0036616E" w14:paraId="4D3D62ED" w14:textId="77777777" w:rsidTr="00CF216E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8B5B0E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 xml:space="preserve">    z toho rozpočtovo zabezpečené vplyvy,         </w:t>
            </w:r>
          </w:p>
          <w:p w14:paraId="5D50DCC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 xml:space="preserve">    v prípade identifikovaného negatívneho </w:t>
            </w:r>
          </w:p>
          <w:p w14:paraId="02334525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 xml:space="preserve">    vplyvu</w:t>
            </w: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3F0576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562F1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Áno</w:t>
            </w:r>
          </w:p>
        </w:tc>
        <w:tc>
          <w:tcPr>
            <w:tcW w:w="5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5A3F73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840D3C0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Nie</w:t>
            </w: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0856B3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CF2E4B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Čiastočne</w:t>
            </w:r>
          </w:p>
        </w:tc>
      </w:tr>
      <w:tr w:rsidR="00CD0015" w:rsidRPr="0036616E" w14:paraId="4A1A9DDA" w14:textId="77777777" w:rsidTr="00CF216E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708F025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v tom vplyvy na rozpočty obcí a vyšších územných celkov</w:t>
            </w: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3CF1914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6063A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DCFE32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10CB42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528FF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46B0E90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Negatívne</w:t>
            </w:r>
          </w:p>
        </w:tc>
      </w:tr>
      <w:tr w:rsidR="00CD0015" w:rsidRPr="0036616E" w14:paraId="4B2396E4" w14:textId="77777777" w:rsidTr="00CF216E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A2691A1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z toho rozpočtovo zabezpečené vplyvy,</w:t>
            </w:r>
          </w:p>
          <w:p w14:paraId="34ADBABC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v prípade identifikovaného negatívneho vplyvu</w:t>
            </w: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E191D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A4D33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Áno</w:t>
            </w:r>
          </w:p>
        </w:tc>
        <w:tc>
          <w:tcPr>
            <w:tcW w:w="53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49188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3F3B5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Nie</w:t>
            </w: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D3CD27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1F72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Čiastočne</w:t>
            </w:r>
          </w:p>
        </w:tc>
      </w:tr>
      <w:tr w:rsidR="00CD0015" w:rsidRPr="0036616E" w14:paraId="69D7CBAB" w14:textId="77777777" w:rsidTr="00CF216E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2F608F1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lastRenderedPageBreak/>
              <w:t>Vplyv na dlhodobú udržateľnosť verejných financií v prípade vybraných opatrení ***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5ED65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510DF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92629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DD708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3E3C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65496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Nie</w:t>
            </w:r>
          </w:p>
        </w:tc>
      </w:tr>
      <w:tr w:rsidR="00CD0015" w:rsidRPr="0036616E" w14:paraId="088AD60D" w14:textId="77777777" w:rsidTr="00CF216E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16AD3C6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Vplyvy na limit verejných výdavkov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F3411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14EAF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b/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87F1BC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517C82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b/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225E71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DFF5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b/>
                <w:color w:val="auto"/>
              </w:rPr>
              <w:t>Negatívne</w:t>
            </w:r>
          </w:p>
        </w:tc>
      </w:tr>
      <w:tr w:rsidR="00CD0015" w:rsidRPr="0036616E" w14:paraId="2993E9F7" w14:textId="77777777" w:rsidTr="00CF216E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514271D6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Vplyvy na podnikateľské prostredie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D15F2A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E0B280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D0B0D9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149E5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E0C2715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3442D8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Negatívne</w:t>
            </w:r>
          </w:p>
        </w:tc>
      </w:tr>
      <w:tr w:rsidR="00CD0015" w:rsidRPr="0036616E" w14:paraId="6E61DF61" w14:textId="77777777" w:rsidTr="00CF216E">
        <w:tc>
          <w:tcPr>
            <w:tcW w:w="3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2E2"/>
          </w:tcPr>
          <w:p w14:paraId="2A83729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 xml:space="preserve">    z toho vplyvy na MSP</w:t>
            </w:r>
          </w:p>
          <w:p w14:paraId="0FD0A843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nil"/>
            </w:tcBorders>
            <w:vAlign w:val="center"/>
          </w:tcPr>
          <w:p w14:paraId="52D3C0C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981D4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A7744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125631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57879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rFonts w:ascii="Segoe UI Symbol" w:hAnsi="Segoe UI Symbol" w:cs="Segoe UI Symbol"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2FA10C3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Negatívne</w:t>
            </w:r>
          </w:p>
        </w:tc>
      </w:tr>
      <w:tr w:rsidR="00CD0015" w:rsidRPr="0036616E" w14:paraId="1CD388A4" w14:textId="77777777" w:rsidTr="00CF216E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3BC38493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 xml:space="preserve">    Mechanizmus znižovania byrokracie    </w:t>
            </w:r>
          </w:p>
          <w:p w14:paraId="56C1CA73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color w:val="auto"/>
              </w:rPr>
              <w:t xml:space="preserve">    a nákladov sa uplatňuje:</w:t>
            </w: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808FD1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596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1A304C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color w:val="auto"/>
              </w:rPr>
              <w:t>Áno</w:t>
            </w:r>
          </w:p>
        </w:tc>
        <w:tc>
          <w:tcPr>
            <w:tcW w:w="25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BBB89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A6332E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644D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D2510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color w:val="auto"/>
              </w:rPr>
              <w:t>Nie</w:t>
            </w:r>
          </w:p>
        </w:tc>
      </w:tr>
      <w:tr w:rsidR="00CD0015" w:rsidRPr="0036616E" w14:paraId="45E7B051" w14:textId="77777777" w:rsidTr="00CF216E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A2DCD66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Sociálne vplyvy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DA961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C7DAA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C58DE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89FD76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D764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F568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Negatívne</w:t>
            </w:r>
          </w:p>
        </w:tc>
      </w:tr>
      <w:tr w:rsidR="00CD0015" w:rsidRPr="0036616E" w14:paraId="6D89F272" w14:textId="77777777" w:rsidTr="00CF216E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6463F881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Vplyvy na životné prostredie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147F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7316D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40FC5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1D9090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3FC0E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90B0E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Negatívne</w:t>
            </w:r>
          </w:p>
        </w:tc>
      </w:tr>
      <w:tr w:rsidR="00CD0015" w:rsidRPr="0036616E" w14:paraId="29EFEB37" w14:textId="77777777" w:rsidTr="00CF216E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602701D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color w:val="auto"/>
              </w:rPr>
              <w:t>Materiál je posudzovaný podľa zákona č. 24/2006 Z. z. o posudzovaní vplyvov na životné prostredie a o zmene a doplnení niektorých zákonov v znení neskorších predpisov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7F5E4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502E85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color w:val="auto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1579A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91DF7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F50D7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D263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color w:val="auto"/>
              </w:rPr>
              <w:t>Nie</w:t>
            </w:r>
          </w:p>
        </w:tc>
      </w:tr>
      <w:tr w:rsidR="00CD0015" w:rsidRPr="0036616E" w14:paraId="34FD395D" w14:textId="77777777" w:rsidTr="00CF216E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41F71A6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Vplyvy na informatizáciu spoločnosti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57D0E2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55760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25DFA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020B72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DDEF7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F9FAC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Negatívne</w:t>
            </w:r>
          </w:p>
        </w:tc>
      </w:tr>
      <w:tr w:rsidR="00CD0015" w:rsidRPr="0036616E" w14:paraId="13C30600" w14:textId="77777777" w:rsidTr="00CF216E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718E813E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Vplyvy na služby verejnej správy pre občana, z toho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012D46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3292B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48BB2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E00222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E9D5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A77F1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</w:p>
        </w:tc>
      </w:tr>
      <w:tr w:rsidR="00CD0015" w:rsidRPr="0036616E" w14:paraId="25BB43A5" w14:textId="77777777" w:rsidTr="00CF216E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BC9D87C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 xml:space="preserve">    vplyvy služieb verejnej správy na občana</w:t>
            </w:r>
          </w:p>
        </w:tc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</w:tcPr>
          <w:p w14:paraId="4982E683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DD204C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D0E5AA7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B88505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3D3EE2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34651AA0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Negatívne</w:t>
            </w:r>
          </w:p>
        </w:tc>
      </w:tr>
      <w:tr w:rsidR="00CD0015" w:rsidRPr="0036616E" w14:paraId="74795907" w14:textId="77777777" w:rsidTr="00CF216E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1C1ECA6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 xml:space="preserve">    vplyvy na procesy služieb vo verejnej správe</w:t>
            </w:r>
          </w:p>
        </w:tc>
        <w:tc>
          <w:tcPr>
            <w:tcW w:w="54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4480432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9D5DB2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44B9E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39D0492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C54894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07E330D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Negatívne</w:t>
            </w:r>
          </w:p>
        </w:tc>
      </w:tr>
      <w:tr w:rsidR="00CD0015" w:rsidRPr="0036616E" w14:paraId="49CF83DC" w14:textId="77777777" w:rsidTr="00CF216E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6E59638B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Vplyvy na manželstvo, rodičovstvo a rodinu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4CAB07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3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4A1C28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272B0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AABF87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826DE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rFonts w:ascii="Segoe UI Symbol" w:hAnsi="Segoe UI Symbol" w:cs="Segoe UI Symbol"/>
                <w:b/>
                <w:color w:val="auto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F9BF9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Negatívne</w:t>
            </w:r>
          </w:p>
        </w:tc>
      </w:tr>
      <w:tr w:rsidR="00CD0015" w:rsidRPr="0036616E" w14:paraId="2EC43821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902780C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Poznámky</w:t>
            </w:r>
          </w:p>
        </w:tc>
      </w:tr>
      <w:tr w:rsidR="00CD0015" w:rsidRPr="0036616E" w14:paraId="729A88C5" w14:textId="77777777" w:rsidTr="00CF216E">
        <w:trPr>
          <w:trHeight w:val="713"/>
        </w:trPr>
        <w:tc>
          <w:tcPr>
            <w:tcW w:w="9180" w:type="dxa"/>
            <w:gridSpan w:val="12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38AA26AD" w14:textId="77777777" w:rsidR="00CD0015" w:rsidRPr="0036616E" w:rsidRDefault="00CD0015" w:rsidP="00CF216E">
            <w:pPr>
              <w:widowControl w:val="0"/>
              <w:spacing w:after="0"/>
              <w:rPr>
                <w:b/>
                <w:color w:val="auto"/>
              </w:rPr>
            </w:pPr>
            <w:r w:rsidRPr="0036616E">
              <w:rPr>
                <w:color w:val="auto"/>
              </w:rPr>
              <w:t xml:space="preserve">Napriek tomu, že vykonávanie predmetnej zmluvy nebude mať vplyv na vybrané oblasti, dohoda môže mať </w:t>
            </w:r>
            <w:r w:rsidRPr="0036616E">
              <w:rPr>
                <w:b/>
                <w:bCs/>
                <w:color w:val="auto"/>
              </w:rPr>
              <w:t>nepriamy pozitívny vplyv na podnikateľské subjekty</w:t>
            </w:r>
            <w:r w:rsidRPr="0036616E">
              <w:rPr>
                <w:color w:val="auto"/>
              </w:rPr>
              <w:t xml:space="preserve">, ktorý však v tejto fáze nie je možné presne popísať ani kvantifikovať. Pôjde najmä o dôsledok </w:t>
            </w:r>
            <w:r w:rsidRPr="0036616E">
              <w:rPr>
                <w:b/>
                <w:bCs/>
                <w:color w:val="auto"/>
              </w:rPr>
              <w:t>zintenzívnenia dialógu a spolupráce v oblasti obchodu a investícií</w:t>
            </w:r>
            <w:r w:rsidRPr="0036616E">
              <w:rPr>
                <w:color w:val="auto"/>
              </w:rPr>
              <w:t xml:space="preserve">, vrátane </w:t>
            </w:r>
            <w:r w:rsidRPr="0036616E">
              <w:rPr>
                <w:b/>
                <w:bCs/>
                <w:color w:val="auto"/>
              </w:rPr>
              <w:t>riešenia technických prekážok obchodu</w:t>
            </w:r>
            <w:r w:rsidRPr="0036616E">
              <w:rPr>
                <w:color w:val="auto"/>
              </w:rPr>
              <w:t xml:space="preserve">, </w:t>
            </w:r>
            <w:r w:rsidRPr="0036616E">
              <w:rPr>
                <w:b/>
                <w:bCs/>
                <w:color w:val="auto"/>
              </w:rPr>
              <w:t>colných otázok a uľahčovania obchodu</w:t>
            </w:r>
            <w:r w:rsidRPr="0036616E">
              <w:rPr>
                <w:color w:val="auto"/>
              </w:rPr>
              <w:t xml:space="preserve">, </w:t>
            </w:r>
            <w:r w:rsidRPr="0036616E">
              <w:rPr>
                <w:b/>
                <w:bCs/>
                <w:color w:val="auto"/>
              </w:rPr>
              <w:t>rozvoja a podpory investícií</w:t>
            </w:r>
            <w:r w:rsidRPr="0036616E">
              <w:rPr>
                <w:color w:val="auto"/>
              </w:rPr>
              <w:t xml:space="preserve">, ako aj </w:t>
            </w:r>
            <w:r w:rsidRPr="0036616E">
              <w:rPr>
                <w:b/>
                <w:bCs/>
                <w:color w:val="auto"/>
              </w:rPr>
              <w:t>spolupráce v oblasti služieb, hospodárskej súťaže a ochrany práv duševného vlastníctva</w:t>
            </w:r>
            <w:r w:rsidRPr="0036616E">
              <w:rPr>
                <w:color w:val="auto"/>
              </w:rPr>
              <w:t xml:space="preserve">, a to v kontexte </w:t>
            </w:r>
            <w:r w:rsidRPr="0036616E">
              <w:rPr>
                <w:b/>
                <w:bCs/>
                <w:color w:val="auto"/>
              </w:rPr>
              <w:t>posilnenia inštitucionálneho rámca spolupráce, pravidelného politického dialógu a aproximácie právnych a regulačných rámcov</w:t>
            </w:r>
            <w:r w:rsidRPr="0036616E">
              <w:rPr>
                <w:color w:val="auto"/>
              </w:rPr>
              <w:t xml:space="preserve"> medzi zmluvnými stranami.</w:t>
            </w:r>
          </w:p>
        </w:tc>
      </w:tr>
      <w:tr w:rsidR="00CD0015" w:rsidRPr="0036616E" w14:paraId="528D7685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2D7DEA2C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Kontakt na spracovateľa</w:t>
            </w:r>
          </w:p>
        </w:tc>
      </w:tr>
      <w:tr w:rsidR="00CD0015" w:rsidRPr="0036616E" w14:paraId="4948CD69" w14:textId="77777777" w:rsidTr="00CF216E">
        <w:trPr>
          <w:trHeight w:val="586"/>
        </w:trPr>
        <w:tc>
          <w:tcPr>
            <w:tcW w:w="9180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8B2AC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PhDr. Erik Lenhart</w:t>
            </w:r>
          </w:p>
          <w:p w14:paraId="20BB289C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Ministerstvo zahraničných vecí a európskych záležitostí Slovenskej republiky</w:t>
            </w:r>
          </w:p>
          <w:p w14:paraId="47119E05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>Politická sekcia</w:t>
            </w:r>
          </w:p>
          <w:p w14:paraId="09E80C3F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color w:val="auto"/>
              </w:rPr>
            </w:pPr>
            <w:r w:rsidRPr="0036616E">
              <w:rPr>
                <w:color w:val="auto"/>
              </w:rPr>
              <w:t xml:space="preserve">Odbor Ázie a </w:t>
            </w:r>
            <w:proofErr w:type="spellStart"/>
            <w:r w:rsidRPr="0036616E">
              <w:rPr>
                <w:color w:val="auto"/>
              </w:rPr>
              <w:t>Pacifiku</w:t>
            </w:r>
            <w:proofErr w:type="spellEnd"/>
          </w:p>
          <w:p w14:paraId="262A8BFA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i/>
                <w:color w:val="auto"/>
                <w:lang w:val="de-DE"/>
              </w:rPr>
            </w:pPr>
            <w:r w:rsidRPr="0036616E">
              <w:rPr>
                <w:color w:val="auto"/>
              </w:rPr>
              <w:lastRenderedPageBreak/>
              <w:t xml:space="preserve">t. č.: 02/5978 3458; e-mail: </w:t>
            </w:r>
            <w:hyperlink r:id="rId7" w:history="1">
              <w:r w:rsidRPr="0036616E">
                <w:rPr>
                  <w:rStyle w:val="Hypertextovprepojenie"/>
                  <w:color w:val="auto"/>
                </w:rPr>
                <w:t>erik.lenhart</w:t>
              </w:r>
              <w:r w:rsidRPr="0036616E">
                <w:rPr>
                  <w:rStyle w:val="Hypertextovprepojenie"/>
                  <w:color w:val="auto"/>
                  <w:lang w:val="de-DE"/>
                </w:rPr>
                <w:t>@mzv.sk</w:t>
              </w:r>
            </w:hyperlink>
            <w:r w:rsidRPr="0036616E">
              <w:rPr>
                <w:color w:val="auto"/>
                <w:lang w:val="de-DE"/>
              </w:rPr>
              <w:t xml:space="preserve"> </w:t>
            </w:r>
          </w:p>
        </w:tc>
      </w:tr>
      <w:tr w:rsidR="00CD0015" w:rsidRPr="0036616E" w14:paraId="7125F4D8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08FD1BF3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lastRenderedPageBreak/>
              <w:t>Zdroje</w:t>
            </w:r>
          </w:p>
        </w:tc>
      </w:tr>
      <w:tr w:rsidR="00CD0015" w:rsidRPr="0036616E" w14:paraId="1B1999C1" w14:textId="77777777" w:rsidTr="00CF216E">
        <w:trPr>
          <w:trHeight w:val="401"/>
        </w:trPr>
        <w:tc>
          <w:tcPr>
            <w:tcW w:w="9180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EEBD1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color w:val="auto"/>
              </w:rPr>
              <w:t>Úradný vestník ASEAN</w:t>
            </w:r>
          </w:p>
        </w:tc>
      </w:tr>
      <w:tr w:rsidR="00CD0015" w:rsidRPr="0036616E" w14:paraId="7540B9FB" w14:textId="77777777" w:rsidTr="00CF216E">
        <w:tc>
          <w:tcPr>
            <w:tcW w:w="91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402C3903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Stanovisko Komisie na posudzovanie vybraných vplyvov z PPK č. ..........</w:t>
            </w:r>
            <w:r w:rsidRPr="0036616E">
              <w:rPr>
                <w:color w:val="auto"/>
              </w:rPr>
              <w:t xml:space="preserve"> </w:t>
            </w:r>
          </w:p>
          <w:p w14:paraId="7B93EEE5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color w:val="auto"/>
              </w:rPr>
              <w:t>(v prípade, ak sa uskutočnilo v zmysle bodu 8.1 Jednotnej metodiky)</w:t>
            </w:r>
          </w:p>
        </w:tc>
      </w:tr>
      <w:tr w:rsidR="00CD0015" w:rsidRPr="0036616E" w14:paraId="5B05A1D2" w14:textId="77777777" w:rsidTr="00CF216E">
        <w:trPr>
          <w:trHeight w:val="70"/>
        </w:trPr>
        <w:tc>
          <w:tcPr>
            <w:tcW w:w="9180" w:type="dxa"/>
            <w:gridSpan w:val="12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BB683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color w:val="auto"/>
              </w:rPr>
              <w:t>Keďže nebol identifikovaný žiadny z vybraných vplyvov, v súlade s bodom 6.1 Jednotnej metodiky na posudzovanie vybraných vplyvov materiál nie je predkladaný na PPK.</w:t>
            </w:r>
          </w:p>
        </w:tc>
      </w:tr>
      <w:tr w:rsidR="00CD0015" w:rsidRPr="0036616E" w14:paraId="4D608DFF" w14:textId="77777777" w:rsidTr="00CF216E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80" w:type="dxa"/>
            <w:gridSpan w:val="12"/>
            <w:tcBorders>
              <w:top w:val="single" w:sz="4" w:space="0" w:color="auto"/>
            </w:tcBorders>
            <w:shd w:val="clear" w:color="auto" w:fill="E2E2E2"/>
          </w:tcPr>
          <w:p w14:paraId="021DD427" w14:textId="77777777" w:rsidR="00CD0015" w:rsidRPr="0036616E" w:rsidRDefault="00CD0015" w:rsidP="00CD0015">
            <w:pPr>
              <w:widowControl w:val="0"/>
              <w:numPr>
                <w:ilvl w:val="0"/>
                <w:numId w:val="1"/>
              </w:numPr>
              <w:spacing w:after="0"/>
              <w:jc w:val="left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Stanovisko Komisie na posudzovanie vybraných vplyvov zo záverečného posúdenia č. ..........</w:t>
            </w:r>
            <w:r w:rsidRPr="0036616E">
              <w:rPr>
                <w:color w:val="auto"/>
              </w:rPr>
              <w:t xml:space="preserve"> (v prípade, ak sa uskutočnilo v zmysle bodu 9.1. Jednotnej metodiky) </w:t>
            </w:r>
          </w:p>
        </w:tc>
      </w:tr>
      <w:tr w:rsidR="00CD0015" w:rsidRPr="0036616E" w14:paraId="4BC023D5" w14:textId="77777777" w:rsidTr="00CF216E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80" w:type="dxa"/>
            <w:gridSpan w:val="12"/>
            <w:shd w:val="clear" w:color="auto" w:fill="FFFFFF"/>
          </w:tcPr>
          <w:p w14:paraId="0C344177" w14:textId="77777777" w:rsidR="00CD0015" w:rsidRPr="0036616E" w:rsidRDefault="00CD0015" w:rsidP="00CF216E">
            <w:pPr>
              <w:widowControl w:val="0"/>
              <w:spacing w:after="0"/>
              <w:jc w:val="left"/>
              <w:rPr>
                <w:bCs/>
                <w:color w:val="auto"/>
              </w:rPr>
            </w:pPr>
          </w:p>
        </w:tc>
      </w:tr>
    </w:tbl>
    <w:bookmarkEnd w:id="0"/>
    <w:p w14:paraId="252B85A9" w14:textId="77777777" w:rsidR="00CD0015" w:rsidRPr="0036616E" w:rsidRDefault="00CD0015" w:rsidP="00CD0015">
      <w:pPr>
        <w:widowControl w:val="0"/>
        <w:spacing w:after="0"/>
        <w:jc w:val="left"/>
        <w:rPr>
          <w:color w:val="auto"/>
        </w:rPr>
      </w:pPr>
      <w:r w:rsidRPr="0036616E">
        <w:rPr>
          <w:color w:val="auto"/>
        </w:rPr>
        <w:t xml:space="preserve">* vyplniť iba v prípade, ak materiál nie je zahrnutý do Plánu práce vlády Slovenskej republiky alebo Plánu legislatívnych úloh vlády Slovenskej republiky. </w:t>
      </w:r>
    </w:p>
    <w:p w14:paraId="11B371B9" w14:textId="77777777" w:rsidR="00CD0015" w:rsidRPr="0036616E" w:rsidRDefault="00CD0015" w:rsidP="00CD0015">
      <w:pPr>
        <w:widowControl w:val="0"/>
        <w:spacing w:after="0"/>
        <w:jc w:val="left"/>
        <w:rPr>
          <w:color w:val="auto"/>
        </w:rPr>
      </w:pPr>
      <w:r w:rsidRPr="0036616E">
        <w:rPr>
          <w:color w:val="auto"/>
        </w:rPr>
        <w:t>** vyplniť iba v prípade, ak sa záverečné posúdenie vybraných vplyvov uskutočnilo v zmysle bodu 9.1. jednotnej metodiky.</w:t>
      </w:r>
    </w:p>
    <w:p w14:paraId="2C1E8B11" w14:textId="77777777" w:rsidR="00CD0015" w:rsidRPr="0036616E" w:rsidRDefault="00CD0015" w:rsidP="00CD0015">
      <w:pPr>
        <w:widowControl w:val="0"/>
        <w:spacing w:after="0"/>
        <w:jc w:val="left"/>
        <w:rPr>
          <w:color w:val="auto"/>
        </w:rPr>
      </w:pPr>
      <w:r w:rsidRPr="0036616E">
        <w:rPr>
          <w:color w:val="auto"/>
        </w:rPr>
        <w:t>*** posudzovanie sa týka len zmien v I. a II. pilieri univerzálneho systému dôchodkového zabezpečenia s identifikovaným dopadom od 0,1 % HDP (vrátane) na dlhodobom horizonte.</w:t>
      </w:r>
    </w:p>
    <w:p w14:paraId="2AC9E23E" w14:textId="77777777" w:rsidR="00CD0015" w:rsidRPr="0036616E" w:rsidRDefault="00CD0015" w:rsidP="00CD0015">
      <w:pPr>
        <w:widowControl w:val="0"/>
        <w:spacing w:after="0"/>
        <w:jc w:val="left"/>
        <w:rPr>
          <w:b/>
          <w:bCs/>
          <w:color w:val="auto"/>
        </w:rPr>
      </w:pPr>
    </w:p>
    <w:p w14:paraId="1DF940EA" w14:textId="77777777" w:rsidR="00CD0015" w:rsidRDefault="00CD0015" w:rsidP="00CD0015">
      <w:pPr>
        <w:widowControl w:val="0"/>
        <w:spacing w:after="0"/>
        <w:rPr>
          <w:b/>
          <w:color w:val="auto"/>
        </w:rPr>
      </w:pPr>
    </w:p>
    <w:p w14:paraId="5019ED15" w14:textId="77777777" w:rsidR="005447A3" w:rsidRDefault="005447A3"/>
    <w:sectPr w:rsidR="005447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6D408" w14:textId="77777777" w:rsidR="007451FA" w:rsidRDefault="007451FA" w:rsidP="00CD0015">
      <w:pPr>
        <w:spacing w:after="0" w:line="240" w:lineRule="auto"/>
      </w:pPr>
      <w:r>
        <w:separator/>
      </w:r>
    </w:p>
  </w:endnote>
  <w:endnote w:type="continuationSeparator" w:id="0">
    <w:p w14:paraId="1B5ACBED" w14:textId="77777777" w:rsidR="007451FA" w:rsidRDefault="007451FA" w:rsidP="00CD0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8A08E" w14:textId="778D0B96" w:rsidR="00CD0015" w:rsidRDefault="00CD001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67049" w14:textId="1D5F9969" w:rsidR="00CD0015" w:rsidRDefault="00CD001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F6406" w14:textId="491A9F57" w:rsidR="00CD0015" w:rsidRDefault="00CD001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D91C9" w14:textId="77777777" w:rsidR="007451FA" w:rsidRDefault="007451FA" w:rsidP="00CD0015">
      <w:pPr>
        <w:spacing w:after="0" w:line="240" w:lineRule="auto"/>
      </w:pPr>
      <w:r>
        <w:separator/>
      </w:r>
    </w:p>
  </w:footnote>
  <w:footnote w:type="continuationSeparator" w:id="0">
    <w:p w14:paraId="3E68BDB3" w14:textId="77777777" w:rsidR="007451FA" w:rsidRDefault="007451FA" w:rsidP="00CD0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C449B" w14:textId="7B5D65E3" w:rsidR="00CD0015" w:rsidRDefault="00CD001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86250" w14:textId="6B497012" w:rsidR="00CD0015" w:rsidRDefault="00CD001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08AE" w14:textId="5426B062" w:rsidR="00CD0015" w:rsidRDefault="00CD001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841968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015"/>
    <w:rsid w:val="00184070"/>
    <w:rsid w:val="00403D70"/>
    <w:rsid w:val="005447A3"/>
    <w:rsid w:val="007451FA"/>
    <w:rsid w:val="00CB65AD"/>
    <w:rsid w:val="00CD0015"/>
    <w:rsid w:val="00D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2FA07"/>
  <w15:chartTrackingRefBased/>
  <w15:docId w15:val="{103E9F90-11D8-4B01-A8AA-BC1713434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1"/>
        <w:lang w:val="en-US" w:eastAsia="ja-JP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015"/>
    <w:pPr>
      <w:spacing w:line="252" w:lineRule="auto"/>
      <w:jc w:val="both"/>
    </w:pPr>
    <w:rPr>
      <w:rFonts w:eastAsia="Times New Roman" w:cs="Calibri"/>
      <w:color w:val="000000"/>
      <w:kern w:val="0"/>
      <w:szCs w:val="22"/>
      <w:lang w:val="sk-SK" w:eastAsia="sk-SK" w:bidi="ar-SA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CD0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D0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D00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5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D00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D00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D00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D00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D00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D00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D001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D0015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D0015"/>
    <w:rPr>
      <w:rFonts w:asciiTheme="minorHAnsi" w:eastAsiaTheme="majorEastAsia" w:hAnsiTheme="minorHAnsi" w:cstheme="majorBidi"/>
      <w:color w:val="0F4761" w:themeColor="accent1" w:themeShade="BF"/>
      <w:sz w:val="28"/>
      <w:szCs w:val="25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D001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D001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D00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D00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D00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D0015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D0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NzovChar">
    <w:name w:val="Názov Char"/>
    <w:basedOn w:val="Predvolenpsmoodseku"/>
    <w:link w:val="Nzov"/>
    <w:uiPriority w:val="10"/>
    <w:rsid w:val="00CD001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D001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</w:rPr>
  </w:style>
  <w:style w:type="character" w:customStyle="1" w:styleId="PodtitulChar">
    <w:name w:val="Podtitul Char"/>
    <w:basedOn w:val="Predvolenpsmoodseku"/>
    <w:link w:val="Podtitul"/>
    <w:uiPriority w:val="11"/>
    <w:rsid w:val="00CD00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</w:rPr>
  </w:style>
  <w:style w:type="paragraph" w:styleId="Citcia">
    <w:name w:val="Quote"/>
    <w:basedOn w:val="Normlny"/>
    <w:next w:val="Normlny"/>
    <w:link w:val="CitciaChar"/>
    <w:uiPriority w:val="29"/>
    <w:qFormat/>
    <w:rsid w:val="00CD0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D001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D001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D001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D0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D001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D0015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CD0015"/>
    <w:rPr>
      <w:color w:val="467886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CD001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015"/>
    <w:rPr>
      <w:rFonts w:eastAsia="Times New Roman" w:cs="Calibri"/>
      <w:color w:val="000000"/>
      <w:kern w:val="0"/>
      <w:szCs w:val="22"/>
      <w:lang w:val="sk-SK" w:eastAsia="sk-SK" w:bidi="ar-SA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CD001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015"/>
    <w:rPr>
      <w:rFonts w:eastAsia="Times New Roman" w:cs="Calibri"/>
      <w:color w:val="000000"/>
      <w:kern w:val="0"/>
      <w:szCs w:val="22"/>
      <w:lang w:val="sk-SK" w:eastAsia="sk-SK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rik.lenhart@mzv.s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1223</Words>
  <Characters>6976</Characters>
  <Application>Microsoft Office Word</Application>
  <DocSecurity>0</DocSecurity>
  <Lines>58</Lines>
  <Paragraphs>16</Paragraphs>
  <ScaleCrop>false</ScaleCrop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Lenhart Erik /6TEO/MZV</dc:creator>
  <cp:keywords/>
  <dc:description/>
  <cp:lastModifiedBy>Lenhart Erik /6TEO/MZV</cp:lastModifiedBy>
  <cp:revision>1</cp:revision>
  <dcterms:created xsi:type="dcterms:W3CDTF">2026-08-11T10:47:00Z</dcterms:created>
  <dcterms:modified xsi:type="dcterms:W3CDTF">2026-08-11T10:48:00Z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c7a067-241f-4283-a795-648c046fe564_Enabled">
    <vt:lpwstr>true</vt:lpwstr>
  </property>
  <property fmtid="{D5CDD505-2E9C-101B-9397-08002B2CF9AE}" pid="3" name="MSIP_Label_80c7a067-241f-4283-a795-648c046fe564_SetDate">
    <vt:lpwstr>2026-08-11T10:47:39Z</vt:lpwstr>
  </property>
  <property fmtid="{D5CDD505-2E9C-101B-9397-08002B2CF9AE}" pid="4" name="MSIP_Label_80c7a067-241f-4283-a795-648c046fe564_Method">
    <vt:lpwstr>Privileged</vt:lpwstr>
  </property>
  <property fmtid="{D5CDD505-2E9C-101B-9397-08002B2CF9AE}" pid="5" name="MSIP_Label_80c7a067-241f-4283-a795-648c046fe564_Name">
    <vt:lpwstr>Bez označenia</vt:lpwstr>
  </property>
  <property fmtid="{D5CDD505-2E9C-101B-9397-08002B2CF9AE}" pid="6" name="MSIP_Label_80c7a067-241f-4283-a795-648c046fe564_SiteId">
    <vt:lpwstr>8fe5905d-1a8a-4469-a0d9-11f2c367f0ac</vt:lpwstr>
  </property>
  <property fmtid="{D5CDD505-2E9C-101B-9397-08002B2CF9AE}" pid="7" name="MSIP_Label_80c7a067-241f-4283-a795-648c046fe564_ActionId">
    <vt:lpwstr>a6d37704-0183-4615-a36b-536089c78c7c</vt:lpwstr>
  </property>
  <property fmtid="{D5CDD505-2E9C-101B-9397-08002B2CF9AE}" pid="8" name="MSIP_Label_80c7a067-241f-4283-a795-648c046fe564_ContentBits">
    <vt:lpwstr>0</vt:lpwstr>
  </property>
  <property fmtid="{D5CDD505-2E9C-101B-9397-08002B2CF9AE}" pid="9" name="MSIP_Label_80c7a067-241f-4283-a795-648c046fe564_Tag">
    <vt:lpwstr>10, 0, 1, 1</vt:lpwstr>
  </property>
</Properties>
</file>