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5EFAF" w14:textId="17FD2D6C" w:rsidR="00E66622" w:rsidRPr="00785E8D" w:rsidRDefault="00461B69" w:rsidP="00796EBE">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8"/>
          <w:lang w:val="en-US"/>
        </w:rPr>
        <w:t>VYHODNOTENIE PRIPOMIENKOVÉHO KONANIA</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Zákon, ktorým sa mení a dopĺňa zákon Národnej rady Slovenskej republiky č. 171/1993 Z. z. o Policajnom zbore v znení neskorších predpisov a ktorým sa menia a dopĺňajú niektoré</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LP/2025/691</w:t>
      </w:r>
    </w:p>
    <w:p w14:paraId="37B19B45" w14:textId="0784701B" w:rsidR="00362D69" w:rsidRPr="00362D69" w:rsidRDefault="00785E8D" w:rsidP="00362D69">
      <w:pPr>
        <w:spacing w:line="276" w:lineRule="auto"/>
        <w:rPr>
          <w:rFonts w:ascii="Times New Roman" w:eastAsia="Times New Roman" w:hAnsi="Times New Roman" w:cs="Times New Roman"/>
          <w:sz w:val="24"/>
          <w:szCs w:val="24"/>
        </w:rPr>
        <w:sectPr w:rsidR="00362D69" w:rsidRPr="00362D69" w:rsidSect="00362D69">
          <w:footerReference w:type="default" r:id="rId7"/>
          <w:pgSz w:w="15840" w:h="12240" w:orient="landscape"/>
          <w:pgMar w:top="1440" w:right="1440" w:bottom="1440" w:left="1440" w:header="720" w:footer="720" w:gutter="0"/>
          <w:cols w:space="720"/>
          <w:titlePg/>
          <w:docGrid w:linePitch="360"/>
        </w:sect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9275DB">
        <w:rPr>
          <w:rFonts w:ascii="Times New Roman" w:eastAsia="Times New Roman" w:hAnsi="Times New Roman" w:cs="Times New Roman"/>
          <w:sz w:val="24"/>
          <w:szCs w:val="24"/>
          <w:lang w:val="en-US"/>
        </w:rPr>
        <w:t>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009275DB">
        <w:rPr>
          <w:rFonts w:ascii="Times New Roman" w:eastAsia="Times New Roman" w:hAnsi="Times New Roman" w:cs="Times New Roman"/>
          <w:sz w:val="24"/>
          <w:szCs w:val="24"/>
          <w:lang w:val="en-US"/>
        </w:rPr>
        <w:t>:</w:t>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AD6CAE">
        <w:rPr>
          <w:rFonts w:ascii="Times New Roman" w:eastAsia="Times New Roman" w:hAnsi="Times New Roman" w:cs="Times New Roman"/>
          <w:sz w:val="24"/>
          <w:szCs w:val="24"/>
          <w:lang w:val="en-US"/>
        </w:rPr>
        <w:t>184/29</w:t>
      </w:r>
      <w:r w:rsidRPr="00785E8D">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vyhodnoten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w:t>
      </w:r>
      <w:r w:rsidR="009275DB">
        <w:rPr>
          <w:rFonts w:ascii="Times New Roman" w:eastAsia="Times New Roman" w:hAnsi="Times New Roman" w:cs="Times New Roman"/>
          <w:sz w:val="24"/>
          <w:szCs w:val="24"/>
          <w:lang w:val="en-US"/>
        </w:rPr>
        <w:t>:</w:t>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754CB0">
        <w:rPr>
          <w:rFonts w:ascii="Times New Roman" w:eastAsia="Times New Roman" w:hAnsi="Times New Roman" w:cs="Times New Roman"/>
          <w:sz w:val="24"/>
          <w:szCs w:val="24"/>
        </w:rPr>
        <w:t>184</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akceptovan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 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73DAE">
        <w:rPr>
          <w:rFonts w:ascii="Times New Roman" w:eastAsia="Times New Roman" w:hAnsi="Times New Roman" w:cs="Times New Roman"/>
          <w:sz w:val="24"/>
          <w:szCs w:val="24"/>
        </w:rPr>
        <w:t>134</w:t>
      </w:r>
      <w:r w:rsidR="00754CB0">
        <w:rPr>
          <w:rFonts w:ascii="Times New Roman" w:eastAsia="Times New Roman" w:hAnsi="Times New Roman" w:cs="Times New Roman"/>
          <w:sz w:val="24"/>
          <w:szCs w:val="24"/>
        </w:rPr>
        <w:t>/17</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31/</w:t>
      </w:r>
      <w:r w:rsidR="008E0404">
        <w:rPr>
          <w:rFonts w:ascii="Times New Roman" w:eastAsia="Times New Roman" w:hAnsi="Times New Roman" w:cs="Times New Roman"/>
          <w:sz w:val="24"/>
          <w:szCs w:val="24"/>
        </w:rPr>
        <w:t xml:space="preserve">10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AD6CAE">
        <w:rPr>
          <w:rFonts w:ascii="Times New Roman" w:eastAsia="Times New Roman" w:hAnsi="Times New Roman" w:cs="Times New Roman"/>
          <w:sz w:val="24"/>
          <w:szCs w:val="24"/>
        </w:rPr>
        <w:t>19</w:t>
      </w:r>
      <w:r w:rsidR="004A48F0">
        <w:rPr>
          <w:rFonts w:ascii="Times New Roman" w:eastAsia="Times New Roman" w:hAnsi="Times New Roman" w:cs="Times New Roman"/>
          <w:sz w:val="24"/>
          <w:szCs w:val="24"/>
        </w:rPr>
        <w:t>/2</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0</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hAnsi="Times New Roman" w:cs="Times New Roman"/>
          <w:sz w:val="24"/>
          <w:szCs w:val="24"/>
        </w:rPr>
        <w:t>0</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362D69">
        <w:rPr>
          <w:sz w:val="24"/>
          <w:szCs w:val="24"/>
        </w:rPr>
        <w:tab/>
      </w:r>
    </w:p>
    <w:p w14:paraId="7416DD4C" w14:textId="08345D1C"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lastRenderedPageBreak/>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14:paraId="6682E303" w14:textId="77777777"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14:paraId="1D01C82C" w14:textId="77777777"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t>Vyhodnotenie vecných pripomienok</w:t>
      </w:r>
    </w:p>
    <w:p w14:paraId="1F0934E1" w14:textId="3FA44BEE"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575AAFA8" w14:textId="1649F593" w:rsidTr="00343965">
        <w:trPr>
          <w:trHeight w:val="648"/>
          <w:jc w:val="center"/>
        </w:trPr>
        <w:tc>
          <w:tcPr>
            <w:tcW w:w="1944" w:type="dxa"/>
            <w:vAlign w:val="center"/>
          </w:tcPr>
          <w:p w14:paraId="4B4FA583" w14:textId="62ECD7CF"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498D7DF6" w14:textId="5D009C3B"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Typ</w:t>
            </w:r>
          </w:p>
        </w:tc>
        <w:tc>
          <w:tcPr>
            <w:tcW w:w="6480" w:type="dxa"/>
            <w:vAlign w:val="center"/>
          </w:tcPr>
          <w:p w14:paraId="54262B5F" w14:textId="62E0E806" w:rsidR="000B16EA" w:rsidRPr="00785E8D" w:rsidRDefault="000B16EA" w:rsidP="001E6254">
            <w:pPr>
              <w:keepLines/>
              <w:spacing w:after="0" w:line="240" w:lineRule="auto"/>
              <w:ind w:left="-21" w:firstLine="21"/>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41ADFD06" w14:textId="0CD664FD"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2E5EC5EB" w14:textId="449D24DE" w:rsidR="000B16EA"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trPr>
          <w:trHeight w:val="648"/>
        </w:trPr>
        <w:tc>
          <w:tcPr>
            <w:vAlign w:val="top"/>
          </w:tcPr>
          <w:p>
            <w:pPr>
              <w:spacing w:after="0"/>
              <w:jc w:val="center"/>
            </w:pPr>
            <w:r>
              <w:rPr>
                <w:b w:val="on"/>
                <w:color w:val="000000"/>
                <w:rFonts w:ascii="Times New Roman" w:hAnsi="Times New Roman" w:cs="Times New Roman" w:eastAsia="Times New Roman"/>
                <w:sz w:val="24"/>
              </w:rPr>
              <w:t>ASMOS</w:t>
              <w:br/>
            </w:r>
            <w:r>
              <w:rPr>
                <w:b w:val="off"/>
                <w:color w:val="000000"/>
                <w:rFonts w:ascii="Times New Roman" w:hAnsi="Times New Roman" w:cs="Times New Roman" w:eastAsia="Times New Roman"/>
                <w:sz w:val="24"/>
              </w:rPr>
              <w:t>Asociácia mobilných operátorov Slovenska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bod 61.</w:t>
              <w:br/>
            </w:r>
            <w:r>
              <w:rPr>
                <w:b w:val="off"/>
                <w:color w:val="000000"/>
                <w:rFonts w:ascii="Times New Roman" w:hAnsi="Times New Roman" w:cs="Times New Roman" w:eastAsia="Times New Roman"/>
                <w:sz w:val="24"/>
              </w:rPr>
              <w:t>Zásadná pripomienka: V Čl. I sa v bode 61 vypúšťa navrhovaný § 76 ods. 6, nasledujúce odseky sa primerane prečíslujú.</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Navrhované ustanovenie § 76 ods. 6  zákona č. 171/1993 Z. z. o Policajnom zbore, ktoré umožňuje Policajnému zboru zisťovať prevádzkové a  lokalizačné údaje bez príkazu súdu (napr. len pri hrozbe, nie pri páchaní trestného činu), neobstojí v teste legality, legitimity a proporcionality zásahu do základných práv a slobôd. Navrhované ustanovenie je v rozpore s Ústavou Slovenskej republiky, resp. s medzinárodnoprávnymi záväzkami Slovenskej republiky.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Akékoľvek obmedzenie základných práv a slobôd musí podliehať kontrole zo strany nezávislého a nestranného súdu.</w:t>
              <w:br/>
            </w:r>
            <w:r>
              <w:rPr>
                <w:b w:val="off"/>
                <w:color w:val="000000"/>
                <w:rFonts w:ascii="Times New Roman" w:hAnsi="Times New Roman" w:cs="Times New Roman" w:eastAsia="Times New Roman"/>
                <w:sz w:val="24"/>
              </w:rPr>
              <w:t>Dotknuté osoby nemajú k dispozícii právny prostriedok, na základe ktorého by bolo možné domáhať sa súdneho prieskumu postupu orgánov činných v trestnom konaní pri získavaní a nakladaní s predmetnými údajmi. Zároveň je potrebné uviesť, že získavanie prevádzkových údajov, lokalizačných údajov a údajov komunikujúcich strán napr. v boji proti terorizmu sa spravuje ustanoveniami § 76a ods. 3 zákona č. 171/1993 Z. z. o Policajnom zbore, na ktorý nadväzuje § 76a ods. 4 až 8, v ktorých sú, na rozdiel od navrhovaného ustanovenia § 76 ods. 6, poskytnuté záruky, akým spôsobom bude nakladané s takto získanými informáciami.</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bolo ustanovenie § 76 ods. 6 nahradené zmenou v zákone o elektronických komunikáciách (§ 117 ods. 7 a 8).</w:t>
            </w:r>
          </w:p>
        </w:tc>
      </w:tr>
      <w:tr>
        <w:trPr>
          <w:trHeight w:val="648"/>
        </w:trPr>
        <w:tc>
          <w:tcPr>
            <w:vAlign w:val="top"/>
          </w:tcPr>
          <w:p>
            <w:pPr>
              <w:spacing w:after="0"/>
              <w:jc w:val="center"/>
            </w:pPr>
            <w:r>
              <w:rPr>
                <w:b w:val="on"/>
                <w:color w:val="000000"/>
                <w:rFonts w:ascii="Times New Roman" w:hAnsi="Times New Roman" w:cs="Times New Roman" w:eastAsia="Times New Roman"/>
                <w:sz w:val="24"/>
              </w:rPr>
              <w:t>ASMOS</w:t>
              <w:br/>
            </w:r>
            <w:r>
              <w:rPr>
                <w:b w:val="off"/>
                <w:color w:val="000000"/>
                <w:rFonts w:ascii="Times New Roman" w:hAnsi="Times New Roman" w:cs="Times New Roman" w:eastAsia="Times New Roman"/>
                <w:sz w:val="24"/>
              </w:rPr>
              <w:t>Asociácia mobilných operátorov Slovenska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III. § bod 1.</w:t>
              <w:br/>
            </w:r>
            <w:r>
              <w:rPr>
                <w:b w:val="off"/>
                <w:color w:val="000000"/>
                <w:rFonts w:ascii="Times New Roman" w:hAnsi="Times New Roman" w:cs="Times New Roman" w:eastAsia="Times New Roman"/>
                <w:sz w:val="24"/>
              </w:rPr>
              <w:t>Zásadná pripomienka: V Čl. III., sa vypúšťa bod 1.</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V spojitosti s predloženou pripomienkou k Čl. I, bod 61 (navrhované znenie § 76 ods. 6) požadujeme vypustiť navrhovanú úpravu § 117 ods. 6 zákona č. 452/2021 Z. z. o elektronických komunikáciách, t.j.  vypúšťajú sa navrhované slová „nebezpečnom páchateľovi,“.</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ASMOS</w:t>
              <w:br/>
            </w:r>
            <w:r>
              <w:rPr>
                <w:b w:val="off"/>
                <w:color w:val="000000"/>
                <w:rFonts w:ascii="Times New Roman" w:hAnsi="Times New Roman" w:cs="Times New Roman" w:eastAsia="Times New Roman"/>
                <w:sz w:val="24"/>
              </w:rPr>
              <w:t>Asociácia mobilných operátorov Slovenska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III. § bod 2.</w:t>
              <w:br/>
            </w:r>
            <w:r>
              <w:rPr>
                <w:b w:val="off"/>
                <w:color w:val="000000"/>
                <w:rFonts w:ascii="Times New Roman" w:hAnsi="Times New Roman" w:cs="Times New Roman" w:eastAsia="Times New Roman"/>
                <w:sz w:val="24"/>
              </w:rPr>
              <w:t>V Čl. III sa v bode 2 ponechávajú pôvodné citácie.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V spojitosti s ďalšími predloženými pripomienkami sa v poznámke pod čiarou k odkazu 130 vracia pôvodná citácia „ods. 4 a 5“.</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Dopravný úrad</w:t>
              <w:br/>
            </w:r>
            <w:r>
              <w:rPr>
                <w:b w:val="off"/>
                <w:color w:val="000000"/>
                <w:rFonts w:ascii="Times New Roman" w:hAnsi="Times New Roman" w:cs="Times New Roman" w:eastAsia="Times New Roman"/>
                <w:sz w:val="24"/>
              </w:rPr>
              <w:t>Dopravný úrad</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čl. I</w:t>
              <w:br/>
            </w:r>
            <w:r>
              <w:rPr>
                <w:b w:val="off"/>
                <w:color w:val="000000"/>
                <w:rFonts w:ascii="Times New Roman" w:hAnsi="Times New Roman" w:cs="Times New Roman" w:eastAsia="Times New Roman"/>
                <w:sz w:val="24"/>
              </w:rPr>
              <w:t xml:space="preserve">V § 69h ods. 11 navrhujeme používať legislatívny pojem „veliteľ lietadla“ v súlade s terminológiou používanou zákonom č. 143/1998 Z. z. o civilnom letectve (letecký zákon) a o zmene a doplnení niektorých zákonov v znení neskorších predpisov (ďalej len „letecký zákon“) a s relevantnými ustanoveniami práva Európskej únie, najmä s nariadením Komisie (EÚ) č. 965/2012 z 5. októbra 2012, ktorým sa ustanovujú technické požiadavky a administratívne postupy týkajúce sa leteckej prevádzky podľa nariadenia Európskeho parlamentu a Rady (ES) 216/2008  v platnom znení.  </w:t>
              <w:br/>
            </w:r>
            <w:r>
              <w:rPr>
                <w:b w:val="off"/>
                <w:color w:val="000000"/>
                <w:rFonts w:ascii="Times New Roman" w:hAnsi="Times New Roman" w:cs="Times New Roman" w:eastAsia="Times New Roman"/>
                <w:sz w:val="24"/>
              </w:rPr>
              <w:t>Odôvodnenie: jednotné používanie právnych pojmov s vymedzeným významom v celom právnom poriadku, a to podľa § 3 ods. 3 zákona č. 400/2015 Z. z. o tvorbe právnych predpisov a o Zbierke zákonov Slovenskej republiky a o zmene a doplnení niektorých zákonov a v súlade s Legislatívnymi pravidlami vlády Slovenskej republiky.</w:t>
              <w:br/>
            </w:r>
            <w:r>
              <w:rPr>
                <w:b w:val="off"/>
                <w:color w:val="000000"/>
                <w:rFonts w:ascii="Times New Roman" w:hAnsi="Times New Roman" w:cs="Times New Roman" w:eastAsia="Times New Roman"/>
                <w:sz w:val="24"/>
              </w:rPr>
              <w:t xml:space="preserve">Podľa § 20 ods. 1 leteckého zákona sa veliteľom lietadla rozumie pilot, ktorý zodpovedá za stav lietadla, spôsobilosť posádky lietadla, prípravu a vykonanie letu.  </w:t>
              <w:br/>
            </w:r>
            <w:r>
              <w:rPr>
                <w:b w:val="off"/>
                <w:color w:val="000000"/>
                <w:rFonts w:ascii="Times New Roman" w:hAnsi="Times New Roman" w:cs="Times New Roman" w:eastAsia="Times New Roman"/>
                <w:sz w:val="24"/>
              </w:rPr>
              <w:t xml:space="preserve">Právna úprava v § 69h ods. 11 návrhu zákona vymedzuje veliteľa lietadla ako pilota určeného prevádzkovateľom lietadla alebo vlastníkom lietadla v prípade všeobecného letectva, ktorý zodpovedá za plnenie povinností veliteľa a za bezpečné vykonanie letu. </w:t>
              <w:br/>
            </w:r>
            <w:r>
              <w:rPr>
                <w:b w:val="off"/>
                <w:color w:val="000000"/>
                <w:rFonts w:ascii="Times New Roman" w:hAnsi="Times New Roman" w:cs="Times New Roman" w:eastAsia="Times New Roman"/>
                <w:sz w:val="24"/>
              </w:rPr>
              <w:t xml:space="preserve">V súlade s § 2 leteckého zákona je potrebné rozlišovať medzi leteckým prevádzkovateľom a prevádzkovateľom lietadla. Leteckým prevádzkovateľom je podľa § 2 písm. f) leteckého zákona prevádzkovateľ lietadla, ktorý je držiteľom osvedčenia leteckého prevádzkovateľa alebo povolenia na vykonávanie leteckej činnosti za odplatu. Prevádzkovateľ lietadla je podľa § 2 písm. e) leteckého zákona právnická osoba, ktorá používa lietadlo ako vlastník alebo na inom právnom základe a ktorá zodpovedá za zaistenie bezpečnosti jeho prevádzky. 						      </w:t>
              <w:br/>
            </w:r>
            <w:r>
              <w:rPr>
                <w:b w:val="off"/>
                <w:color w:val="000000"/>
                <w:rFonts w:ascii="Times New Roman" w:hAnsi="Times New Roman" w:cs="Times New Roman" w:eastAsia="Times New Roman"/>
                <w:sz w:val="24"/>
              </w:rPr>
              <w:t>Z uvedených dôvodov navrhujeme, aby zavedený pojem „veliteľ lietadla“ v § 69h ods. 11 návrhu zákona bol terminologicky zjednotený s pojmom uvedeným v leteckom zákone a v relevantných nariadeniach EÚ, a to s cieľom zabezpečiť terminologickú jednotu a súlad vnútroštátnej úpravy s európskym právom.</w:t>
              <w:br/>
            </w:r>
            <w:r>
              <w:rPr>
                <w:b w:val="off"/>
                <w:color w:val="000000"/>
                <w:rFonts w:ascii="Times New Roman" w:hAnsi="Times New Roman" w:cs="Times New Roman" w:eastAsia="Times New Roman"/>
                <w:sz w:val="24"/>
              </w:rPr>
              <w:t>Uvedenú pripomienku Dopravný úrad uplatňuje ako obyčajnú</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Pojem „veliteľ lietadla“, ako aj jeho vymedzenie bolo z návrhu zákona vypustené.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1. K čl. I bodu 1 (§ 17c) – Z:</w:t>
              <w:br/>
            </w:r>
            <w:r>
              <w:rPr>
                <w:b w:val="off"/>
                <w:color w:val="000000"/>
                <w:rFonts w:ascii="Times New Roman" w:hAnsi="Times New Roman" w:cs="Times New Roman" w:eastAsia="Times New Roman"/>
                <w:sz w:val="24"/>
              </w:rPr>
              <w:t>V označenej veci Generálna prokuratúra Slovenskej republiky (ďalej len „Generálna prokuratúra“) po posúdení návrhu zákona, ktorým sa mení a dopĺňa zákon Národnej rady Slovenskej republiky č. 171/1993 Z. z. o Policajnom zbore v znení neskorších predpisov a ktorým sa menia a dopĺňajú niektoré zákony (LP/2025/691) (ďalej len „návrh zákona“) predloženého na pripomienkové konanie, uplatňuje k návrhu zákona tieto pripomienky: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1. K čl. I bodu 1 (§ 17c) – Z:</w:t>
              <w:br/>
            </w:r>
            <w:r>
              <w:rPr>
                <w:b w:val="off"/>
                <w:color w:val="000000"/>
                <w:rFonts w:ascii="Times New Roman" w:hAnsi="Times New Roman" w:cs="Times New Roman" w:eastAsia="Times New Roman"/>
                <w:sz w:val="24"/>
              </w:rPr>
              <w:t>A. Navrhujeme v § 17c uviesť odsek 3 v tomto znení:</w:t>
              <w:br/>
            </w:r>
            <w:r>
              <w:rPr>
                <w:b w:val="off"/>
                <w:color w:val="000000"/>
                <w:rFonts w:ascii="Times New Roman" w:hAnsi="Times New Roman" w:cs="Times New Roman" w:eastAsia="Times New Roman"/>
                <w:sz w:val="24"/>
              </w:rPr>
              <w:t>„(3) O predvedení osoby a jej odovzdaní policajt spíše úradný záznam, ktorý obsahuje osobné údaje predvedenej osoby v rozsahu podľa § 76a ods. 8, dôvod predvedenia, čas a miesto obmedzenia osobnej slobody predvedenej osoby, osobné údaje osoby, ktorej bola predvedená osoba odovzdaná v rozsahu podľa § 76a ods. 8, vzťah tejto osoby k predvedenej osobe a čas a miesto odovzdania predvedenej osoby.“.</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Odsek 3 bol upravený.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5. K čl. I bodu 12 (§ 36) – Z:</w:t>
              <w:br/>
            </w:r>
            <w:r>
              <w:rPr>
                <w:b w:val="off"/>
                <w:color w:val="000000"/>
                <w:rFonts w:ascii="Times New Roman" w:hAnsi="Times New Roman" w:cs="Times New Roman" w:eastAsia="Times New Roman"/>
                <w:sz w:val="24"/>
              </w:rPr>
              <w:t>Navrhujeme v § 36 uviesť prvú vetu v tomto znení:</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 plnení úloh v boji proti terorizmu alebo extrémizmu, v boji proti legalizácii výnosov z trestnej činnosti a financovaniu terorizmu,1) pri odhaľovaní trestnej činnosti organizovanej v spojení s cudzinou alebo organizovanej trestnej činnosti súvisiacej s neoprávnenou výrobou, prechovávaním omamnej látky, psychotropnej látky, drogového prekurzora alebo predmetu určeného na ich výrobu a obchodovaním s nimi, s falšovaním, pozmeňovaním a neoprávnenou výrobou peňazí, kolkových známok a cenných papierov, pri odhaľovaní iných zločinov,18) pri poskytovaní ochrany a pomoci ohrozenému svedkovi a chránenému svedkovi podľa osobitného predpisu,2a) pri operatívnej ochrane legalizanta a agenta, pri odhaľovaní daňových únikov a pri odhaľovaní úmyselných trestných činov podľa druhého a tretieho dielu ôsmej hlavy druhej časti Trestného zákona, za ktoré možno uložiť trest odňatia slobody s hornou hranicou najmenej dva roky, pri odhaľovaní úmyselných trestných činov podľa druhého dielu šiestej hlavy druhej časti Trestného zákona, za ktoré možno uložiť trest odňatia slobody s hornou hranicou najmenej dva roky alebo iných úmyselných trestných činov, ktorých stíhanie upravuje medzinárodná zmluva, ktorou je Slovenská republika viazaná, a pri zisťovaní ich páchateľov a pátraní po nich je Policajný zbor oprávnený používať informačno-technické prostriedky.“.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vecnú pripomienku korešpondujúcu so zákonným pomenovaním trestných činov ustanovených v Trestnom zákone.</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8. K čl. I bodu 36 (§ 69i ods. 9, 11 a 12) – Z:</w:t>
              <w:br/>
            </w:r>
            <w:r>
              <w:rPr>
                <w:b w:val="off"/>
                <w:color w:val="000000"/>
                <w:rFonts w:ascii="Times New Roman" w:hAnsi="Times New Roman" w:cs="Times New Roman" w:eastAsia="Times New Roman"/>
                <w:sz w:val="24"/>
              </w:rPr>
              <w:t>A. Navrhujeme v § 69i ods. 9 za slovami „je veliteľ lietadla“ vypustiť čiarku, slová „s výnimkou letov lietadiel v colných službách, vo vojenských službách, v policajných službách a lietadiel vykonávajúcich lety v štátnom záujme podľa osobitného predpisu,“ odkaz 27eeh a poznámku pod čiarou k tomuto odkazu.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xml:space="preserve">Ide o vecnú pripomienku.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Nový odsek 9 je síce v súlade s Dohovorom o medzinárodnom civilnom letectve (vyhláška ministra zahraničných vecí č. 147/1947 Zb. a oznámenie Ministerstva zahraničných vecí Slovenskej republiky č. 196/1995 Z. z.) a nariadením Európskeho parlamentu a Rady (EÚ) 2016/399 z 9. marca 2016, ktorým sa ustanovuje kódex Únie o pravidlách upravujúcich pohyb osôb cez hranice (Kódex schengenských hraníc), ale nad rámec uvedených právnych aktov a bez osobitnej úpravy ustanovuje výnimku z tzv. oznamovacej povinnosti vo vzťahu k letom lietadiel v colných službách, vo vojenských službách, v policajných službách a lietadiel vykonávajúcich lety v štátnom záujme podľa osobitného predpisu [pozri § 1 ods. 3 zákona č. 143/1998 o civilnom letectve (letecký zákon) a o zmene a doplnení niektorých zákonov].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V súčasnosti pre leteckého dopravcu vykonávajúceho lety lietadlami v colných službách, vo vojenských službách, v policajných službách a lietadlami vykonávajúcimi lety v štátnom záujme podľa leteckého zákona (pozri § 1 ods. 3 a § 4 ods. 3) je ustanovená v § 69i ods. 1 zákona Národnej rady Slovenskej republiky č. 171/1993 Z. z. o Policajnom zbore (ďalej len „zákon č. 171/1993 Z. z.“) povinnosť poskytovať Národnej ústredni informácií o pasažieroch (ďalej len „národná ústredňa“) záznam o cestujúcom pri každom lete mimo Európskej únie, ako aj pri každom lete v rámci Európskej únie. Predmetom tzv. oznamovacej povinnosti sú údaje o cestujúcom, ktoré môžu byť použité na účely ich spracovania národnou ústredňou alebo poskytnuté na základe žiadosti príslušnému orgánu Slovenskej republiky, Europolu, členskému štátu Európskej únie alebo tretiemu štátu (pozri § 69j až 69l zákona č. 171/1993 Z. z.). </w:t>
              <w:br/>
            </w:r>
            <w:r>
              <w:rPr>
                <w:b w:val="off"/>
                <w:color w:val="000000"/>
                <w:rFonts w:ascii="Times New Roman" w:hAnsi="Times New Roman" w:cs="Times New Roman" w:eastAsia="Times New Roman"/>
                <w:sz w:val="24"/>
              </w:rPr>
              <w:t>Generálna prokuratúra nezistila právne relevantný dôvod na uplatňovanie výnimky z tzv. oznamovacej povinnosti pre štátne lietadlá.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B. Navrhujeme v § 69i ods. 11 a 12 za slová „bezodkladne po tom“ vložiť čiarku.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pripomienku.</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Po vysvetlení problematiky bol rozpor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11. K čl. I bodu 57 (§ 69o) – Z:</w:t>
              <w:br/>
            </w:r>
            <w:r>
              <w:rPr>
                <w:b w:val="off"/>
                <w:color w:val="000000"/>
                <w:rFonts w:ascii="Times New Roman" w:hAnsi="Times New Roman" w:cs="Times New Roman" w:eastAsia="Times New Roman"/>
                <w:sz w:val="24"/>
              </w:rPr>
              <w:t>A. Navrhujeme nadpis § 69o uviesť v tomto znení:</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69o</w:t>
              <w:br/>
            </w:r>
            <w:r>
              <w:rPr>
                <w:b w:val="off"/>
                <w:color w:val="000000"/>
                <w:rFonts w:ascii="Times New Roman" w:hAnsi="Times New Roman" w:cs="Times New Roman" w:eastAsia="Times New Roman"/>
                <w:sz w:val="24"/>
              </w:rPr>
              <w:t>Priestupky a správne delikty“.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B. Navrhujeme v § 69o ods. 6 uviesť prvú vetu v tomto znení:</w:t>
              <w:br/>
            </w:r>
            <w:r>
              <w:rPr>
                <w:b w:val="off"/>
                <w:color w:val="000000"/>
                <w:rFonts w:ascii="Times New Roman" w:hAnsi="Times New Roman" w:cs="Times New Roman" w:eastAsia="Times New Roman"/>
                <w:sz w:val="24"/>
              </w:rPr>
              <w:t>„Pokutu podľa odsekov 3 až 5 možno uložiť do jedného roka odo dňa, keď sa národná ústredňa o porušení povinnosti dozvedela, najneskôr však do troch rokov odo dňa, keď k porušeniu povinnosti došlo.“.</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 Ustanovenie § 69o ods. 6 sa systematicky a vnútorne vzťahuje výlučne na správne delikty ustanovené v odsekoch 3 až 5, nie na priestupok ustanovený v odseku 1.</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je zásadná. </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C. Navrhujeme v § 69o za odsek 9 vložiť nový odsek 10, ktorý znie:</w:t>
              <w:br/>
            </w:r>
            <w:r>
              <w:rPr>
                <w:b w:val="off"/>
                <w:color w:val="000000"/>
                <w:rFonts w:ascii="Times New Roman" w:hAnsi="Times New Roman" w:cs="Times New Roman" w:eastAsia="Times New Roman"/>
                <w:sz w:val="24"/>
              </w:rPr>
              <w:t>„(10) Na priestupok a jeho prejednávanie sa vzťahuje všeobecný predpis o priestupkoch.2)“.</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Doterajší odsek 10 sa označuje ako odsek 11.</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vecnú pripomienku. Na priestupok ustanovený v § 69o ods. 1 sa musí vzťahovať výlučne zákon Slovenskej národnej rady č. 372/1990 Zb. o priestupkoch v znení neskorších predpisov.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12. K čl. I bodu 61 (§ 76 ods. 6) – Z:</w:t>
              <w:br/>
            </w:r>
            <w:r>
              <w:rPr>
                <w:b w:val="off"/>
                <w:color w:val="000000"/>
                <w:rFonts w:ascii="Times New Roman" w:hAnsi="Times New Roman" w:cs="Times New Roman" w:eastAsia="Times New Roman"/>
                <w:sz w:val="24"/>
              </w:rPr>
              <w:t>Navrhujeme v § 76 uviesť odsek 6 v tomto znení:</w:t>
              <w:br/>
            </w:r>
            <w:r>
              <w:rPr>
                <w:b w:val="off"/>
                <w:color w:val="000000"/>
                <w:rFonts w:ascii="Times New Roman" w:hAnsi="Times New Roman" w:cs="Times New Roman" w:eastAsia="Times New Roman"/>
                <w:sz w:val="24"/>
              </w:rPr>
              <w:t>„(6) Policajný zbor je oprávnený vo výnimočnom prípade, ak je bezprostredne ohrozený život alebo zdravie pri pátraní po nebezpečnom páchateľovi, a to aj doposiaľ nezistenom, ktorý hrozí spáchaním alebo pácha niektorý z trestných činov terorizmu, trestný čin úkladnej vraždy, vraždy, pozbavenia osobnej slobody, brania rukojemníka, vydieračského únosu, únosu, úmyselnej nedovolenej výroby a držania jadrových materiálov, rádioaktívnych látok, vysoko rizikových chemických látok, jedov a vysoko rizikových biologických agensov a toxínov alebo bezprostredne po tom, ako niektorý z týchto trestných činov spáchal, aby sa zamedzilo pokračovaniu v trestnej činnosti, dokonaniu trestného činu, o ktorý sa pokúsil, alebo vykonaniu trestného činu, ktorý pripravoval, ktorým hrozil, alebo hrozí, zisťovať prevádzkové a lokalizačné údaje týkajúce sa nebezpečného páchateľa, a to aj prostredníctvom diaľkového, nepretržitého a priameho prístupu do informačného systému právnických osôb a fyzických osôb, ktoré prevádzkujú elektronické komunikačné siete alebo poskytujú elektronické komunikačné služby.28ha)“.</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vecnú pripomienku korešpondujúcu s terminológiou ustanovenou v Trestnom poriadku a so zákonným pomenovaním trestného činu ustanoveného v Trestnom zákone.</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bude navrhovaný § 76 ods. 6 zákona. č. 171/1993 Z. z. nahradený zmenou v zákone č. 452/2021 Z. z. o elektronických komunikáciách nasledovne: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2.	V § 117 ods. 7 sa na konci pripája táto veta: „Ak ide o vec týkajúcu sa obrany štátu a bezpečnosti štátu alebo trestných činov vymedzených osobitným predpisom,131)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3.	V § 117 odsek 8 znie:</w:t>
              <w:br/>
            </w:r>
            <w:r>
              <w:rPr>
                <w:b w:val="off"/>
                <w:color w:val="000000"/>
                <w:rFonts w:ascii="Times New Roman" w:hAnsi="Times New Roman" w:cs="Times New Roman" w:eastAsia="Times New Roman"/>
                <w:sz w:val="24"/>
              </w:rPr>
              <w:t>„(8) Ak ide o vec týkajúcu sa obrany štátu a bezpečnosti štátu alebo trestných činov vymedzených osobitným predpisom,131) ktorá neznesie odklad a súhlas súdu podľa odseku 7 nemožno získať vopred, údaje podľa odseku 6 sa poskytnú bez súhlasu súdu buď na základe žiadosti iného orgánu štátu podľa § 109 ods. 9 doručenej podniku v písomnej forme alebo dohodnutým spôsobom v šifrovanej forme alebo spôsobom uvedeným v odseku 7 poslednej vety. Iný orgán štátu podľa § 109 ods. 9 je povinný doručenie žiadosti podniku podľa predchádzajúcej vety alebo začatie zisťovania prevádzkových a lokalizačných údajov spôsobom podľa odseku 7 poslednej vety oznámiť zákonnému sudcovi do jednej hodiny od doručenia žiadosti alebo začatia zisťovania prevádzkových a lokalizačných údajov a bezodkladne predložiť zákonnému sudcovi žiadosť o dodatočný písomný súhlas (ďalej len „dodatočný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2. K čl. I bodu 2 (§ 18 ods. 6) – O:</w:t>
              <w:br/>
            </w:r>
            <w:r>
              <w:rPr>
                <w:b w:val="off"/>
                <w:color w:val="000000"/>
                <w:rFonts w:ascii="Times New Roman" w:hAnsi="Times New Roman" w:cs="Times New Roman" w:eastAsia="Times New Roman"/>
                <w:sz w:val="24"/>
              </w:rPr>
              <w:t>Navrhujeme novelizačný bod 2 uviesť v tomto znení:</w:t>
              <w:br/>
            </w:r>
            <w:r>
              <w:rPr>
                <w:b w:val="off"/>
                <w:color w:val="000000"/>
                <w:rFonts w:ascii="Times New Roman" w:hAnsi="Times New Roman" w:cs="Times New Roman" w:eastAsia="Times New Roman"/>
                <w:sz w:val="24"/>
              </w:rPr>
              <w:t>„2. V § 18 ods. 6 sa slová „osobu pozbavenú spôsobilosti na právne úkony“ nahrádzajú slovami „osobu, ktorej spôsobilosť na právne úkony je obmedzená“, slová „duševne chorú“ sa nahrádzajú slovami „trpiacu duševnou poruchou“ a na konci sa pripájajú tieto vety:</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„Ak nebolo možné odovzdať osobu vyhlásenú za nezvestnú, policajt to poznačí v úradnom zázname spolu s uvedením dôvodu, pre ktorý nebolo možné osobu odovzdať. Ak nebolo možné odovzdať osobu, ktorá nie je plnoletá, policajt bezodkladne upovedomí orgán sociálnoprávnej ochrany detí a sociálnej kurately, čo poznačí v úradnom zázname.“.“.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3. K čl. I bodu 3 (§ 20a) – O:</w:t>
              <w:br/>
            </w:r>
            <w:r>
              <w:rPr>
                <w:b w:val="off"/>
                <w:color w:val="000000"/>
                <w:rFonts w:ascii="Times New Roman" w:hAnsi="Times New Roman" w:cs="Times New Roman" w:eastAsia="Times New Roman"/>
                <w:sz w:val="24"/>
              </w:rPr>
              <w:t>A. Navrhujeme v § 20a ods. 2 za slovami „Policajt je oprávnený získané biometrické údaje spracúvať“ vypustiť čiarku a slová „na účel ich vyhľadávania a porovnávania“ nahradiť slovami „na účely ich vyhľadávania a porovnávania“.</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B. Navrhujeme v § 20a ods. 3 za slovami „Biometrické údaje, ktoré policajt získa podľa odseku 2“ vložiť čiarku.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C. Navrhujeme v § 20a ods. 5 slová „osobe staršej ako 6 rokov“ nahradiť slovami „osobe staršej ako šesť rokov“.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pripomienku.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4. K čl. I bodu 7 [§ 29a ods. 1 písm. c)] – O:</w:t>
              <w:br/>
            </w:r>
            <w:r>
              <w:rPr>
                <w:b w:val="off"/>
                <w:color w:val="000000"/>
                <w:rFonts w:ascii="Times New Roman" w:hAnsi="Times New Roman" w:cs="Times New Roman" w:eastAsia="Times New Roman"/>
                <w:sz w:val="24"/>
              </w:rPr>
              <w:t>Navrhujeme v § 29a ods. 1 písm. c) uviesť prvú vetu v tomto znení:</w:t>
              <w:br/>
            </w:r>
            <w:r>
              <w:rPr>
                <w:b w:val="off"/>
                <w:color w:val="000000"/>
                <w:rFonts w:ascii="Times New Roman" w:hAnsi="Times New Roman" w:cs="Times New Roman" w:eastAsia="Times New Roman"/>
                <w:sz w:val="24"/>
              </w:rPr>
              <w:t>„nazerať do evidencií bez ohľadu na spôsob ich vedenia, účtovných písomností, listín a iných dokladov, spisov a záznamov na technickom nosiči dát, požadovať doklady, robiť si z nich výpisky, poznámky a kópie, žiadať vydanie týchto vecí alebo ich zaistiť podľa § 21 a požadovať potrebné vysvetlenia.</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6. K čl. I bodu 25 (§ 69h) – O:</w:t>
              <w:br/>
            </w:r>
            <w:r>
              <w:rPr>
                <w:b w:val="off"/>
                <w:color w:val="000000"/>
                <w:rFonts w:ascii="Times New Roman" w:hAnsi="Times New Roman" w:cs="Times New Roman" w:eastAsia="Times New Roman"/>
                <w:sz w:val="24"/>
              </w:rPr>
              <w:t>Navrhujeme novelizačný bod 25 uviesť v tomto znení:</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„25. Nadpis nad § 69h znie:</w:t>
              <w:br/>
            </w:r>
            <w:r>
              <w:rPr>
                <w:b w:val="off"/>
                <w:color w:val="000000"/>
                <w:rFonts w:ascii="Times New Roman" w:hAnsi="Times New Roman" w:cs="Times New Roman" w:eastAsia="Times New Roman"/>
                <w:sz w:val="24"/>
              </w:rPr>
              <w:t>„ZÁZNAMY O CESTUJÚCICH A KLIENTOCH“.“.</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pripomienku.</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Novelizačný bod bol upravený v súlade s Legislatívnymi pravidlami vlády SR.</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7. K čl. I bodu 26 [§ 69h ods. 1 písm. c)] – O:</w:t>
              <w:br/>
            </w:r>
            <w:r>
              <w:rPr>
                <w:b w:val="off"/>
                <w:color w:val="000000"/>
                <w:rFonts w:ascii="Times New Roman" w:hAnsi="Times New Roman" w:cs="Times New Roman" w:eastAsia="Times New Roman"/>
                <w:sz w:val="24"/>
              </w:rPr>
              <w:t xml:space="preserve">Navrhujeme v § 69h ods. 1 písm. c) vypustiť slová „na účely“.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9. K čl. I bodu 43 [§ 69ja ods. 2 a 3 a § 69jb ods. 2 písm. b) a c)] – O:</w:t>
              <w:br/>
            </w:r>
            <w:r>
              <w:rPr>
                <w:b w:val="off"/>
                <w:color w:val="000000"/>
                <w:rFonts w:ascii="Times New Roman" w:hAnsi="Times New Roman" w:cs="Times New Roman" w:eastAsia="Times New Roman"/>
                <w:sz w:val="24"/>
              </w:rPr>
              <w:t xml:space="preserve">A. Navrhujeme v § 69ja ods. 2 slová „záznamy o cestujúcom“ nahradiť slovami „záznam o cestujúcom“ a za slová „Európskej únie“ vložiť čiarku.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B. Navrhujeme v § 69ja ods. 3 slová „záznamy o cestujúcom“ nahradiť slovami „záznam o cestujúcom“.</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C. Navrhujeme v § 69jb ods. 2 písm. b) slová „v článku 21 Charty základných práv Európskej únie akýchkoľvek“ nahradiť slovami „v čl. 21 Charty základných práv Európskej únie pre akýchkoľvek“.</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D. Navrhujeme v § 69jb ods. 2 písm. c) slová „podkladom objektívneho, riadne odôvodneného a nediskriminačného posúdenia“ nahradiť slovami „podkladom pre objektívne, riadne odôvodnené a nediskriminačné posúdenie“.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a formulačnú pripomienku.</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10. K čl. I bodu 49 (§ 69l ods. 5) – O:</w:t>
              <w:br/>
            </w:r>
            <w:r>
              <w:rPr>
                <w:b w:val="off"/>
                <w:color w:val="000000"/>
                <w:rFonts w:ascii="Times New Roman" w:hAnsi="Times New Roman" w:cs="Times New Roman" w:eastAsia="Times New Roman"/>
                <w:sz w:val="24"/>
              </w:rPr>
              <w:t xml:space="preserve">Navrhujeme v § 69l ods. 5 slová „na prenos záznamu o cestujúcom alebo záznam o klientovi“ nahradiť slovami „na prenos záznamu o cestujúcom alebo záznamu o klientovi“.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pripomienku.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13. K čl. I bodu 71 [príloha č. 3 ods. 1 písm. n)] – O:</w:t>
              <w:br/>
            </w:r>
            <w:r>
              <w:rPr>
                <w:b w:val="off"/>
                <w:color w:val="000000"/>
                <w:rFonts w:ascii="Times New Roman" w:hAnsi="Times New Roman" w:cs="Times New Roman" w:eastAsia="Times New Roman"/>
                <w:sz w:val="24"/>
              </w:rPr>
              <w:t>Navrhujeme novelizačný bod 71 uviesť v tomto znení:</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„71. V prílohe č. 3 ods. 1 písmeno n) znie:</w:t>
              <w:br/>
            </w:r>
            <w:r>
              <w:rPr>
                <w:b w:val="off"/>
                <w:color w:val="000000"/>
                <w:rFonts w:ascii="Times New Roman" w:hAnsi="Times New Roman" w:cs="Times New Roman" w:eastAsia="Times New Roman"/>
                <w:sz w:val="24"/>
              </w:rPr>
              <w:t>„n) legalizácia výnosu z trestnej činnosti a falšovanie, pozmeňovanie a neoprávnená výroba peňazí a cenných papierov,“.“.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formulačnú pripomienku.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14. K čl. III (úvodná veta) – O:</w:t>
              <w:br/>
            </w:r>
            <w:r>
              <w:rPr>
                <w:b w:val="off"/>
                <w:color w:val="000000"/>
                <w:rFonts w:ascii="Times New Roman" w:hAnsi="Times New Roman" w:cs="Times New Roman" w:eastAsia="Times New Roman"/>
                <w:sz w:val="24"/>
              </w:rPr>
              <w:t>Navrhujeme úvodnú vetu uviesť v tomto znení:</w:t>
              <w:br/>
            </w:r>
            <w:r>
              <w:rPr>
                <w:b w:val="off"/>
                <w:color w:val="000000"/>
                <w:rFonts w:ascii="Times New Roman" w:hAnsi="Times New Roman" w:cs="Times New Roman" w:eastAsia="Times New Roman"/>
                <w:sz w:val="24"/>
              </w:rPr>
              <w:t>„Zákon č. 452/2021 Z. z. o elektronických komunikáciách v znení zákona č. 533/2021 Z. z., zákona č. 351/2022 Z. z., zákona č. 205/2023 Z. z., zákona č. 287/2023 Z. z., zákona č. 46/2024 Z. z., zákona č. 108/2024 Z. z., zákona č. 334/2024 Z. z., zákona č. 366/2024 Z. z., zákona č. 367/2024 Z. z., zákona č. 26/2025 Z. z., zákona č. 261/2025 Z. z. a zákona č. 297/2025 Z. z. sa mení a dopĺňa takto:“.</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pripomienku.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GPSR</w:t>
              <w:br/>
            </w:r>
            <w:r>
              <w:rPr>
                <w:b w:val="off"/>
                <w:color w:val="000000"/>
                <w:rFonts w:ascii="Times New Roman" w:hAnsi="Times New Roman" w:cs="Times New Roman" w:eastAsia="Times New Roman"/>
                <w:sz w:val="24"/>
              </w:rPr>
              <w:t>Generálna prokuratúra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15. K čl. III bodu 2 [poznámka pod čiarou k odkazu 130)] – O:</w:t>
              <w:br/>
            </w:r>
            <w:r>
              <w:rPr>
                <w:b w:val="off"/>
                <w:color w:val="000000"/>
                <w:rFonts w:ascii="Times New Roman" w:hAnsi="Times New Roman" w:cs="Times New Roman" w:eastAsia="Times New Roman"/>
                <w:sz w:val="24"/>
              </w:rPr>
              <w:t>Navrhujeme poznámku pod čiarou k odkazu 130) uviesť v tomto znení:</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„130) § 116 Trestného poriadku.</w:t>
              <w:br/>
            </w:r>
            <w:r>
              <w:rPr>
                <w:b w:val="off"/>
                <w:color w:val="000000"/>
                <w:rFonts w:ascii="Times New Roman" w:hAnsi="Times New Roman" w:cs="Times New Roman" w:eastAsia="Times New Roman"/>
                <w:sz w:val="24"/>
              </w:rPr>
              <w:t>§ 76 ods. 4 až 6 zákona Národnej rady Slovenskej republiky č. 171/1993 Z. z. v znení neskorších predpisov.“.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Ide o legislatívno-technickú pripomienku.</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Novelizačný bod bol vypustený.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KVOP</w:t>
              <w:br/>
            </w:r>
            <w:r>
              <w:rPr>
                <w:b w:val="off"/>
                <w:color w:val="000000"/>
                <w:rFonts w:ascii="Times New Roman" w:hAnsi="Times New Roman" w:cs="Times New Roman" w:eastAsia="Times New Roman"/>
                <w:sz w:val="24"/>
              </w:rPr>
              <w:t>Kancelária verejného ochrancu práv</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17c</w:t>
              <w:br/>
            </w:r>
            <w:r>
              <w:rPr>
                <w:b w:val="off"/>
                <w:color w:val="000000"/>
                <w:rFonts w:ascii="Times New Roman" w:hAnsi="Times New Roman" w:cs="Times New Roman" w:eastAsia="Times New Roman"/>
                <w:sz w:val="24"/>
              </w:rPr>
              <w:t>Znenie pripomienky: Navrhujem zo znenia zákona vypustiť možnosť policajta obmedziť osobnú slobodu mladistvej osoby alebo osoby obmedzenej na spôsobilosti po jej vypátraní, ak ju nemožno odovzdať oprávnenej osobe.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ja zásadná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V prvom rade považujem za dôležité uviesť, že rozumiem dobre mienenému úmyslu navrhovateľa vyriešiť situáciu, kedy osobu, ktorá bola po nezvestnosti vypátraná, nemožno odovzdať oprávnenej osobe - najčastejšie zákonnému zástupcovi. Hoci by som privítal vecné vymedzenie dôvodu v dôvodovej správe, v ktorej sa len všeobecne popisuje legislatívna zmena, vychádzam z toho, že poznatky praxe Policajného zboru nenašli v minulosti oporu v zákone pre navrhovaný postup.  V tejto súvislosti však dávam do pozornosti ľudskoprávny pohľad a to, že predvedením takejto osoby na útvar Policajného zboru však dochádza k obmedzeniu jej osobnej slobody. To vyplýva aj z navrhovaného znenia ods. 3, podľa ktorého je policajt po predvedení povinný spísať úradný záznam, ktorý obsahuje aj dôvod obmedzenia osobnej slobody.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Európsky dohovor o ochrane ľudských práv a základných slobôd (ďalej aj „EDĽP“) však jasne a taxatívnym spôsobom vymedzuje dôvody, pre ktoré možno osobnú slobodu človeka obmedziť. Som toho názoru, že novelou navrhované obmedzenie osobnej slobody nespadá ani pod jeden z dovolených dôvodov podľa ustanovenia čl. 5 ods. 1 písm. a) až f). Jediným mysliteľným dôvodom by mohol byť dôvod podľa písm. e), podľa ktorého možno pozbaviť osobnej slobody osoby, aby sa tým zabránilo šíreniu nákazlivej choroby, alebo duševne choré osoby, alkoholikov, narkomanov alebo tulákov. Zároveň upozorňujem, že na prípad obmedzenia osobnej slobody mladistvých po ich vypátraní nemožno aplikovať ustanovenie čl. 5 ods. 1 písm. e) EDĽP, ktoré upravuje podmienky, za ktorých je možné obmedziť osobnú slobodu mladistvého. </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 xml:space="preserve">Do úvahy by tak teoreticky pripadal iba dôvod obmedzenia osobnej slobody z dôvodu duševnej choroby alebo tuláctva. Po dôkladnej analýze však nie je možné pre obmedzenie osobnej slobody využiť ani tieto dôvody.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Podľa judikatúry Európskeho súdu pre ľudské práva (ďalej aj „ESĽP“) totiž možno duševne chorú osobu obmedziť na osobnej slobode len za kumulatívneho splnenia nasledujúcich podmienok [napríklad rozhodnutia Ilnseher v. Nemecko [GC], sťažnosti č. 10211/12 and 27505/14, para. 127; Stanev v. Bulharsko [GC], sťažnosť č. 36760/06, para. 145; Kallweit v. Nemecko, sťažnosť č. 17792/07, para. 45; Shtukaturov v. Rusko, sťažnosť č. 44009/05, para. 114; alebo Winterwerp v. Holandsko, sťažnosť č. 6301/73, para. 39]: </w:t>
              <w:br/>
            </w:r>
            <w:r>
              <w:rPr>
                <w:b w:val="off"/>
                <w:color w:val="000000"/>
                <w:rFonts w:ascii="Times New Roman" w:hAnsi="Times New Roman" w:cs="Times New Roman" w:eastAsia="Times New Roman"/>
                <w:sz w:val="24"/>
              </w:rPr>
              <w:t>1.	musí byť spoľahlivo preukázané, na základe objektívneho lekárskeho posudku, že osoba je duševne nespôsobilá, pokiaľ si situácia nevyžaduje neodkladné umiestnenie;</w:t>
              <w:br/>
            </w:r>
            <w:r>
              <w:rPr>
                <w:b w:val="off"/>
                <w:color w:val="000000"/>
                <w:rFonts w:ascii="Times New Roman" w:hAnsi="Times New Roman" w:cs="Times New Roman" w:eastAsia="Times New Roman"/>
                <w:sz w:val="24"/>
              </w:rPr>
              <w:t>2.	duševná porucha osoby musí byť takého charakteru, aby odôvodňovala povinnú ústavnú starostlivosť. Zbavenie osobnej slobody musí byť za daných okolností preukázané ako nevyhnutné;</w:t>
              <w:br/>
            </w:r>
            <w:r>
              <w:rPr>
                <w:b w:val="off"/>
                <w:color w:val="000000"/>
                <w:rFonts w:ascii="Times New Roman" w:hAnsi="Times New Roman" w:cs="Times New Roman" w:eastAsia="Times New Roman"/>
                <w:sz w:val="24"/>
              </w:rPr>
              <w:t>3.	duševná porucha, preukázaná objektívnymi lekárskymi dôkazmi, musí pretrvávať po celý čas obmedzenia osobnej slobody.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Navrhované znenie sa však so žiadnou z týchto troch podmienok dôsledne nevysporiadava. Navyše je potrebné dodať, že osoba môže byť obmedzená v spôsobilosti právne konať aj z iného dôvodu, ako len z toho, že trpí duševnou poruchou [porovnaj ust. § 10 ods. 2 zákona č. 40/1964 Zb. Občiansky zákonník v znení neskorších predpisov]. Som preto presvedčený, že za daných okolností nie je naplnený dôvod pre obmedzenie osobnej slobody nezvestnej, následne vypátranej osoby, ktorá je obmedzená na spôsobilosti na právne úkony s referenciou na osobu trpiacu duševnou chorobou podľa čl. 5 ods. 1 pís. e) EDĽP.</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Rovnako prísne ako vyššie citovaná judikatúra ESĽP vymedzuje dôvody obmedzenia slobody duševne chorej osoby, napríklad aj rakúska ústavná právna úprava na ochranu osobnej slobody (Bundesverfassungsgesetz vom 29. november 1988 über den Schutz der persönlichen Freiheit) v článku 2 ods. 1 Lit. 5 ukladá prísne pravidlá na obmedzenie osobnej slobody.    </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Judikatúra ESĽP vo vzťahu k obmedzovaniu osobnej slobody tulákov je značne obmedzená. Rozsah tohto ustanovenia zahŕňa osoby, ktoré nemajú trvalé bydlisko, nemajú prostriedky na obživu a nemajú žiadne pravidelné povolanie alebo zamestnanie. Tieto tri podmienky sú kumulatívne: musia byť splnené súčasne a vo vzťahu k tej istej osobe. [Európsky súd pre ľudské práva: Guide on Article 5 of the European Convention on Human Rights Right to liberty and security, s. 30, dostupné online na: https://ks.echr.coe.int/documents/d/echr-ks/guide_art_5_eng]. Som toho názoru, že z podmienok vymedzených ESĽP vyplýva, že tento dôvod obmedzenia osobnej slobody pokrýva kvalitatívne inú kategóriu osôb, ako sú nezvestné osoby. Preto som presvedčený, že za daných okolností nie je naplnený dôvod pre obmedzenie osobnej slobody nezvestnej, následne vypátranej osoby, ktorá je maloletá alebo je obmedzená na spôsobilosti na právne úkony referenciou na tuláctvo podľa čl. 5 ods. 1 pís. e) EDĽP.</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rozporových konaní bolo ustanovenie § 17c upravené.</w:t>
              <w:br/>
            </w:r>
            <w:r>
              <w:rPr>
                <w:b w:val="off"/>
                <w:color w:val="000000"/>
                <w:rFonts w:ascii="Times New Roman" w:hAnsi="Times New Roman" w:cs="Times New Roman" w:eastAsia="Times New Roman"/>
                <w:sz w:val="24"/>
              </w:rPr>
              <w:t xml:space="preserve">Rozpor bol odstránený. </w:t>
            </w:r>
          </w:p>
        </w:tc>
      </w:tr>
      <w:tr>
        <w:trPr>
          <w:trHeight w:val="648"/>
        </w:trPr>
        <w:tc>
          <w:tcPr>
            <w:vAlign w:val="top"/>
          </w:tcPr>
          <w:p>
            <w:pPr>
              <w:spacing w:after="0"/>
              <w:jc w:val="center"/>
            </w:pPr>
            <w:r>
              <w:rPr>
                <w:b w:val="on"/>
                <w:color w:val="000000"/>
                <w:rFonts w:ascii="Times New Roman" w:hAnsi="Times New Roman" w:cs="Times New Roman" w:eastAsia="Times New Roman"/>
                <w:sz w:val="24"/>
              </w:rPr>
              <w:t>KVOP</w:t>
              <w:br/>
            </w:r>
            <w:r>
              <w:rPr>
                <w:b w:val="off"/>
                <w:color w:val="000000"/>
                <w:rFonts w:ascii="Times New Roman" w:hAnsi="Times New Roman" w:cs="Times New Roman" w:eastAsia="Times New Roman"/>
                <w:sz w:val="24"/>
              </w:rPr>
              <w:t>Kancelária verejného ochrancu práv</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20a ods. 8</w:t>
              <w:br/>
            </w:r>
            <w:r>
              <w:rPr>
                <w:b w:val="off"/>
                <w:color w:val="000000"/>
                <w:rFonts w:ascii="Times New Roman" w:hAnsi="Times New Roman" w:cs="Times New Roman" w:eastAsia="Times New Roman"/>
                <w:sz w:val="24"/>
              </w:rPr>
              <w:t>Znenie pripomienky: V texte poslednej vety za slovo „zdravie“ doplniť slová „a dôstojnosť“.</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ja zásadná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Z navrhovaného znenia zákona vyplýva, že za určitých okolností môže odber biologických vzoriek realizovať aj policajt, nielen odborne spôsobilý zdravotnícky pracovník. Odber biologických vzoriek je však zásahom do jednej z najintímnejších sfér jednotlivca. Preto je dôležité tento odber vykonávať vždy za takých okolností, ktoré neznižujú dôstojnosť osoby.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KVOP</w:t>
              <w:br/>
            </w:r>
            <w:r>
              <w:rPr>
                <w:b w:val="off"/>
                <w:color w:val="000000"/>
                <w:rFonts w:ascii="Times New Roman" w:hAnsi="Times New Roman" w:cs="Times New Roman" w:eastAsia="Times New Roman"/>
                <w:sz w:val="24"/>
              </w:rPr>
              <w:t>Kancelária verejného ochrancu práv</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27</w:t>
              <w:br/>
            </w:r>
            <w:r>
              <w:rPr>
                <w:b w:val="off"/>
                <w:color w:val="000000"/>
                <w:rFonts w:ascii="Times New Roman" w:hAnsi="Times New Roman" w:cs="Times New Roman" w:eastAsia="Times New Roman"/>
                <w:sz w:val="24"/>
              </w:rPr>
              <w:t xml:space="preserve">Znenie pripomienky: Navrhujem znenie ustanovenia upraviť tak, že policajt bude mať na účel ochrany utajovaných skutočností alebo ochrany strážených objektov oprávnenie len podľa navrhovaného ustanovenia § 27 pís. c), ale nie možnosť obmedziť slobodu pohybu.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ja zásadná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Aj z dôvodovej správy k ustanoveniu § 27 vyplýva, že účelom novelizácie oprávnenia policajta zakázať vstup na určené miesto alebo prikázať zotrvať na určenom mieste kvôli zabezpečeniu ochrany utajovaných skutočností a ochrany strážených objektov je umožniť policajtovi prikázať pred vstupom do strážených objektov odovzdať v mieste na to určenom zbraň alebo iné nebezpečné predmety, prostriedky výpočtovej techniky, dátové nosiče a elektronické záznamové a vysielacie zariadenia. Ani z dôvodovej správy však nevyplýva úmysel kvôli zabezpečeniu ochrany utajovaných skutočností alebo ochrany strážených objektov obmedzovať slobodu pohybu jednotlivcov. Európsky dohovor o ochrane ľudských práv a základných slobôd pritom explicitne vymedzuje dôvody, pre ktoré je možné obmedziť slobodu pohybu. Ochrana strážených objektov, ani ochrana utajovaných skutočností však medzi tieto dôvody nepatria. Za určitých okolností je možné súhlasiť, že ochrana utajovaných skutočností alebo ochrana strážených objektov môžu súvisieť s bezpečnosťou štátu alebo s udržaním verejného poriadku. Tieto dôvody obmedzenia práva na slobodu pohybu však už ustanovenia § 27 obsahuje. Pojmovo a logicky preto z interpretácie novelizovaného ustanovenia § 27 vyplýva, že obmedzenie slobody pohybu s cieľom ochrany utajovaných skutočností a ochrany strážených objektov by sa vykonávalo aj v iných prípadoch ako len v tých, keď je ohrozená bezpečnosť štátu alebo verejný poriadok. Obmedzenie práva na slobodu pohybu z týchto dôvodov však EDĽP nepripúšťa. Právomoc policajta môcť na zabezpečenie ochrany utajovaných skutočností a ochrany strážených objektov prikázať odovzdanie v zákone vymedzených vecí však považujem za legitímne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Navrhovaná zmena § 27 bude vypustená a nahradená zmenou v § 26a.</w:t>
            </w:r>
          </w:p>
        </w:tc>
      </w:tr>
      <w:tr>
        <w:trPr>
          <w:trHeight w:val="648"/>
        </w:trPr>
        <w:tc>
          <w:tcPr>
            <w:vAlign w:val="top"/>
          </w:tcPr>
          <w:p>
            <w:pPr>
              <w:spacing w:after="0"/>
              <w:jc w:val="center"/>
            </w:pPr>
            <w:r>
              <w:rPr>
                <w:b w:val="on"/>
                <w:color w:val="000000"/>
                <w:rFonts w:ascii="Times New Roman" w:hAnsi="Times New Roman" w:cs="Times New Roman" w:eastAsia="Times New Roman"/>
                <w:sz w:val="24"/>
              </w:rPr>
              <w:t>KVOP</w:t>
              <w:br/>
            </w:r>
            <w:r>
              <w:rPr>
                <w:b w:val="off"/>
                <w:color w:val="000000"/>
                <w:rFonts w:ascii="Times New Roman" w:hAnsi="Times New Roman" w:cs="Times New Roman" w:eastAsia="Times New Roman"/>
                <w:sz w:val="24"/>
              </w:rPr>
              <w:t>Kancelária verejného ochrancu práv</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29a ods. 1 písm. b)</w:t>
              <w:br/>
            </w:r>
            <w:r>
              <w:rPr>
                <w:b w:val="off"/>
                <w:color w:val="000000"/>
                <w:rFonts w:ascii="Times New Roman" w:hAnsi="Times New Roman" w:cs="Times New Roman" w:eastAsia="Times New Roman"/>
                <w:sz w:val="24"/>
              </w:rPr>
              <w:t>Znenie pripomienky: Navrhujem zo znenia vypustiť slovné spojenie „alebo inú hospodársku činnosť“.</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ja zásadná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Obydlie požíva osobitnú právnu ochranu a jeho nedotknuteľnosť možno obmedziť len vo vopred ustanovených prípadoch, ktoré musia byť dostatočne určité a predvídateľné. Navrhovaná právna úprava však umožňuje policajtovi vstúpiť do obydlia aj vtedy, ak sa v ňom vykonáva „iná hospodárska činnosť“. Tento pojem je obsahovo nejasný a široký, čo v aplikačnej praxi môže viesť k nejednotnému výkladu a k riziku právnej neistoty pri uplatňovaní ústavne garantovanej nedotknuteľnosti obydlia.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výsledku rozporového konania bude ustanovenie ponechané v navrhovanom znení a dôvodová správa bude doplnená.</w:t>
            </w:r>
          </w:p>
        </w:tc>
      </w:tr>
      <w:tr>
        <w:trPr>
          <w:trHeight w:val="648"/>
        </w:trPr>
        <w:tc>
          <w:tcPr>
            <w:vAlign w:val="top"/>
          </w:tcPr>
          <w:p>
            <w:pPr>
              <w:spacing w:after="0"/>
              <w:jc w:val="center"/>
            </w:pPr>
            <w:r>
              <w:rPr>
                <w:b w:val="on"/>
                <w:color w:val="000000"/>
                <w:rFonts w:ascii="Times New Roman" w:hAnsi="Times New Roman" w:cs="Times New Roman" w:eastAsia="Times New Roman"/>
                <w:sz w:val="24"/>
              </w:rPr>
              <w:t>KVOP</w:t>
              <w:br/>
            </w:r>
            <w:r>
              <w:rPr>
                <w:b w:val="off"/>
                <w:color w:val="000000"/>
                <w:rFonts w:ascii="Times New Roman" w:hAnsi="Times New Roman" w:cs="Times New Roman" w:eastAsia="Times New Roman"/>
                <w:sz w:val="24"/>
              </w:rPr>
              <w:t>Kancelária verejného ochrancu práv</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43 ods. 3</w:t>
              <w:br/>
            </w:r>
            <w:r>
              <w:rPr>
                <w:b w:val="off"/>
                <w:color w:val="000000"/>
                <w:rFonts w:ascii="Times New Roman" w:hAnsi="Times New Roman" w:cs="Times New Roman" w:eastAsia="Times New Roman"/>
                <w:sz w:val="24"/>
              </w:rPr>
              <w:t>Znenie pripomienky: Navrhujem zmeniť text ustanovenia takto – „Pri vykonávaní prehliadky osoby formou dôkladnej prehliadky sa osoba najskôr vyzlečie do spodnej vrstvy oblečenia. Policajt pritom vykoná vizuálnu prehliadku odkrytých častí tela vrátane vlasov, ústnej dutiny a dlaní. Osoba si ďalej vyzlečie spodnú vrstvu oblečenia z hornej časti tela a policajt vykoná vizuálnu prehliadku obnaženej časti tela, vrátane podpazušia. Následne si osoba oblečie na hornú časť tela spodnú vrstvu oblečenia nezakrývajúcu dolnú časť tela a úplne sa vyzlečie od pása nadol, pričom policajt vykoná vizuálnu prehliadku dolnej časti tela, vrátane chodidiel. Vyzliekanie zo spodnej vrstvy oblečenia sa vykonáva podľa pokynov policajta za plentou, v cele alebo v inom vhodnom priestore tak, aby osoba nebola vystavená pohľadom iných osôb. Prehliadku tela môže policajt vykonať s využitím telesného skenera. Prehliadku odevných zvrškov vykoná policajt dôsledným prehmataním, prípadne s využitím detekčných prostriedkov. Prehliadku odevných zvrškov môže policajt vykonať aj pomocou služobného psa vycvičeného na vyhľadávanie látok so špecifickým pachom. Prehliadka osoby sa vykoná spôsobom, ktorý rešpektuje jej dôstojnosť.“</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ja zásadná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Otázka vykonávania osobných prehliadok je rozsiahlo upravená vo väzenskom prostredí. Navrhovaná právna úprava a úprava vykonávania dôkladných osobných prehliadok vo väzenskom prostredí sú natoľko podobné, že medzinárodné väzenské štandardy možno v plnom rozsahu vztiahnuť aj na navrhovanú právnu úpravu. Európsky súd pre ľudské práva vo svojej judikatúre priznáva, že dôkladné osobné prehliadky (tzv. strip search) môžu byť za určitých okolností nevyhnutým prostriedkom pre dosiahnutie ochrany príslušníkov ozbrojených zborov aj iných osôb. Musia však byť vykonávané primeraným spôsobom. [Rozhodnutie ESĽP vo veci Valašinas v. Litva, č. sťažnosti 44558/98, para. 117.]</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Primeranou môže byť len taká prehliadka, ktorá rešpektuje ľudskú dôstojnosť osoby. Vzhľadom na to, že každá takáto prehliadka je potenciálne ponižujúcim zaobchádzaním, je potrebné vykonať ju tak, aby sa čo možno najviac eliminoval faktor zahanbenia prehľadávanej osoby. Európsky výbor na zabránenie mučenia a neľudského či ponižujúceho zaobchádzania alebo trestania (ďalej aj „CPT“) preto opakovane odporúča, aby prehľadávaná osoba nebola nikdy pri vykonávaní prehliadky úplne nahá. Prehliadka by sa mala vykonať v dvoch krokoch, t. j. najprv sa vyzlečie spodná vrstva odevu vrchnej časti tela, po vykonaní obhliadky vrchnej časti tela sa osoba opäť oblečie a následne si vyzlečie spodnú vrstvu odevu spodnej časti tela. [Správa CPT č. CPT/Inf (2015)18 z návštevy Českej republiky v dňoch 1-10.04.2014, s. 20; identicky aj Správa CPT č. CPT/Inf (2012)21, para. 32 z návštevy Holandska v dňoch 10. - 21.10.2011 a rovnako aj Správa CPT č. CPT/Inf (2019)20 z návštevy Slovenskej republiky v dňoch 19. - 28.03.2018, para. 92.]</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Rovnako tak viaceré ďalšie odporúčania medzinárodných organizácií pokladajú vykonanie dôkladnej osobnej prehliadky v dvoch krokoch za esenciálny predpoklad obmedzenia jej ponižujúceho charakteru. [Napríklad Rozhodnutie ESĽP vo veci Wainwright v. Veľká Británia, sťažnosť č. 12350/04, para. 44-49; alebo 9. všeobecná správa CPT č. CPT/Inf(99) 12, para. 26; odporúčania Asociácie pre prevenciu pred mučením týkajúce sa dôkladných osobných prehliadok, dostupné na: https://www.apt.ch/en/knowledge-hub/detention-focus-database/safety-order-and-discipline/body-searches; prípadne Organizácia pre bezpečnosť a spoluprácu v Európe: Guidance Document On The Nelson Mandela Rules - Implementing The United Nations Revised Standard Minimum Rules For The Treatment Of Prisoners, Varšava, OSCE, 2018, s. 58.]</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Aj napriek jasnému nastaveniu medzinárodných štandardov vo vzťahu k dôkladným osobným prehliadkam, navrhovaná právna úprava predpokladá, že (i keď len na nevyhnutný čas) osoba bude počas vykonania dôkladnej prehliadky úplne nahá. Som presvedčený, že takýto zákonný rámec dôkladnej osobnej prehliadky nemá v súčasnosti opodstatnenie. Vykonanie dôkladnej prehliadky v tzv. „dvojkrokovej forme“ neprinesie zvýšené finančné náklady a môže byť rovnako efektívne. Rovnako tak považujem za dôležité doplniť, že navrhovaný spôsob vykonania dôkladnej prehliadky doslovne kopíruje spôsob vykonávania dôkladných osobných prehliadok príslušníkmi Zboru väzenskej a justičnej stráže. Tento spôsob vykonávania dôkladných osobných prehliadok verejný ochranca práv dlhodobo kritizuje a stabilne vykazuje porušenia základných práv a slobôd odsúdených, ak dôkladná osobná prehliadka nie je vykonávaná dvojkrokovou formou.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K vykonávaniu dôkladných osobných prehliadok a k ich ponižujúcemu charakteru sa negatívne v poslednom období vyjadril aj ESĽP a Ústavný súd Slovenskej republiky, pričom primerané finančné zadosťučinenie priznané súdmi presiahlo 50.000,- EUR [napríklad rozhodnutia Adamčo v. Slovensko no. 2, sťažnosti č. 55792/20, 35253/21 a 41955/22; Tatič v. Slovensko, sťažnosť č. 8280/23; nález ÚS SR sp. zn. I. ÚS 386/2025 prípadne aj nález ÚS SR II. ÚS 110/2024.]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 text upravený. 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KVOP</w:t>
              <w:br/>
            </w:r>
            <w:r>
              <w:rPr>
                <w:b w:val="off"/>
                <w:color w:val="000000"/>
                <w:rFonts w:ascii="Times New Roman" w:hAnsi="Times New Roman" w:cs="Times New Roman" w:eastAsia="Times New Roman"/>
                <w:sz w:val="24"/>
              </w:rPr>
              <w:t>Kancelária verejného ochrancu práv</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76 ods. 6</w:t>
              <w:br/>
            </w:r>
            <w:r>
              <w:rPr>
                <w:b w:val="off"/>
                <w:color w:val="000000"/>
                <w:rFonts w:ascii="Times New Roman" w:hAnsi="Times New Roman" w:cs="Times New Roman" w:eastAsia="Times New Roman"/>
                <w:sz w:val="24"/>
              </w:rPr>
              <w:t>Znenie pripomienky: Navrhujem vypustiť z návrhu zákona oprávnenie policajta zisťovať prevádzkové a lokalizačné údaje týkajúce sa nebezpečného páchateľa, a to aj prostredníctvom diaľkového, nepretržitého a priameho prístupu do informačného systému právnických osôb a fyzických osôb, ktoré prevádzkujú elektronické komunikačné siete alebo poskytujú elektronické komunikačné služby.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Táto pripomienka ja zásadná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Navrhované rozšírenie oprávnení, podľa môjho názoru, predstavuje závažný zásah do základného práva na ochranu súkromia a do práva na ochranu osobných údajov. Zisťovanie prevádzkových a lokalizačných údajov, umožňuje vytvárať detailný a komplexný obraz o pohybe, správaní či o sociálnych kontaktoch jednotlivca. Ide o informácie, ktoré svojou povahou presahujú bežné identifikačné údaje a zásadne zasahujú do súkromnej sféry osoby, a to bez ohľadu na to, či ide o osobu podozrivú zo spáchania trestného činu, alebo o inú osobu, ktorej údaje môžu byť spracúvané v súvislosti s pátraním. Na takýto zásah do súkromia bude postačovať, že policajt vyhodnotí páchateľa ako nebezpečného, pričom bude len posudzovať znaky, ktoré sú široké a naviac vymedzené otvorene v ustanovení § 14 ods. 2 písm. c) platného znenia zákona.</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Takýto zásah je podľa ústavného poriadku Slovenskej republiky prípustný len za splnenia prísnych podmienok zákonnosti, nevyhnutnosti a proporcionality. Kľúčovou zárukou zákonnosti týchto zásahov je existencia nezávislej a nestrannej kontroly, spravidla vo forme predchádzajúceho alebo aspoň bezodkladného následného súdneho rozhodnutia. Navrhovaná právna úprava však takúto kontrolu úplne vylučuje a ponecháva rozhodovanie o potrebe, rozsahu a trvaní zásahu výlučne na Policajnom zbore, ktorý je zároveň orgánom výkonnej moci priamo zainteresovaným na výsledku pátrania.</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Argumentácia, že ide o výnimočné situácie spojené s bezprostredným ohrozením života alebo zdravia, nemôže sama osebe odôvodniť tak zásadné oslabenie ústavných garancií. V navrhovanom znení nie je pojem výnimočnosti dostatočne úzko a presne vymedzený a jeho naplnenie závisí výlučne od subjektívneho posúdenia príslušníka Policajného zboru. Takto formulované oprávnenie vytvára priestor pre svojvoľné a nepredvídateľné zásahy do súkromia, ktoré nie sú sprevádzané účinnými mechanizmami externej kontroly.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Osobitne problematické je, že navrhovaná úprava umožňuje vykonávať zásahy porovnateľné s najinvazívnejšími úkonmi trestného konania mimo rámca Trestného poriadku. Trestné konanie je postavené na systéme procesných záruk, ktorých cieľom je vyvážiť represívne oprávnenia štátu ochranou základných práv jednotlivca. Medzi tieto záruky patrí najmä súdne povoľovanie zásahov, presné vymedzenie ich účelu, rozsahu a trvania, ako aj možnosť preskúmania zákonnosti postupu. Navrhovaná právna úprava vytvára paralelný režim, v ktorom Policajný zbor získava obdobné oprávnenia bez toho, aby sa na ich výkon vzťahovali porovnateľné procesné obmedzenia a kontrolné mechanizmy. Takýto postup fakticky obchádza trestné konanie ako ústavne konformný rámec na zásahy do základných práv.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Závažným nedostatkom návrhu je aj absencia akýchkoľvek opravných prostriedkov alebo foriem právnej ochrany pre osoby, ktorých údaje budú týmto spôsobom získavané. Návrh neobsahuje povinnosť dodatočne informovať dotknutú osobu o tom, že došlo k zásahu do jej súkromia, neustanovuje možnosť podať opravný prostriedok ani mechanizmus preskúmania zákonnosti a primeranosti postupu Policajného zboru. Bez týchto záruk sa dotknuté osoby ocitajú v situácii, v ktorej nemajú reálnu možnosť domáhať sa ochrany svojich práv, čo je v rozpore s právom na účinný prostriedok nápravy a so základnými princípmi právneho štátu.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Považujem za nevyhnutné zdôrazniť aj zásadný rozdiel medzi pátraním po nezvestnej osobe a pátraním po páchateľovi trestnej činnosti. Pri pátraní po nezvestnej osobe ide spravidla o ochrannú činnosť zameranú na záchranu života a zdravia, pri ktorej sa nevedie trestné konanie a nejde o represívny zásah voči konkrétnej osobe. Naopak, pátranie po páchateľovi trestnej činnosti je neoddeliteľne spojené s represívnou funkciou štátu a s možnosťou použitia nástrojov trestného práva procesného. Práve z tohto dôvodu právny poriadok viaže zásahy do súkromia páchateľov alebo podozrivých osôb na prísne procesné pravidlá a súdnu kontrolu. Zjednocovanie týchto dvoch zásadne odlišných situácií nepovažujem za prípustné.</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Navrhovaná právna úprava zároveň vytvára nebezpečný precedens, podľa ktorého možno v mene operatívnosti a efektivity policajnej činnosti postupne oslabovať základné procesné záruky ochrany základných práv. Takýto prístup vedie k postupnej erózii princípov právneho štátu, v ktorom sa výnimky z pravidiel môžu stať pravidlom. Skutočnosť, že oprávnenie sa viaže na taxatívne vymedzený okruh trestných činov, sama osebe nezabezpečuje jeho ústavnú konformnosť, ak absentujú nezávislé kontrolné mechanizmy a jasne definované limity výkonu tohto oprávnenia.</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bude navrhovaný § 76 ods. 6 zákona. č. 171/1993 Z. z. nahradený zmenou v zákone č. 452/2021 Z. z. o elektronických komunikáciách nasledovne: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2.	V § 117 ods. 7 sa na konci pripája táto veta: „Ak ide o vec týkajúcu sa obrany štátu a bezpečnosti štátu alebo trestných činov vymedzených osobitným predpisom,131)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3.	V § 117 odsek 8 znie:</w:t>
              <w:br/>
            </w:r>
            <w:r>
              <w:rPr>
                <w:b w:val="off"/>
                <w:color w:val="000000"/>
                <w:rFonts w:ascii="Times New Roman" w:hAnsi="Times New Roman" w:cs="Times New Roman" w:eastAsia="Times New Roman"/>
                <w:sz w:val="24"/>
              </w:rPr>
              <w:t>„(8) Ak ide o vec týkajúcu sa obrany štátu a bezpečnosti štátu alebo trestných činov vymedzených osobitným predpisom,131) ktorá neznesie odklad a súhlas súdu podľa odseku 7 nemožno získať vopred, údaje podľa odseku 6 sa poskytnú bez súhlasu súdu buď na základe žiadosti iného orgánu štátu podľa § 109 ods. 9 doručenej podniku v písomnej forme alebo dohodnutým spôsobom v šifrovanej forme alebo spôsobom uvedeným v odseku 7 poslednej vety. Iný orgán štátu podľa § 109 ods. 9 je povinný doručenie žiadosti podniku podľa predchádzajúcej vety alebo začatie zisťovania prevádzkových a lokalizačných údajov spôsobom podľa odseku 7 poslednej vety oznámiť zákonnému sudcovi do jednej hodiny od doručenia žiadosti alebo začatia zisťovania prevádzkových a lokalizačných údajov a bezodkladne predložiť zákonnému sudcovi žiadosť o dodatočný písomný súhlas (ďalej len „dodatočný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	V čl. I bode 27 v § 69h ods. 3 žiadame vypustiť písmeno b) a v bode 36 v § 69i žiadame vypustiť nové odseky 9, 10 a 12.</w:t>
              <w:br/>
            </w:r>
            <w:r>
              <w:rPr>
                <w:b w:val="off"/>
                <w:color w:val="000000"/>
                <w:rFonts w:ascii="Times New Roman" w:hAnsi="Times New Roman" w:cs="Times New Roman" w:eastAsia="Times New Roman"/>
                <w:sz w:val="24"/>
              </w:rPr>
              <w:t>Túto pripomienku považuje ministerstvo za zásadnú.</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Ministerstvo dopravy Slovenskej republiky nesúhlasí, aby sa povinnosti vo vzťahu k záznamom o cestujúcich vzťahovali aj na všeobecné letectvo, ako aj na lety HEMS. Uvedené požiadavky sú nad rámec smernice EP a Rady (EÚ) 2016/681 z 27. apríla 2016 o využívaní údajov zo záznamov o cestujúcich (PNR) na účely prevencie, odhaľovania, vyšetrovania a stíhania teroristických trestných činov a závažnej trestnej činnosti, ako aj nad rámec požiadaviek stanovených Medzinárodnou organizáciou civilného letectva. Vo vzťahu k letom HEMS zároveň uvádza, že takéto lety nie je možné vopred plánovať, sú to ad hoc lety, ktoré predstavujú jednu z najnáročnejších leteckých činností, kedy sa posádka lietadla snaží o čo najrýchlejšiu prepravu pacienta do nemocnice. Z pohľadu civilného letectva legislatíva EÚ umožnila členským štátom Európskej únie nepožadovať predkladanie letových plánov pre VFR lety v triede vzdušného priestoru G križujúce štátne hranice. Takúto možnosť využila aj Slovenská republika vo vzťahu k VFR letom v triede vzdušného priestoru G križujúce štátnu hranicu Slovenskej republiky s Poľskom, Českom, Rakúskom a Maďarskom.</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69i ods. 9, 10 a 12 boli upravené v súlade so závermi rozporového konania.</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	V čl. I bode 30 v § 69h žiadame vypustiť nové odseky 11 a 12.</w:t>
              <w:br/>
            </w:r>
            <w:r>
              <w:rPr>
                <w:b w:val="off"/>
                <w:color w:val="000000"/>
                <w:rFonts w:ascii="Times New Roman" w:hAnsi="Times New Roman" w:cs="Times New Roman" w:eastAsia="Times New Roman"/>
                <w:sz w:val="24"/>
              </w:rPr>
              <w:t xml:space="preserve">Túto pripomienku považuje ministerstvo za zásadnú. </w:t>
              <w:br/>
            </w:r>
            <w:r>
              <w:rPr>
                <w:b w:val="off"/>
                <w:color w:val="000000"/>
                <w:rFonts w:ascii="Times New Roman" w:hAnsi="Times New Roman" w:cs="Times New Roman" w:eastAsia="Times New Roman"/>
                <w:sz w:val="24"/>
              </w:rPr>
              <w:t xml:space="preserve">Odôvodnenie: </w:t>
              <w:br/>
            </w:r>
            <w:r>
              <w:rPr>
                <w:b w:val="off"/>
                <w:color w:val="000000"/>
                <w:rFonts w:ascii="Times New Roman" w:hAnsi="Times New Roman" w:cs="Times New Roman" w:eastAsia="Times New Roman"/>
                <w:sz w:val="24"/>
              </w:rPr>
              <w:t>Ministerstvo dopravy Slovenskej republiky poukazuje na pojem „veliteľ lietadla“ definovaný v čl. 2 ods. 100 vykonávacieho nariadenia Komisie (EÚ) č. 923/2012  z 26. septembra 2012, ktorým sa stanovujú spoločné pravidlá lietania a prevádzkové ustanovenia týkajúce sa služieb a postupov v letovej prevádzke a ktorým sa mení a dopĺňa vykonávacie nariadenie (EÚ) č. 1035/2011 a nariadenia (ES) č. 1265/2007, (ES) č. 1794/2006, (ES) č. 730/2006, (ES) č. 1033/2006 a (EÚ) č. 255/2010 v platnom znení. Zároveň poukazujeme na pojem „veliaci pilot“ (PIC) definovaný v bode 96 prílohy I nariadenia Komisie (EÚ) č. 965/2012 ktorým sa ustanovujú technické požiadavky a administratívne postupy týkajúce sa leteckej prevádzky podľa nariadenia Európskeho parlamentu a Rady (ES) č. 216/2008 v platnom znení a v bode FCL.010 prílohy I nariadenia Komisie (EÚ) č. 1178/2011 z 3. novembra 2011,ktorým sa ustanovujú technické požiadavky a administratívne postupy týkajúce sa posádky civilného letectva podľa nariadenia Európskeho parlamentu a Rady (ES) č. 216/2008 v platnom znení. Taktiež upozorňujeme na rozdiel pojmov „veliteľ lietadla“ a „veliaci pilot“.</w:t>
              <w:br/>
            </w:r>
            <w:r>
              <w:rPr>
                <w:b w:val="off"/>
                <w:color w:val="000000"/>
                <w:rFonts w:ascii="Times New Roman" w:hAnsi="Times New Roman" w:cs="Times New Roman" w:eastAsia="Times New Roman"/>
                <w:sz w:val="24"/>
              </w:rPr>
              <w:t>Vo vzťahu k pojmu „posádka lietadla“ žiadame zosúladiť s terminológiou platnou v oblasti civilného letectva.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Pojem „veliteľ lietadla“, ako aj jeho vymedzenie bolo z návrhu zákona vypustené a vymedzenie pojmu „posádka lietadla“ bude nasledovná:</w:t>
              <w:br/>
            </w:r>
            <w:r>
              <w:rPr>
                <w:b w:val="off"/>
                <w:color w:val="000000"/>
                <w:rFonts w:ascii="Times New Roman" w:hAnsi="Times New Roman" w:cs="Times New Roman" w:eastAsia="Times New Roman"/>
                <w:sz w:val="24"/>
              </w:rPr>
              <w:t xml:space="preserve">„(11) Posádkou lietadla sa rozumie každá osoba prítomná na palube lietadla počas letu, ktorá nie je cestujúcim.“.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	V čl. I bode 57 v § 69o žiadame vypustiť odseky 1 až 4.</w:t>
              <w:br/>
            </w:r>
            <w:r>
              <w:rPr>
                <w:b w:val="off"/>
                <w:color w:val="000000"/>
                <w:rFonts w:ascii="Times New Roman" w:hAnsi="Times New Roman" w:cs="Times New Roman" w:eastAsia="Times New Roman"/>
                <w:sz w:val="24"/>
              </w:rPr>
              <w:t xml:space="preserve">Túto pripomienku považuje ministerstvo za zásadnú. </w:t>
              <w:br/>
            </w:r>
            <w:r>
              <w:rPr>
                <w:b w:val="off"/>
                <w:color w:val="000000"/>
                <w:rFonts w:ascii="Times New Roman" w:hAnsi="Times New Roman" w:cs="Times New Roman" w:eastAsia="Times New Roman"/>
                <w:sz w:val="24"/>
              </w:rPr>
              <w:t xml:space="preserve">Odôvodnenie: </w:t>
              <w:br/>
            </w:r>
            <w:r>
              <w:rPr>
                <w:b w:val="off"/>
                <w:color w:val="000000"/>
                <w:rFonts w:ascii="Times New Roman" w:hAnsi="Times New Roman" w:cs="Times New Roman" w:eastAsia="Times New Roman"/>
                <w:sz w:val="24"/>
              </w:rPr>
              <w:t>Súvisí so zásadnou pripomienkou k bodom 27 a 36. Ministerstvo dopravy Slovenskej republiky nesúhlasí so zavedením priestupku pre „veliteľa lietadla“, za dostatočné považujeme súčasnú právnu úpravu. Sankcie za porušenie zákona 171/1993 Z. z. sú už teraz prísne, ich zvýšenie by mohlo mať nepriaznivý, resp. až likvidačný vplyv na leteckých dopravcov.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69o bol upravený v súlade so závermi rozporového konania.</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a III</w:t>
              <w:br/>
            </w:r>
            <w:r>
              <w:rPr>
                <w:b w:val="off"/>
                <w:color w:val="000000"/>
                <w:rFonts w:ascii="Times New Roman" w:hAnsi="Times New Roman" w:cs="Times New Roman" w:eastAsia="Times New Roman"/>
                <w:sz w:val="24"/>
              </w:rPr>
              <w:t>4.	V čl. I bode 61 v § 76 žiadame vypustiť nový odsek 6 a v nadväznosti na to žiadame vypustiť aj čl. III.</w:t>
              <w:br/>
            </w:r>
            <w:r>
              <w:rPr>
                <w:b w:val="off"/>
                <w:color w:val="000000"/>
                <w:rFonts w:ascii="Times New Roman" w:hAnsi="Times New Roman" w:cs="Times New Roman" w:eastAsia="Times New Roman"/>
                <w:sz w:val="24"/>
              </w:rPr>
              <w:t xml:space="preserve">Túto pripomienku považuje ministerstvo za zásadnú. </w:t>
              <w:br/>
            </w:r>
            <w:r>
              <w:rPr>
                <w:b w:val="off"/>
                <w:color w:val="000000"/>
                <w:rFonts w:ascii="Times New Roman" w:hAnsi="Times New Roman" w:cs="Times New Roman" w:eastAsia="Times New Roman"/>
                <w:sz w:val="24"/>
              </w:rPr>
              <w:t xml:space="preserve">Odôvodnenie: </w:t>
              <w:br/>
            </w:r>
            <w:r>
              <w:rPr>
                <w:b w:val="off"/>
                <w:color w:val="000000"/>
                <w:rFonts w:ascii="Times New Roman" w:hAnsi="Times New Roman" w:cs="Times New Roman" w:eastAsia="Times New Roman"/>
                <w:sz w:val="24"/>
              </w:rPr>
              <w:t>Oprávnenie Policajného zboru zisťovať prevádzkové a lokalizačné údaje týkajúce sa nebezpečného páchateľa, ktorý nebol doposiaľ stotožnený, teda môže ísť o kohokoľvek, prostredníctvom diaľkového, nepretržitého a priameho prístupu do informačného systému poskytovateľov elektronických komunikačných služieb bez rozhodnutia príslušného súdu je neprípustné vzhľadom na rozsudok Súdneho dvora EÚ zo 6. októbra 2020 La Quadrature du Net (C-511/18 a C-512/18). V tomto rozsudku SDEÚ jednoznačne skonštatoval, že všeobecné a nediferencované uchovávanie prevádzkových a lokalizačných údajov je v rozpore s čl. 15 ods. 1 smernice Európskeho parlamentu a Rady 2002/58/ES týkajúcej sa spracúvania osobných údajov a ochrany súkromia v sektore elektronických komunikácií v spojení s čl. 7 , 8 a 11, ako aj s čl. 52 ods. 1 Charty základných práv EÚ.</w:t>
              <w:br/>
            </w:r>
            <w:r>
              <w:rPr>
                <w:b w:val="off"/>
                <w:color w:val="000000"/>
                <w:rFonts w:ascii="Times New Roman" w:hAnsi="Times New Roman" w:cs="Times New Roman" w:eastAsia="Times New Roman"/>
                <w:sz w:val="24"/>
              </w:rPr>
              <w:t xml:space="preserve">V súlade s vyššie citovaným rozsudkom je však prípustná právna úprava, ktorá </w:t>
              <w:br/>
            </w:r>
            <w:r>
              <w:rPr>
                <w:b w:val="off"/>
                <w:color w:val="000000"/>
                <w:rFonts w:ascii="Times New Roman" w:hAnsi="Times New Roman" w:cs="Times New Roman" w:eastAsia="Times New Roman"/>
                <w:sz w:val="24"/>
              </w:rPr>
              <w:t xml:space="preserve">- umožňuje všeobecné a nediferencované uchovávanie prevádzkových a lokalizačných údajov prípustné v prípade vážnej hrozby pre národnú bezpečnosť, ktorá sa javí ako skutočná a aktuálna alebo predvídateľná, ak rozhodnutie, ktorým sa vydáva takýto príkaz, môže byť účinne preskúmané zo strany súdu alebo nezávislého správneho orgánu, ktorého rozhodnutie má záväzný účinok, pričom cieľom tohto preskúmania je overiť existenciu jednej z týchto situácií a dodržanie podmienok a záruk, ktoré musia byť stanovené, a ak uvedený príkaz možno vydať len na časovo obmedzené obdobie, ktoré je striktne nevyhnutné, s možnosťou jeho predĺženia v prípade pretrvávania takejto hrozby, </w:t>
              <w:br/>
            </w:r>
            <w:r>
              <w:rPr>
                <w:b w:val="off"/>
                <w:color w:val="000000"/>
                <w:rFonts w:ascii="Times New Roman" w:hAnsi="Times New Roman" w:cs="Times New Roman" w:eastAsia="Times New Roman"/>
                <w:sz w:val="24"/>
              </w:rPr>
              <w:t>- umožňuje na účely ochrany národnej bezpečnosti, boja proti závažnej trestnej činnosti a predchádzania vážnym hrozbám pre verejnú bezpečnosť cielené uchovávanie údajov o prenose dát a polohe, ktoré je vymedzené na základe objektívnych a nediskriminačných faktorov, podľa kategórií dotknutých osôb alebo prostredníctvom geografického kritéria, na časovo obmedzené obdobie, ktoré je striktne nevyhnutné, s možnosťou jeho predĺženia,</w:t>
              <w:br/>
            </w:r>
            <w:r>
              <w:rPr>
                <w:b w:val="off"/>
                <w:color w:val="000000"/>
                <w:rFonts w:ascii="Times New Roman" w:hAnsi="Times New Roman" w:cs="Times New Roman" w:eastAsia="Times New Roman"/>
                <w:sz w:val="24"/>
              </w:rPr>
              <w:t xml:space="preserve"> - umožňuje na účely boja proti závažnej trestnej činnosti a a fortiori ochrany národnej bezpečnosti nariadiť prostredníctvom rozhodnutia príslušného orgánu, ktoré podlieha účinnému súdnemu preskúmaniu, poskytovateľom elektronických komunikačných služieb, aby urýchlene uchovali na potrebný čas údaje o prenose dát a polohe, ktoré majú k dispozícii, </w:t>
              <w:br/>
            </w:r>
            <w:r>
              <w:rPr>
                <w:b w:val="off"/>
                <w:color w:val="000000"/>
                <w:rFonts w:ascii="Times New Roman" w:hAnsi="Times New Roman" w:cs="Times New Roman" w:eastAsia="Times New Roman"/>
                <w:sz w:val="24"/>
              </w:rPr>
              <w:t>- ak tieto opatrenia prostredníctvom jasných a presných pravidiel zabezpečujú, že uchovávanie dotknutých údajov podlieha dodržiavaniu príslušných hmotnoprávnych a procesných podmienok a že dotknuté osoby majú účinné záruky proti rizikám zneužitia.</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Navrhovaná úprava § 76 ods. 6 bude nahradená zmenou v § 117 ods. 7 a 8 zákona č. 452/2021 Z. z. o elektronických komunikáciách.</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5.	V čl. I bode 1 § 17c ods. 2 odporúčame slovo „prekážok“ nahradiť slovom „prekážky“.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6.	V čl. I bode 1 § 17c ods. 3 odporúčame z dôvodu prehľadnosti obsah úradného záznamu uviesť do jednotlivých písmen.</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Navrhovaný spôsob považujeme za vhodnejší.</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7.	V čl. I bode 2 odporúčame v prvej novej vete, ktorá sa pripája na koniec odseku 6, za slovo „osobu“ doplniť slová „podľa predchádzajúcej vety“.</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Navrhované doplnenie považujeme za nadbytočné.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8.	V čl. I bode 3 § 20a ods. 8 odporúčame za slová „odseku 1“ doplniť slová „písm. d)“.</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9.	V čl. I bode 6 úvodnej vete odporúčame vypustiť slová „§ 29a“, pretože sa mení len nadpis § 29a.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10.	V čl. I bode 7 § 29a ods. 1 k poznámke pod čiarou k odkazu 11e odporúčame doterajšiu citáciu na zákon Národnej rady Slovenskej republiky č. 168/1996 Zb. o cestnej doprave nahradiť citáciou na platný zákon č. 56/2012 Z. z. o cestnej doprave v znení neskorších predpisov.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11.	V čl. I bode 12 § 36 odporúčame za slovo „terorizmu“ pred odkaz „1)“ vložiť čiarku, slová „financovaniu terorizmu organizovanej“ nahradiť slovami „financovania terorizmu organizovaných“ a slová „financovaniu terorizmu súvisiacej“ nahradiť slovami „financovania terorizmu súvisiacich“.</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12.	V čl. I bode 16 § 43 ods. 1 odporúčame slová „za účelom“ nahradiť slovami „na účely“.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13.	V čl. I bode 18  odporúčame  pred slovo „záznam“ vložiť slovo „úradný“.</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Uvedené ustanovenie sa týka iného druhu záznamu ako je úradný záznam, ktorý má presne ustanovené náležitosti.</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14.	V čl. I odporúčame spojiť novelizačné body 19 a 20 do jedného bodu.</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Navrhovaný spôsob považujeme za vhodnejší.</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15.	V čl. I bode 24 odporúčame uviesť skrátenú citáciu nariadenia vzhľadom na to, že úplná citácia je uvedená už v bode 22.</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Poznámka pod čiarou k odkazu 27eb bola vypustená.</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16.	V čl. I bode 25 odporúčame upraviť úvodnú vetu takto: „Nadpis šiestej hlavy znie:“.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17.	V čl. I bode 26 § 69h ods. 1 písm. c) odporúčame vypustiť slová „na účely“ z dôvodu nadbytočnosti, resp. duplicity s úvodnou vetou.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18.	V čl. I bode 27 § 69h ods. 3 písm. a) na konci a bode 28 § 69h ods. 4 a 5 odporúčame za odkazmi uvádzať okrúhlu zátvorku bez horného indexu.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19.	V čl. I bode 28 § 69h ods. 5 odporúčame slovo „klientovi“ nahradiť slovom „cestujúcom“, pretože zákon č. 332/2023 Z. z. o verejnej osobnej doprave a o zmene a doplnení niektorých zákonov v znení zákona č. 335/2025 Z. z., ktorý upravuje prevádzkovanie verejnej osobnej dopravy, ako aj iné osobitné predpisy v oblasti dopravy používajú pojem „cestujúci“. Pojem „klient“ vo vzťahu k týmto druhom dopravy sa nepoužíva a vzhľadom na uvedené máme za to, že zaužívaný pojem „cestujúci“ je v tomto kontexte vhodnejší; následne je potrebné upraviť aj v ďalšom texte návrhu zákona. Ďalej odporúčame v odseku 5 za slovo „služieb“ vložiť bodku a na konci bodku vypustiť.</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Navrhovanú zmenu nie je možné vykonať, keďže pojem "cestujúci" sa viaže na leteckú dopravu (§ 69h ods. 3)</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20.	V čl. I bode 30 § 69h ods. 10 odporúčame slová „vodná doprava“ nahradiť slovami „lodná doprava“ a na konci vypustiť slová „a autokarová doprava“. Ďalej odporúčame odkazy „27eef)“ a „27eeg)“ vrátane poznámok pod čiarou k týmto odkazom vypustiť a nahradiť odkazom a poznámkou pod čiarou na zákon č. 332/2023 Z. z. o verejnej osobnej doprave a o zmene a doplnení niektorých zákonov v znení zákona č. 335/2025 Z. z., ktorý upravuje prevádzkovanie verejnej osobnej dopravy, teda autobusovej dopravy, železničnej dopravy a lodnej dopravy. Prípadne, ak tam majú zostať odkazy na príslušné osobitné predpisy odporúčame uviesť citáciu na konkrétne ustanovenia, teda v prípade zákona č. 338/2000 Z. z. o vnútrozemskej plavbe a o zmene a doplnení niektorých zákonov v znení neskorších predpisov na § 7 ods. 3 zákona a v prípade zákona č. 514/2009 Z. z. o doprave na dráhach v znení neskorších predpisov na § 2a ods. 2 zákona.</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Navrhované znenie považujeme za vhodnejšie.</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21.	V čl. I bode 31 odporúčame vzhľadom na to, že sa z pôvodného odseku vypúšťajú len slová „Ministerstvo zahraničných vecí a európskych záležitostí Slovenskej republiky“, upraviť úvodnú vetu takto: „V § 69h ods. 13 sa vypúšťajú slová „Ministerstvo zahraničných vecí a európskych záležitostí Slovenskej republiky,“.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22.	V čl. I bode 36 odporúčame slová „i), j), k), l) a m)“ nahradiť slovami „i) až m)“.</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23.	V čl. I bode 37 odporúčame slovo „dopravca“ nahradiť slovami „dopravca v inom druhu dopravy“ a následne upraviť aj v ďalšom texte návrhu zákona.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24.	V čl. I bode 43 § 69ja ods. 2 a 3 odporúčame slovo „záznamy“ nahradiť slovom „záznam“.</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25.	V čl. I bode 43 § 69jb ods. 2 písm. b) odporúčame slová „článku 21 Charty základných práv Európskej únie“ nahradiť slovami „osobitnom predpise“ a nad tieto slová uviesť odkaz a doplniť poznámku pod čiarou k tomuto odkazu na čl. 21 Charty základných práv Európskej únie.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26.	V čl. I bode 45 odporúčame slová „pseudonymizovaných záznamov“ nahradiť slovami „pseudonymizovaného záznamu“. Rovnako v bode 51.</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27.	V čl. I bode 49 odporúčame slová „ záznamu o cestujúcom alebo záznam“ nahradiť slovami „záznamu o cestujúcom alebo záznamu“.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28.	V čl. I bode 52 odporúčame slovo „Úradu“ nahradiť slovom „Úrad“.</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29.	V čl. I bode 52 § 69m ods. 9 odporúčame číslo „3“ nahradiť slovom „troch“, vypustiť slovo „najneskôr“ za slovom „požiada“ a v odseku 10 číslo „5“ nahradiť slovom „päť“.</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30.	V čl. I bode 53 odporúčame na konci vypustiť nadbytočné úvodzovky a bodku.</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31.	V čl. I bode 56 odporúčame vypustiť nadbytočné slová „a cestujúcich“ a za slovo „predpisu“ vložiť čiarku a vypustiť čiarku za odkazom „1c)“.</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32.	V čl. I bode 57 § 69o ods. 4 odporúčame za slovami „ods. 6 a 11“ vypustiť nadbytočnú čiarku, v odseku 5 na konci slovo „sankcie“ nahradiť slovom „pokuty“, v odseku 8 vypustiť slová „Slovenskej republiky“.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33.	V čl. I bode 59 odporúčame slovo „neodkladne“ nahradiť slovom „bezodkladne“.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34.	V čl. I bode 61 § 76 ods. 6 odporúčame slovo „doposiaľ“ nahradiť iným vhodnejším pojmom, napríklad „zatiaľ“.</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Ustanovenie bolo vypustené.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35.	V čl. I bode 61 § 76 ods. 7 odporúčame slová „páchateľoch, hľadaných osobách a nezvestných osobách“ uviesť do jednotného čísla.</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V kontexte zákona považujeme navrhované znenie za vhodnejšie.</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36.	V čl. I bode 66 odporúčame v úvodnej vete slová „pripája čiarka a“ nahradiť slovom „pripájajú“.</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37.	V čl. I bode 72 odporúčame za slovo „trase“ vložiť čiarku a slová „registračného čísla“ nahradiť slovami „registračné číslo“.</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MDSR</w:t>
              <w:br/>
            </w:r>
            <w:r>
              <w:rPr>
                <w:b w:val="off"/>
                <w:color w:val="000000"/>
                <w:rFonts w:ascii="Times New Roman" w:hAnsi="Times New Roman" w:cs="Times New Roman" w:eastAsia="Times New Roman"/>
                <w:sz w:val="24"/>
              </w:rPr>
              <w:t>Ministerstvo dopravy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II</w:t>
              <w:br/>
            </w:r>
            <w:r>
              <w:rPr>
                <w:b w:val="off"/>
                <w:color w:val="000000"/>
                <w:rFonts w:ascii="Times New Roman" w:hAnsi="Times New Roman" w:cs="Times New Roman" w:eastAsia="Times New Roman"/>
                <w:sz w:val="24"/>
              </w:rPr>
              <w:t>38.	V čl. II odporúčame slová „hľadaných osobách a nezvestných osobách“ uviesť v jednotnom čísle.</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V kontexte celého ustanovenia považujeme za vhodnejšie ponechať množné číslo.</w:t>
            </w:r>
          </w:p>
        </w:tc>
      </w:tr>
      <w:tr>
        <w:trPr>
          <w:trHeight w:val="648"/>
        </w:trPr>
        <w:tc>
          <w:tcPr>
            <w:vAlign w:val="top"/>
          </w:tcPr>
          <w:p>
            <w:pPr>
              <w:spacing w:after="0"/>
              <w:jc w:val="center"/>
            </w:pPr>
            <w:r>
              <w:rPr>
                <w:b w:val="on"/>
                <w:color w:val="000000"/>
                <w:rFonts w:ascii="Times New Roman" w:hAnsi="Times New Roman" w:cs="Times New Roman" w:eastAsia="Times New Roman"/>
                <w:sz w:val="24"/>
              </w:rPr>
              <w:t>MFSR</w:t>
              <w:br/>
            </w:r>
            <w:r>
              <w:rPr>
                <w:b w:val="off"/>
                <w:color w:val="000000"/>
                <w:rFonts w:ascii="Times New Roman" w:hAnsi="Times New Roman" w:cs="Times New Roman" w:eastAsia="Times New Roman"/>
                <w:sz w:val="24"/>
              </w:rPr>
              <w:t>Ministerstvo financií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V analýze vplyvov na rozpočet verejnej správy, na zamestnanosť vo verejnej správe a financovanie návrhu (ďalej len „analýza vplyvov“) v tabuľke č. 1/A je vyčíslený celkový negatívny vplyv na rozpočet v sume 924 195 eur na rok 2026, v sume 2 265 470 eur na rok 2027 a v sume 1 962 910 eur na rok 2028, z toho rozpočtovo nekrytý vplyv v súvislosti so zabezpečením informačného systému záznamov o cestujúcich v sume 1 302 560 eur na rok 2027 a v sume 1 000 000 na rok 2028. V súvislosti s rozpočtovo nekrytým vplyvom je v analýze vplyvov v tabuľke č. 1/B vyčíslený  negatívny vplyv na limit verejných výdavkov na roky 2027 a 2028 v rovnakých sumách. V analýze vplyvov v časti 2.1.1. Financovanie návrhu sa však uvádza, že financovanie návrhu v kategórii 700 na zabezpečenie predmetného informačného systému je „v procese prípravy rozpočtového zabezpečenia  v limite výdavkov kapitoly Ministerstvo vnútra SR na roky 2028 až 2029“, ale zároveň je v analýze vplyvov v časti 2.2.1. Popis návrhu uvedené, že prostriedky na úpravu informačného systému budú zabezpečené z rozpočtu Ministerstva vnútra SR. V doložke vybraných vplyvov je naopak označený nekrytý vplyv na rozpočet verejnej správy. V nadväznosti na uvedené žiadame zosúladiť vyjadrenie k vplyvom na rozpočet verejnej správy uvedené v doložke vybraných vplyvov ako aj v jednotlivých častiach analýzy vplyvov na rozpočet verejnej správy a jednoznačne uviesť, v ktorých rokoch sa predpokladá financovanie informačného systému, t. j. či už v roku 2027 ako je vyčíslené v tabuľkách analýzy vplyvov, alebo až od roku 2028 ako je uvedené v časti 2.1.1. Financovanie návrhu analýzy vplyvov, pričom všetky negatívne vplyvy materiálu vrátane výdavkov na predmetný informačný systém žiadame zabezpečiť v rámci schválených limitov kapitoly Ministerstva vnútra SR na príslušný rozpočtový rok, bez dodatočných požiadaviek na rozpočet verejnej správy a bez vplyvu na limit verejných výdavkov.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Analýza vplyvov bola upravená.</w:t>
            </w:r>
          </w:p>
        </w:tc>
      </w:tr>
      <w:tr>
        <w:trPr>
          <w:trHeight w:val="648"/>
        </w:trPr>
        <w:tc>
          <w:tcPr>
            <w:vAlign w:val="top"/>
          </w:tcPr>
          <w:p>
            <w:pPr>
              <w:spacing w:after="0"/>
              <w:jc w:val="center"/>
            </w:pPr>
            <w:r>
              <w:rPr>
                <w:b w:val="on"/>
                <w:color w:val="000000"/>
                <w:rFonts w:ascii="Times New Roman" w:hAnsi="Times New Roman" w:cs="Times New Roman" w:eastAsia="Times New Roman"/>
                <w:sz w:val="24"/>
              </w:rPr>
              <w:t>MFSR</w:t>
              <w:br/>
            </w:r>
            <w:r>
              <w:rPr>
                <w:b w:val="off"/>
                <w:color w:val="000000"/>
                <w:rFonts w:ascii="Times New Roman" w:hAnsi="Times New Roman" w:cs="Times New Roman" w:eastAsia="Times New Roman"/>
                <w:sz w:val="24"/>
              </w:rPr>
              <w:t>Ministerstvo financií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 xml:space="preserve">V analýze vplyvov žiadame uviesť len vplyvy, ktoré vychádzajú priamo z navrhovaných legislatívnych zmien.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 základe predloženého návrhu zákona nie je možné priamo previazať individuálne zmeny v informačnom systéme Passenger Name Record (ďalej len „IS PNR“) spolu za 2,3 mil. eur a servisnú zmluvu vo výške 700 tis. eur ročne s paragrafovým znením návrhu zákona. Ak niektoré zmeny v informačnom systéme nevychádzajú priamo z navrhovaných legislatívnych zmien, žiadame ich z analýzy vplyvov vypustiť a znížiť celkové výdavky uvedené v analýze vplyvov.</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xml:space="preserve">Navrhované zmeny v zákone si vyžiadajú zmenu IS PNR v uvedenej predpokladanej výške a sú priamo previazané na servisnú zmluvu, ktorej predpokladaná výška bude 730 620 eur.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MFSR</w:t>
              <w:br/>
            </w:r>
            <w:r>
              <w:rPr>
                <w:b w:val="off"/>
                <w:color w:val="000000"/>
                <w:rFonts w:ascii="Times New Roman" w:hAnsi="Times New Roman" w:cs="Times New Roman" w:eastAsia="Times New Roman"/>
                <w:sz w:val="24"/>
              </w:rPr>
              <w:t>Ministerstvo financií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V návrhu zákona sa uvádzajú celkové kapitálové výdavky na úpravu IS PNR v celkovej výške 2,3  mil. eur. Žiadame doplniť podklady, na základe ktorých bude možné overiť rozsah a náklady na úpravu IS PNR, pretože predložený návrh zákona neobsahuje podklady pre ocenenie nákladov na úpravy IS PNR.</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xml:space="preserve">Analýza vplyvov bola upravená.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MFSR</w:t>
              <w:br/>
            </w:r>
            <w:r>
              <w:rPr>
                <w:b w:val="off"/>
                <w:color w:val="000000"/>
                <w:rFonts w:ascii="Times New Roman" w:hAnsi="Times New Roman" w:cs="Times New Roman" w:eastAsia="Times New Roman"/>
                <w:sz w:val="24"/>
              </w:rPr>
              <w:t>Ministerstvo financií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V analýze vplyvov žiadame uviesť len prípadné navýšenie servisnej zmluvy IS PNR. V predloženom návrhu zákona sa uvádzajú výdavky na servisnú zmluvu vo výške 700 tis. eur ročne. Podľa podkladov je možné usúdiť, že IS PNR je už v súčasnosti v prevádzke a má platnú servisnú zmluvu. Preto v analýze vplyvov žiadame uvádzať len prípadné navýšenie výdavkov na tento účel, ktoré má byť odôvodnené zmenami v IS PNR vykonanými na základe navrhovaných legislatívnych zmien.</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Uvedená suma predstavuje predpokladané náklady týkajúce sa servisnej zmluvy IS PNR, ktorá aktuálne nie je uzatvorená. Navrhované zmeny v zákone si vyžiadajú aj uzatvorenie servisnej zmluvy.</w:t>
            </w:r>
          </w:p>
        </w:tc>
      </w:tr>
      <w:tr>
        <w:trPr>
          <w:trHeight w:val="648"/>
        </w:trPr>
        <w:tc>
          <w:tcPr>
            <w:vAlign w:val="top"/>
          </w:tcPr>
          <w:p>
            <w:pPr>
              <w:spacing w:after="0"/>
              <w:jc w:val="center"/>
            </w:pPr>
            <w:r>
              <w:rPr>
                <w:b w:val="on"/>
                <w:color w:val="000000"/>
                <w:rFonts w:ascii="Times New Roman" w:hAnsi="Times New Roman" w:cs="Times New Roman" w:eastAsia="Times New Roman"/>
                <w:sz w:val="24"/>
              </w:rPr>
              <w:t>MFSR</w:t>
              <w:br/>
            </w:r>
            <w:r>
              <w:rPr>
                <w:b w:val="off"/>
                <w:color w:val="000000"/>
                <w:rFonts w:ascii="Times New Roman" w:hAnsi="Times New Roman" w:cs="Times New Roman" w:eastAsia="Times New Roman"/>
                <w:sz w:val="24"/>
              </w:rPr>
              <w:t>Ministerstvo financií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Návrh zákona je potrebné zosúladiť s prílohou č. 1 Legislatívnych pravidiel vlády SR (ďalej len „príloha LPV“) [napríklad v bode 2 za číslo „6“ vložiť slová „druhej vete“, v bode 3 § 20a ods. 2 slová „aj inej osobe“ preformulovať, pretože gramaticky nekorešpondujú so znením odseku 2, v § 20 ods. 5 číslo „6“ nahradiť slovom „šesť“, v poznámke pod čiarou k odkazu 10aa druhej citácii za slová „2008/633/SVV“ vložiť slová „(Ú. v. EÚ L 135, 22.5.2019) v platnom znení“ a na konci poslednej citácie pripojiť slová „(Ú. v. EÚ L 258,15.10.1018)“, v bode 9 za slová „§ 31“ vložiť slová „druhej vete“ a slovo „muníciu“ nahradiť slovom „munícia“, v bode 15 poznámke pod čiarou k odkazu 18c vypustiť slová „v znení neskorších predpisov“, bod 21 zosúladiť s bodom 35.2. prílohy LPV, v bode 22 poznámke pod čiarou k odkazu 27dd na konci pripojiť slová „(Ú. v. EÚ L, 5.4.2024)“, v bode 24 poznámke pod čiarou k odkazu 27eb úplnú citáciu nariadenia nahradiť jeho skrátenou citáciu, v bode 25 slovo „Názov“ nahradiť slovom „Nadpis“, v bode 30 poznámke pod čiarou k odkazu 27eef slovo „zákon“ nahradiť slovom „Zákon“, v bode 36 § 69i ods. 9 odkaz „27eeh)“ nahradiť odkazom „27ega) a slová „a), b), c), e), f), i), j), k), l) a m)“ nahradiť slovami „a) až c), e), f) a i) až m)“, v úvodnej vete k poznámke pod čiarou k odkazu  27eeh slová „27eeh“ nahradiť slovami „27ega“ a  upraviť označenie príslušnej poznámky pod čiarou, v § 69i ods. 11 a 12 slová „§69h“ nahradiť slovami „§ 69h“, v bode 37 § 69ia ods. 2 slová „§69h“ nahradiť slovami „§ 69h“ a v § 69ia ods. 3 slová „ak sa miesto poskytnutej služby nachádza“ uviesť v úvodnej vete, v bode 40 za číslo „3“ vložiť slová „prvej vete“, v bode 41 slová „§69j“ nahradiť slovami „§ 69j“, v bode 43 § 69ja ods. 2 a 3 a § 69jb ods. 1 slovo „krajín“ nahradiť slovami „členských štátov“, v § 69ja ods. 2 za slovo „únie“ vložiť čiarku, v § 69jb ods. 2 písm. a) preformulovať takto: „a) byť objektívna, nediskriminačná a spracúvaná na základe riadnych dôvodov,“ v bode 47 úvodnej vete za číslo „1“ vložiť slová „úvodnej vete“, v bode 52 § 69m ods. 8 slová „§69m“ nahradiť slovami „§ 69m“, v § 69b ods. 9 prvej vete slová „§69ja“ nahradiť slovami „§ 69ja“, slová „§69m“ nahradiť slovami „§ 69m“ a v tretej vete číslo „3“ nahradiť slovom „troch“, v § 69m ods. 10 číslo „5“ nahradiť slovom „päť“, v bode 53 vypustiť posledné úvodzovky ako nadbytočné, v bode 57 § 69o ods. 4 za číslom „11“ vypustiť bodku a v § 69o ods. 8 vypustiť slová „Slovenskej republiky“ ako nadbytočné, v bode 62 slová „vkladajú slová“ nahradiť slovami „vkladá čiarka a slová“, v bode 72 za slovo „trase“ vložiť čiarku a slová „registračného čísla“ nahradiť slovami „registračné číslo“, v čl. II úvodnej vete doplniť chýbajúce novely, a to zákon č. 258/2025 Z. z., zákon č. 294/2025 Z. z. a  zákon č. 312/2025 Z. z. a v odôvodnení k tomuto článku slová „§ 76 ods. 6“ nahradiť slovami „§ 76 ods. 7“ v súlade s čl. I bodom 61 § 76 ods. 7, v čl. III úvodnej vete doplniť chýbajúce novely, a to zákon č. 261/2025 Z. z. a zákon č. 297/2025 Z. z. a bod 2 zosúladiť s bodom 38 prílohy LPV].</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MFSR</w:t>
              <w:br/>
            </w:r>
            <w:r>
              <w:rPr>
                <w:b w:val="off"/>
                <w:color w:val="000000"/>
                <w:rFonts w:ascii="Times New Roman" w:hAnsi="Times New Roman" w:cs="Times New Roman" w:eastAsia="Times New Roman"/>
                <w:sz w:val="24"/>
              </w:rPr>
              <w:t>Ministerstvo financií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29a ods. 1 K bodu 7 písm. c)</w:t>
              <w:br/>
            </w:r>
            <w:r>
              <w:rPr>
                <w:b w:val="off"/>
                <w:color w:val="000000"/>
                <w:rFonts w:ascii="Times New Roman" w:hAnsi="Times New Roman" w:cs="Times New Roman" w:eastAsia="Times New Roman"/>
                <w:sz w:val="24"/>
              </w:rPr>
              <w:t>V bode 7 § 29a ods. 1 písm. c) odporúčame slovo „písomností“ nahradiť slovom „záznamov“ z dôvodu terminologického zosúladenia so zákonom č. 431/2002 Z. z. o účtovníctve v znení neskorších predpisov.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MHSR</w:t>
              <w:br/>
            </w:r>
            <w:r>
              <w:rPr>
                <w:b w:val="off"/>
                <w:color w:val="000000"/>
                <w:rFonts w:ascii="Times New Roman" w:hAnsi="Times New Roman" w:cs="Times New Roman" w:eastAsia="Times New Roman"/>
                <w:sz w:val="24"/>
              </w:rPr>
              <w:t>Ministerstvo hospodárstva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tabuľke zhody</w:t>
              <w:br/>
            </w:r>
            <w:r>
              <w:rPr>
                <w:b w:val="off"/>
                <w:color w:val="000000"/>
                <w:rFonts w:ascii="Times New Roman" w:hAnsi="Times New Roman" w:cs="Times New Roman" w:eastAsia="Times New Roman"/>
                <w:sz w:val="24"/>
              </w:rPr>
              <w:t>Odporúčame predkladateľovi, aby náležite vyplnil stĺpce 9 a 10 tabuľky zhody pri každom transponovanom ustanovení. Ak nebol identifikovaný goldplating,  je potrebné v stĺpci 9 vyznačiť poznámku GP-N a stĺpec 10 zostane bez vyplnenia. Ak bol identifikovaný goldplating, je potrebné v stĺpci 9 vyznačiť poznámku GP-A  a v stĺpci 10 vyplniť  oblasti goldplatingu. Pod tabuľkou zhody odporúčame uviesť Vyjadrenie k opodstatnenosti goldplatingu a jeho odôvodnenie.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MINCRS</w:t>
              <w:br/>
            </w:r>
            <w:r>
              <w:rPr>
                <w:b w:val="off"/>
                <w:color w:val="000000"/>
                <w:rFonts w:ascii="Times New Roman" w:hAnsi="Times New Roman" w:cs="Times New Roman" w:eastAsia="Times New Roman"/>
                <w:sz w:val="24"/>
              </w:rPr>
              <w:t>Ministerstvo cestovného ruchu a športu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Návrh odporúčame zosúladiť s Legislatívnymi pravidlami vlády Slovenskej republiky, a to napríklad</w:t>
              <w:br/>
            </w:r>
            <w:r>
              <w:rPr>
                <w:b w:val="off"/>
                <w:color w:val="000000"/>
                <w:rFonts w:ascii="Times New Roman" w:hAnsi="Times New Roman" w:cs="Times New Roman" w:eastAsia="Times New Roman"/>
                <w:sz w:val="24"/>
              </w:rPr>
              <w:t>- v čl. I bode 1 § 17c ods. 3 odporúčame slová „osobe a čas“ nahradiť slovami „osobe, čas“,</w:t>
              <w:br/>
            </w:r>
            <w:r>
              <w:rPr>
                <w:b w:val="off"/>
                <w:color w:val="000000"/>
                <w:rFonts w:ascii="Times New Roman" w:hAnsi="Times New Roman" w:cs="Times New Roman" w:eastAsia="Times New Roman"/>
                <w:sz w:val="24"/>
              </w:rPr>
              <w:t>- v čl. I bode 12 § 36 odporúčame číslo „1“ vložiť do horného indexu,</w:t>
              <w:br/>
            </w:r>
            <w:r>
              <w:rPr>
                <w:b w:val="off"/>
                <w:color w:val="000000"/>
                <w:rFonts w:ascii="Times New Roman" w:hAnsi="Times New Roman" w:cs="Times New Roman" w:eastAsia="Times New Roman"/>
                <w:sz w:val="24"/>
              </w:rPr>
              <w:t>- v  čl. I bode 36 § 69i ods. 9 odporúčame slová „a), b), c), e), f), i), j), k), l) a m)“ nahradiť slovami „a) až c), e), f), i) až m)“,</w:t>
              <w:br/>
            </w:r>
            <w:r>
              <w:rPr>
                <w:b w:val="off"/>
                <w:color w:val="000000"/>
                <w:rFonts w:ascii="Times New Roman" w:hAnsi="Times New Roman" w:cs="Times New Roman" w:eastAsia="Times New Roman"/>
                <w:sz w:val="24"/>
              </w:rPr>
              <w:t>- v  čl. I bode 43 § 69ja ods. 1 odporúčame pred slovom „69m“ vypustiť paragrafovú značku,</w:t>
              <w:br/>
            </w:r>
            <w:r>
              <w:rPr>
                <w:b w:val="off"/>
                <w:color w:val="000000"/>
                <w:rFonts w:ascii="Times New Roman" w:hAnsi="Times New Roman" w:cs="Times New Roman" w:eastAsia="Times New Roman"/>
                <w:sz w:val="24"/>
              </w:rPr>
              <w:t>- v čl. II úvodnej vete odporúčame doplniť chýbajúce novelizácie, a to zákon č. 258/2025 Z. z. a zákon č. 294/2025 Z. z.,</w:t>
              <w:br/>
            </w:r>
            <w:r>
              <w:rPr>
                <w:b w:val="off"/>
                <w:color w:val="000000"/>
                <w:rFonts w:ascii="Times New Roman" w:hAnsi="Times New Roman" w:cs="Times New Roman" w:eastAsia="Times New Roman"/>
                <w:sz w:val="24"/>
              </w:rPr>
              <w:t>- v čl. III úvodnej vete odporúčame doplniť chýbajúce novelizácie, a to zákon č. 261/2025 Z. z.</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MIRRI SR</w:t>
              <w:br/>
            </w:r>
            <w:r>
              <w:rPr>
                <w:b w:val="off"/>
                <w:color w:val="000000"/>
                <w:rFonts w:ascii="Times New Roman" w:hAnsi="Times New Roman" w:cs="Times New Roman" w:eastAsia="Times New Roman"/>
                <w:sz w:val="24"/>
              </w:rPr>
              <w:t>Ministerstvo investícií, regionálneho rozvoja a informatizácie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K Vlastnému materiálu, Čl. I, bodu 43, § 69ja ods. 2.</w:t>
              <w:br/>
            </w:r>
            <w:r>
              <w:rPr>
                <w:b w:val="off"/>
                <w:color w:val="000000"/>
                <w:rFonts w:ascii="Times New Roman" w:hAnsi="Times New Roman" w:cs="Times New Roman" w:eastAsia="Times New Roman"/>
                <w:sz w:val="24"/>
              </w:rPr>
              <w:t>Žiadame preformulovať znenie predmetného ustanovenia nasledovne:</w:t>
              <w:br/>
            </w:r>
            <w:r>
              <w:rPr>
                <w:b w:val="off"/>
                <w:color w:val="000000"/>
                <w:rFonts w:ascii="Times New Roman" w:hAnsi="Times New Roman" w:cs="Times New Roman" w:eastAsia="Times New Roman"/>
                <w:sz w:val="24"/>
              </w:rPr>
              <w:t>§ 69ja ods. 2 znie: „(2)	Ak je vyhlásená vojna, vojnový stav, výnimočný stav, mimoriadna situácia spôsobená vznikom  mimoriadnej udalosti, prípadne inou krízovou situáciou alebo existuje skutočná, aktuálna alebo predvídateľná teroristická hrozba, je možné spracúvať záznamy o cestujúcom a záznam o klientovi zo všetkých krajín Európskej únie a to aj spätne.“.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Pojmy mimoriadna situácia a mimoriadna udalosť majú v právnom poriadku Slovenskej republiky odlišný obsah. Podľa zákona č. 42/1994 Z. z. o civilnej ochrane obyvateľstva v znení neskorších predpisov sa mimoriadna situácia vyhlasuje, zatiaľ čo mimoriadna udalosť nevzniká na základe vyhlásenia, ale nastáva ako faktický jav. Navrhované znenie zabezpečuje terminologickú presnosť, súlad s právnou úpravou v oblasti krízového riadenia a civilnej ochrany a odstraňuje nesprávny dojem, že mimoriadnu udalosť je možné vyhlásiť.</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xml:space="preserve">Ustanovenie bolo upravené v súlade s rozsudkom Súdneho dvora Európskej únie – Vec C-817/19. Podľa tohto rozsudku sa uplatňuje postup podľa § 69ja ods. 2 nie len v čase vojny  a vojnového stavu  aj v prípade výnimočného stavu, ak jeho vyhlásenie súvisí s teroristickým útokom.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MIRRI SR</w:t>
              <w:br/>
            </w:r>
            <w:r>
              <w:rPr>
                <w:b w:val="off"/>
                <w:color w:val="000000"/>
                <w:rFonts w:ascii="Times New Roman" w:hAnsi="Times New Roman" w:cs="Times New Roman" w:eastAsia="Times New Roman"/>
                <w:sz w:val="24"/>
              </w:rPr>
              <w:t>Ministerstvo investícií, regionálneho rozvoja a informatizácie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Vlastnému materiálu, Čl. I, bodu 43, § 69ja ods. 2.</w:t>
              <w:br/>
            </w:r>
            <w:r>
              <w:rPr>
                <w:b w:val="off"/>
                <w:color w:val="000000"/>
                <w:rFonts w:ascii="Times New Roman" w:hAnsi="Times New Roman" w:cs="Times New Roman" w:eastAsia="Times New Roman"/>
                <w:sz w:val="24"/>
              </w:rPr>
              <w:t>Odporúčame preformulovať znenie predmetného ustanovenia nasledovne:</w:t>
              <w:br/>
            </w:r>
            <w:r>
              <w:rPr>
                <w:b w:val="off"/>
                <w:color w:val="000000"/>
                <w:rFonts w:ascii="Times New Roman" w:hAnsi="Times New Roman" w:cs="Times New Roman" w:eastAsia="Times New Roman"/>
                <w:sz w:val="24"/>
              </w:rPr>
              <w:t xml:space="preserve">§ 69ja ods. 2 znie: „(2)	Ak je vyhlásená vojna, vojnový stav, výnimočný stav, núdzový stav, mimoriadna situácia spôsobená vznikom  mimoriadnej udalosti, prípadne inou krízovou situáciou alebo existuje skutočná, aktuálna alebo predvídateľná teroristická hrozba, je možné spracúvať záznamy o cestujúcom a záznam o klientovi zo všetkých krajín Európskej únie a to aj spätne.“.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Ústavný zákon č. 227/2002 Z. z. o bezpečnosti štátu v čase vojny, vojnového stavu, výnimočného stavu a núdzového stavu v znení neskorších predpisov ustanovuje štyri krízové stavy, ktoré možno na území Slovenskej republiky vyhlásiť na riešenie krízovej situácie. V pôvodnom znení navrhovaného odseku však núdzový stav nie je uvedený, hoci ide o krízový stav upravený týmto ústavným zákonom. Z uvedeného dôvodu odporúčame jeho doplnenie, aby bolo ustanovenie terminologicky úplné, v súlade s právnou úpravou ústavného zákona a aby nedochádzalo k neúmyselnému obmedzeniu situácií, v ktorých je možné spracúvať záznamy podľa tohto ustanovenia.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MKSR</w:t>
              <w:br/>
            </w:r>
            <w:r>
              <w:rPr>
                <w:b w:val="off"/>
                <w:color w:val="000000"/>
                <w:rFonts w:ascii="Times New Roman" w:hAnsi="Times New Roman" w:cs="Times New Roman" w:eastAsia="Times New Roman"/>
                <w:sz w:val="24"/>
              </w:rPr>
              <w:t>Ministerstvo kultúry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Čl. I</w:t>
              <w:br/>
            </w:r>
            <w:r>
              <w:rPr>
                <w:b w:val="off"/>
                <w:color w:val="000000"/>
                <w:rFonts w:ascii="Times New Roman" w:hAnsi="Times New Roman" w:cs="Times New Roman" w:eastAsia="Times New Roman"/>
                <w:sz w:val="24"/>
              </w:rPr>
              <w:t>K bodu 2: V § 18 ods. 6 v pripájanej prvej vete odporúčame slovo „osobu“ bližšie definovať.</w:t>
              <w:br/>
            </w:r>
            <w:r>
              <w:rPr>
                <w:b w:val="off"/>
                <w:color w:val="000000"/>
                <w:rFonts w:ascii="Times New Roman" w:hAnsi="Times New Roman" w:cs="Times New Roman" w:eastAsia="Times New Roman"/>
                <w:sz w:val="24"/>
              </w:rPr>
              <w:t xml:space="preserve">Odôvodnenie: V odseku 6 každá „osoba“ je bližšie špecifikovaná: „osoba vyhlásená za ...“, „táto osoba“, „osoba pozbavená ...“, „osoba duševne ...“. </w:t>
              <w:br/>
            </w:r>
            <w:r>
              <w:rPr>
                <w:b w:val="off"/>
                <w:color w:val="000000"/>
                <w:rFonts w:ascii="Times New Roman" w:hAnsi="Times New Roman" w:cs="Times New Roman" w:eastAsia="Times New Roman"/>
                <w:sz w:val="24"/>
              </w:rPr>
              <w:t xml:space="preserve">K bodu 31: Upozorňujeme, že navrhovaný § 69h ods. 13 je duplicitné ustanovenie s doterajším odsekom 6, ktorý sa podľa bodu 28 označuje ako odsek 7. </w:t>
              <w:br/>
            </w:r>
            <w:r>
              <w:rPr>
                <w:b w:val="off"/>
                <w:color w:val="000000"/>
                <w:rFonts w:ascii="Times New Roman" w:hAnsi="Times New Roman" w:cs="Times New Roman" w:eastAsia="Times New Roman"/>
                <w:sz w:val="24"/>
              </w:rPr>
              <w:t>K bodu 36: V § 69i ods. 10 písm. f) je potrebné za slovom „adresa“ buď doplniť slovo „pobytu“, tak ako je to v § 76 ods. 8, alebo pojem „adresa“ zadefinovať v návrhu zákona.</w:t>
              <w:br/>
            </w:r>
            <w:r>
              <w:rPr>
                <w:b w:val="off"/>
                <w:color w:val="000000"/>
                <w:rFonts w:ascii="Times New Roman" w:hAnsi="Times New Roman" w:cs="Times New Roman" w:eastAsia="Times New Roman"/>
                <w:sz w:val="24"/>
              </w:rPr>
              <w:t>Odôvodnenie: Súlad s čl. 7 legislatívnych pravidiel vlády.</w:t>
              <w:br/>
            </w:r>
            <w:r>
              <w:rPr>
                <w:b w:val="off"/>
                <w:color w:val="000000"/>
                <w:rFonts w:ascii="Times New Roman" w:hAnsi="Times New Roman" w:cs="Times New Roman" w:eastAsia="Times New Roman"/>
                <w:sz w:val="24"/>
              </w:rPr>
              <w:t>K bodom 50 a 52: Odporúčame písanie čísloviek zosúladiť podľa bodu 6. prílohy č. 1 legislatívnych pravidiel vlády.</w:t>
              <w:br/>
            </w:r>
            <w:r>
              <w:rPr>
                <w:b w:val="off"/>
                <w:color w:val="000000"/>
                <w:rFonts w:ascii="Times New Roman" w:hAnsi="Times New Roman" w:cs="Times New Roman" w:eastAsia="Times New Roman"/>
                <w:sz w:val="24"/>
              </w:rPr>
              <w:t>K bodu 57: V § 69o ods. 3 a 5 navrhujeme slová „môže uložiť“ a „možno uložiť“ nahradiť slovom „uloží“ tak, ako je to v odseku 4.</w:t>
              <w:br/>
            </w:r>
            <w:r>
              <w:rPr>
                <w:b w:val="off"/>
                <w:color w:val="000000"/>
                <w:rFonts w:ascii="Times New Roman" w:hAnsi="Times New Roman" w:cs="Times New Roman" w:eastAsia="Times New Roman"/>
                <w:sz w:val="24"/>
              </w:rPr>
              <w:t>Odôvodnenie: Správny orgán v prípade porušenia povinnosti leteckým úradom by nemal mať len fakultatívnu možnosť uložiť pokutu, teda ju aj neuložiť, pri absencii akýchkoľvek zákonných dôvodov. Prečo je táto možnosť daná správnemu orgánu v odsekoch 3 a 5 a v odseku 4 nie, nie je vysvetlené ani v dôvodovej správe. Naopak, v dôvodovej správe sa zdôrazňuje, že toto ustanovenie so zvýšenými sumami pokuty, slúži na obnovu preventívnej a represívnej funkcie správneho konania.</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MOSR</w:t>
              <w:br/>
            </w:r>
            <w:r>
              <w:rPr>
                <w:b w:val="off"/>
                <w:color w:val="000000"/>
                <w:rFonts w:ascii="Times New Roman" w:hAnsi="Times New Roman" w:cs="Times New Roman" w:eastAsia="Times New Roman"/>
                <w:sz w:val="24"/>
              </w:rPr>
              <w:t>Ministerstvo obrany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1. K čl. I novelizačný bod 43 (§ 69ja ods. 3)</w:t>
              <w:br/>
            </w:r>
            <w:r>
              <w:rPr>
                <w:b w:val="off"/>
                <w:color w:val="000000"/>
                <w:rFonts w:ascii="Times New Roman" w:hAnsi="Times New Roman" w:cs="Times New Roman" w:eastAsia="Times New Roman"/>
                <w:sz w:val="24"/>
              </w:rPr>
              <w:t>V § 69ja ods. 3 žiadame slová „skutočnou a aktuálnou teroristickou hrozbou“ nahradiť slovami „skutočnou, aktuálnou alebo predvídateľnou teroristickou hrozbou“.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Navrhované doplnenie slovného spojenia „predvídateľná teroristická hrozba“ vytvára širší a systematickejší právny rámec pre činnosť spravodajských služieb a Policajného zboru tak, aby umožňovalo včasnú identifikáciu, monitorovanie a komplexnejšiu elimináciu celého spektra teroristických hrozieb.</w:t>
              <w:br/>
            </w:r>
            <w:r>
              <w:rPr>
                <w:b w:val="off"/>
                <w:color w:val="000000"/>
                <w:rFonts w:ascii="Times New Roman" w:hAnsi="Times New Roman" w:cs="Times New Roman" w:eastAsia="Times New Roman"/>
                <w:sz w:val="24"/>
              </w:rPr>
              <w:t>Navrhovaná úprava posilňuje schopnosť spravodajských služieb a Policajného zboru efektívne plniť ich zákonom ustanovené úlohy, najmä v oblasti prevencie, ochrany bezpečnosti štátu a minimalizácie potenciálnych teroristických hrozieb.</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MOSR</w:t>
              <w:br/>
            </w:r>
            <w:r>
              <w:rPr>
                <w:b w:val="off"/>
                <w:color w:val="000000"/>
                <w:rFonts w:ascii="Times New Roman" w:hAnsi="Times New Roman" w:cs="Times New Roman" w:eastAsia="Times New Roman"/>
                <w:sz w:val="24"/>
              </w:rPr>
              <w:t>Ministerstvo obrany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2. K čl. I novelizačný bod 43 (§ 69ja ods. 3)</w:t>
              <w:br/>
            </w:r>
            <w:r>
              <w:rPr>
                <w:b w:val="off"/>
                <w:color w:val="000000"/>
                <w:rFonts w:ascii="Times New Roman" w:hAnsi="Times New Roman" w:cs="Times New Roman" w:eastAsia="Times New Roman"/>
                <w:sz w:val="24"/>
              </w:rPr>
              <w:t xml:space="preserve">V § 69ja ods. 3 žiadame slová „najviac 90 dní od doručenia žiadosti a nie staršie ako 90 dní“ nahradiť slovami „najviac 6 mesiacov od doručenia žiadosti a nie staršie ako tri roky“.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xml:space="preserve">Navrhovaná lehota 90 dní neprimerane limituje spracúvanie záznamov z časového hľadiska a z hľadiska definovaných prípadov existencie skutočnej a aktuálnej teroristickej hrozby. Navrhované znenie rozširuje možnosť spracúvania predmetných záznamov počas celej doby uchovávania záznamov. Osobitnú povahu terorizmu reflektuje aj rozsudok, keď uvádza, že „teroristické aktivity patria medzi aktivity, ktoré môžu vážne destabilizovať základné politické, ústavné, hospodárske alebo sociálne štruktúry krajiny a najmä priamo ohroziť spoločnosť, obyvateľstvo alebo samotný štát, a že prvoradým záujmom každého členského štátu je predchádzať týmto aktivitám a potláčať ich, a tak chrániť základné funkcie štátu a základné záujmy spoločnosti s cieľom ochrany národnej bezpečnosti. Takéto hrozby sa svojou povahou, osobitnou závažnosťou a špecifickou povahou okolností, ktoré ju tvoria, odlišujú od všeobecného a trvalého rizika, ktorým je riziko závažných trestných činov.“ </w:t>
              <w:br/>
            </w:r>
            <w:r>
              <w:rPr>
                <w:b w:val="off"/>
                <w:color w:val="000000"/>
                <w:rFonts w:ascii="Times New Roman" w:hAnsi="Times New Roman" w:cs="Times New Roman" w:eastAsia="Times New Roman"/>
                <w:sz w:val="24"/>
              </w:rPr>
              <w:t>Potreba rozšírenia doby spracúvania záznamov o cestujúcom a záznamu o klientovi, pri ktorom sú identifikované objektívne skutočnosti, ktoré by mohli predstavovať riziko v oblasti teroristických trestných činov, je dôležitá z dôvodu zvýšenia pravdepodobnosti a komplexnosti odhalenia určitých spojení alebo schém cestovania dôvodne podozrivých subjektov, ich destinácií a ďalších spravodajsky alebo kriminálne relevantných skutočností.</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Návrh bol po dohode upravený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MOSR</w:t>
              <w:br/>
            </w:r>
            <w:r>
              <w:rPr>
                <w:b w:val="off"/>
                <w:color w:val="000000"/>
                <w:rFonts w:ascii="Times New Roman" w:hAnsi="Times New Roman" w:cs="Times New Roman" w:eastAsia="Times New Roman"/>
                <w:sz w:val="24"/>
              </w:rPr>
              <w:t>Ministerstvo obrany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3. K čl. I novelizačný bod 43 (§ 69jb ods. 1)</w:t>
              <w:br/>
            </w:r>
            <w:r>
              <w:rPr>
                <w:b w:val="off"/>
                <w:color w:val="000000"/>
                <w:rFonts w:ascii="Times New Roman" w:hAnsi="Times New Roman" w:cs="Times New Roman" w:eastAsia="Times New Roman"/>
                <w:sz w:val="24"/>
              </w:rPr>
              <w:t>V § 69jb ods. 1 žiadame na koniec druhej vety vložiť slová „ak osobitný predpis neustanovuje inakx)“.</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Poznámka pod čiarou k odkazu x znie:</w:t>
              <w:br/>
            </w:r>
            <w:r>
              <w:rPr>
                <w:b w:val="off"/>
                <w:color w:val="000000"/>
                <w:rFonts w:ascii="Times New Roman" w:hAnsi="Times New Roman" w:cs="Times New Roman" w:eastAsia="Times New Roman"/>
                <w:sz w:val="24"/>
              </w:rPr>
              <w:t>„x) § 33 zákona č. 500/2022 Z. z. o Vojenskom spravodajstve.“.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Uvedené žiadame doplniť s ohľadom na poskytovanie súčinnosti zo strany Vojenského spravodajstva podľa zákona č. 500/2022 Z. z. o Vojenskom spravodajstve v znení zákona č. 367/2024 Z. z., vrátane poskytovania informácií, a to len za podmienky, že poskytnutím nedôjde k ohrozeniu plnenia úloh Vojenského spravodajstva, k odhaleniu metód, foriem, zdrojov alebo prostriedkov Vojenského spravodajstva, k odhaleniu totožnosti príslušníkov Vojenského spravodajstva alebo osôb konajúcich v prospech Vojenského spravodajstva alebo k ohrozeniu medzinárodnej spravodajskej spolupráce.</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Návrh bol upravený v súlade s pripomienkou.</w:t>
            </w:r>
          </w:p>
        </w:tc>
      </w:tr>
      <w:tr>
        <w:trPr>
          <w:trHeight w:val="648"/>
        </w:trPr>
        <w:tc>
          <w:tcPr>
            <w:vAlign w:val="top"/>
          </w:tcPr>
          <w:p>
            <w:pPr>
              <w:spacing w:after="0"/>
              <w:jc w:val="center"/>
            </w:pPr>
            <w:r>
              <w:rPr>
                <w:b w:val="on"/>
                <w:color w:val="000000"/>
                <w:rFonts w:ascii="Times New Roman" w:hAnsi="Times New Roman" w:cs="Times New Roman" w:eastAsia="Times New Roman"/>
                <w:sz w:val="24"/>
              </w:rPr>
              <w:t>MOSR</w:t>
              <w:br/>
            </w:r>
            <w:r>
              <w:rPr>
                <w:b w:val="off"/>
                <w:color w:val="000000"/>
                <w:rFonts w:ascii="Times New Roman" w:hAnsi="Times New Roman" w:cs="Times New Roman" w:eastAsia="Times New Roman"/>
                <w:sz w:val="24"/>
              </w:rPr>
              <w:t>Ministerstvo obrany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4. K čl. I novelizačný bod 43 (§ 69jc)</w:t>
              <w:br/>
            </w:r>
            <w:r>
              <w:rPr>
                <w:b w:val="off"/>
                <w:color w:val="000000"/>
                <w:rFonts w:ascii="Times New Roman" w:hAnsi="Times New Roman" w:cs="Times New Roman" w:eastAsia="Times New Roman"/>
                <w:sz w:val="24"/>
              </w:rPr>
              <w:t>V § 69jc na konci prvej vety žiadame vložiť slová „ak osobitný predpis neustanovuje inakx)“.</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Poznámka pod čiarou k odkazu x znie:</w:t>
              <w:br/>
            </w:r>
            <w:r>
              <w:rPr>
                <w:b w:val="off"/>
                <w:color w:val="000000"/>
                <w:rFonts w:ascii="Times New Roman" w:hAnsi="Times New Roman" w:cs="Times New Roman" w:eastAsia="Times New Roman"/>
                <w:sz w:val="24"/>
              </w:rPr>
              <w:t>„x) § 33 zákona č. 500/2022 Z. z. o Vojenskom spravodajstve.“.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Uvedené žiadame doplniť s ohľadom na poskytovanie súčinnosti zo strany Vojenského spravodajstva podľa zákona č. 500/2022 Z. z. o Vojenskom spravodajstve v znení zákona č. 367/2024 Z. z., vrátane poskytovania informácií, a to len za podmienky, že poskytnutím nedôjde k ohrozeniu plnenia úloh Vojenského spravodajstva, k odhaleniu metód, foriem, zdrojov alebo prostriedkov Vojenského spravodajstva, k odhaleniu totožnosti príslušníkov Vojenského spravodajstva alebo osôb konajúcich v prospech Vojenského spravodajstva alebo k ohrozeniu medzinárodnej spravodajskej spolupráce.</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Návrh bol upravený v súlade s pripomienkou.</w:t>
            </w:r>
          </w:p>
        </w:tc>
      </w:tr>
      <w:tr>
        <w:trPr>
          <w:trHeight w:val="648"/>
        </w:trPr>
        <w:tc>
          <w:tcPr>
            <w:vAlign w:val="top"/>
          </w:tcPr>
          <w:p>
            <w:pPr>
              <w:spacing w:after="0"/>
              <w:jc w:val="center"/>
            </w:pPr>
            <w:r>
              <w:rPr>
                <w:b w:val="on"/>
                <w:color w:val="000000"/>
                <w:rFonts w:ascii="Times New Roman" w:hAnsi="Times New Roman" w:cs="Times New Roman" w:eastAsia="Times New Roman"/>
                <w:sz w:val="24"/>
              </w:rPr>
              <w:t>MOSR</w:t>
              <w:br/>
            </w:r>
            <w:r>
              <w:rPr>
                <w:b w:val="off"/>
                <w:color w:val="000000"/>
                <w:rFonts w:ascii="Times New Roman" w:hAnsi="Times New Roman" w:cs="Times New Roman" w:eastAsia="Times New Roman"/>
                <w:sz w:val="24"/>
              </w:rPr>
              <w:t>Ministerstvo obrany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5. K čl. I novelizačný bod 52 (§ 69m)</w:t>
              <w:br/>
            </w:r>
            <w:r>
              <w:rPr>
                <w:b w:val="off"/>
                <w:color w:val="000000"/>
                <w:rFonts w:ascii="Times New Roman" w:hAnsi="Times New Roman" w:cs="Times New Roman" w:eastAsia="Times New Roman"/>
                <w:sz w:val="24"/>
              </w:rPr>
              <w:t>V § 69m ods. 8 a 9 žiadame nahradiť Úrad inšpekčnej služby iným relevantným, nestranným a zodpovedným orgánom, ktorý každú opodstatnenú žiadosť bude vedieť posúdiť z pohľadu opodstatnenosti, individuálnosti, subsidiarity a proporcionality.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Rozsudok Súdneho dvora Európskej únie – Vec C-817/19 (ďalej len „rozsudok“), na ktorý dôvodová správa v rámci predmetného ustanovenia odkazuje, popisuje nezávislý orgán, ktorý koná objektívne a nestranne bez konkrétneho určenia o aký orgán by sa malo jednať a na účely následného posúdenia by podľa rozsudku malo podliehať predchádzajúcemu preskúmaniu buď zo strany súdu alebo iného nezávislého orgánu. Pôsobnosť Úradu inšpekčnej služby sa podľa zákona o Policajnom zbore vzťahuje na odhaľovanie, vyšetrovanie a skrátené vyšetrovanie trestných činov príslušníkov ozbrojených bezpečnostných zborov ako aj na úlohy na úseku vnútornej kontroly, finančnej kontroly, ochrany osobných údajov, vybavovania sťažností, vybavovania petícií atď. Z uvedeného navrhovaného znenia nie je zrejmé, či tak nedochádza k prekračovaniu právomoci Úradu inšpekčnej služby.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 upravený § 69m ods. 8.</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bodu 3</w:t>
              <w:br/>
            </w:r>
            <w:r>
              <w:rPr>
                <w:b w:val="off"/>
                <w:color w:val="000000"/>
                <w:rFonts w:ascii="Times New Roman" w:hAnsi="Times New Roman" w:cs="Times New Roman" w:eastAsia="Times New Roman"/>
                <w:sz w:val="24"/>
              </w:rPr>
              <w:t>V poznámke pod čiarou k odkazu 10aa odporúčame citácie uviesť v chronologickom poradí v súlade s bodom 23.6 prílohy č. 1 k Legislatívnym pravidlám vlády Slovenskej republiky. Ďalej odporúčame pripojiť na konci citácie nariadenia Európskeho parlamentu a Rady (EÚ) 2019/817 slová „(Ú. v. EÚ L 135, 22. 5. 2019) v platnom znení“ a na konci citácie nariadenia Európskeho parlamentu a Rady (EÚ) 2017/2226 slová „(Ú. v. EÚ L 327, 9. 12. 2017) v platnom znení“ s cieľom zosúladenia návrhu s bodmi 62.9 a 62.11 prílohy č. 1 k Legislatívnym pravidlám vlády Slovenskej republiky.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bodu 15</w:t>
              <w:br/>
            </w:r>
            <w:r>
              <w:rPr>
                <w:b w:val="off"/>
                <w:color w:val="000000"/>
                <w:rFonts w:ascii="Times New Roman" w:hAnsi="Times New Roman" w:cs="Times New Roman" w:eastAsia="Times New Roman"/>
                <w:sz w:val="24"/>
              </w:rPr>
              <w:t>V poznámke pod čiarou k odkazu 18e odporúčame vypustiť slová „v znení neskorších predpisov“ s cieľom zosúladenia návrhu s bodom 48 prílohy č. 1 k Legislatívnym pravidlám vlády Slovenskej republiky, podľa ktorého sa pri použití slovnej citácie v poznámke pod čiarou, neuplatňujú body 49 až 51 prílohy č. 1 k Legislatívnym pravidlám vlády Slovenskej republiky.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bodom 22 a 24</w:t>
              <w:br/>
            </w:r>
            <w:r>
              <w:rPr>
                <w:b w:val="off"/>
                <w:color w:val="000000"/>
                <w:rFonts w:ascii="Times New Roman" w:hAnsi="Times New Roman" w:cs="Times New Roman" w:eastAsia="Times New Roman"/>
                <w:sz w:val="24"/>
              </w:rPr>
              <w:t>V poznámke pod čiarou k odkazu 27dd odporúčame na konci pripojiť slová „(Ú. v. EÚ L, 2024/982, 5. 4. 2024)“ s cieľom doplnenia chýbajúceho publikačného zdroja citovaného nariadenia Európskej únie podľa bodu 62.10 prílohy č. 1 k Legislatívnym pravidlám vlády Slovenskej republiky. Zároveň odporúčame v poznámke pod čiarou k odkazu 27eb, v ktorej sa cituje rovnaké nariadenie Európskej únie, uviesť len skrátenú citáciu v súlade s bodmi 47 a 62.9 prílohy č. 1 k Legislatívnym pravidlám vlády Slovenskej republiky.</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bodom 30 a 36</w:t>
              <w:br/>
            </w:r>
            <w:r>
              <w:rPr>
                <w:b w:val="off"/>
                <w:color w:val="000000"/>
                <w:rFonts w:ascii="Times New Roman" w:hAnsi="Times New Roman" w:cs="Times New Roman" w:eastAsia="Times New Roman"/>
                <w:sz w:val="24"/>
              </w:rPr>
              <w:t>V poznámke pod čiarou k odkazu 27eef odporúčame uviesť len skrátenú citáciu zákona č. 514/2009 Z. z. o doprave na dráhach v znení neskorších predpisov v súlade s bodom 47 prílohy č. 1 k Legislatívnym pravidlám vlády Slovenskej republiky z dôvodu, že sa na tento zákon odkazuje aj v poznámke pod čiarou k odkazu 12a. Obdobnú úpravu odporúčame v poznámke pod čiarou k odkazu 27eeh, keďže úplná citácia predmetného zákona je už uvedená v poznámke pod čiarou k odkazu 2b.</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bodu 52</w:t>
              <w:br/>
            </w:r>
            <w:r>
              <w:rPr>
                <w:b w:val="off"/>
                <w:color w:val="000000"/>
                <w:rFonts w:ascii="Times New Roman" w:hAnsi="Times New Roman" w:cs="Times New Roman" w:eastAsia="Times New Roman"/>
                <w:sz w:val="24"/>
              </w:rPr>
              <w:t>V § 69m ods. 9 a 10 odporúčame základné číslovky 3 a 5 uviesť slovom v súlade s bodom 6 prílohy č. 1 k Legislatívnym pravidlám vlády Slovenskej republiky.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bodom 60 a 61</w:t>
              <w:br/>
            </w:r>
            <w:r>
              <w:rPr>
                <w:b w:val="off"/>
                <w:color w:val="000000"/>
                <w:rFonts w:ascii="Times New Roman" w:hAnsi="Times New Roman" w:cs="Times New Roman" w:eastAsia="Times New Roman"/>
                <w:sz w:val="24"/>
              </w:rPr>
              <w:t>V súvislosti so skrátenými citáciami v poznámkach pod čiarou k odkazom 28h a 28ha odporúčame vložiť do návrhu nový novelizačný bod, v ktorom sa aktualizuje poznámka pod čiarou k odkazu 28c a uvedie sa v nej úplná citácia zákona č. 452/2021 Z. z. o elektronických komunikáciách v znení neskorších predpisov.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bodu 70</w:t>
              <w:br/>
            </w:r>
            <w:r>
              <w:rPr>
                <w:b w:val="off"/>
                <w:color w:val="000000"/>
                <w:rFonts w:ascii="Times New Roman" w:hAnsi="Times New Roman" w:cs="Times New Roman" w:eastAsia="Times New Roman"/>
                <w:sz w:val="24"/>
              </w:rPr>
              <w:t>V poslednej vete odporúčame vložiť za slovo „ako“ slová „písmená“.</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II úvodnej vete</w:t>
              <w:br/>
            </w:r>
            <w:r>
              <w:rPr>
                <w:b w:val="off"/>
                <w:color w:val="000000"/>
                <w:rFonts w:ascii="Times New Roman" w:hAnsi="Times New Roman" w:cs="Times New Roman" w:eastAsia="Times New Roman"/>
                <w:sz w:val="24"/>
              </w:rPr>
              <w:t>V čl. II úvodnej vete odporúčame do výpočtu novelizácii doplniť aj skrátenú citáciu zákona č. 258/2025 Z. z., zákona č. 294/2025 Z. z. a zákona č. 312/2025 Z. z.</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MPRVSR</w:t>
              <w:br/>
            </w:r>
            <w:r>
              <w:rPr>
                <w:b w:val="off"/>
                <w:color w:val="000000"/>
                <w:rFonts w:ascii="Times New Roman" w:hAnsi="Times New Roman" w:cs="Times New Roman" w:eastAsia="Times New Roman"/>
                <w:sz w:val="24"/>
              </w:rPr>
              <w:t>Ministerstvo pôdohospodárstva a rozvoja vidieka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III úvodnej vete</w:t>
              <w:br/>
            </w:r>
            <w:r>
              <w:rPr>
                <w:b w:val="off"/>
                <w:color w:val="000000"/>
                <w:rFonts w:ascii="Times New Roman" w:hAnsi="Times New Roman" w:cs="Times New Roman" w:eastAsia="Times New Roman"/>
                <w:sz w:val="24"/>
              </w:rPr>
              <w:t>V čl. III úvodnej vete odporúčame do výpočtu novelizácii doplniť aj skrátenú citáciu zákona č. 261/2025 Z. z. a zákona č. 297/2025 Z. z.</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MPSVRSR</w:t>
              <w:br/>
            </w:r>
            <w:r>
              <w:rPr>
                <w:b w:val="off"/>
                <w:color w:val="000000"/>
                <w:rFonts w:ascii="Times New Roman" w:hAnsi="Times New Roman" w:cs="Times New Roman" w:eastAsia="Times New Roman"/>
                <w:sz w:val="24"/>
              </w:rPr>
              <w:t>Ministerstvo práce, sociálnych vecí a rodiny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bodu 3</w:t>
              <w:br/>
            </w:r>
            <w:r>
              <w:rPr>
                <w:b w:val="off"/>
                <w:color w:val="000000"/>
                <w:rFonts w:ascii="Times New Roman" w:hAnsi="Times New Roman" w:cs="Times New Roman" w:eastAsia="Times New Roman"/>
                <w:sz w:val="24"/>
              </w:rPr>
              <w:t>Odporúčame v čl. I bode 3 navrhovanom § 20a znenie odseku 2 preformulovať tak, aby z neho bolo zrejmé, či ide o oprávnenie policajta spracúvať biometrické údaje získané aj od inej osoby ako osoby v odseku 1 alebo oprávnenie spracúvať biometrické údaje získané od osoby podľa odseku 1 aj v súvislosti s inou osobou na účel vyhľadávania alebo porovnávania v informačných systémoch Policajného zboru. Účel ustanovenia nie je jednoznačne formulovaný ani v osobitnej časti dôvodovej správy k tomuto bodu.</w:t>
              <w:br/>
            </w:r>
            <w:r>
              <w:rPr>
                <w:b w:val="off"/>
                <w:color w:val="000000"/>
                <w:rFonts w:ascii="Times New Roman" w:hAnsi="Times New Roman" w:cs="Times New Roman" w:eastAsia="Times New Roman"/>
                <w:sz w:val="24"/>
              </w:rPr>
              <w:t>Odôvodnenie: Legislatívno-technická pripomienka. Ustanovenie tak, ako ho navrhuje predkladateľ, je nezrozumiteľné.</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Navrhované znenie a dôvodová správa boli upravené.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MPSVRSR</w:t>
              <w:br/>
            </w:r>
            <w:r>
              <w:rPr>
                <w:b w:val="off"/>
                <w:color w:val="000000"/>
                <w:rFonts w:ascii="Times New Roman" w:hAnsi="Times New Roman" w:cs="Times New Roman" w:eastAsia="Times New Roman"/>
                <w:sz w:val="24"/>
              </w:rPr>
              <w:t>Ministerstvo práce, sociálnych vecí a rodiny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 nad rámec návrhu</w:t>
              <w:br/>
            </w:r>
            <w:r>
              <w:rPr>
                <w:b w:val="off"/>
                <w:color w:val="000000"/>
                <w:rFonts w:ascii="Times New Roman" w:hAnsi="Times New Roman" w:cs="Times New Roman" w:eastAsia="Times New Roman"/>
                <w:sz w:val="24"/>
              </w:rPr>
              <w:t>Odporúčame v čl. I za novelizačný bod 21 vložiť nový novelizačný bod 22, ktorý znie:</w:t>
              <w:br/>
            </w:r>
            <w:r>
              <w:rPr>
                <w:b w:val="off"/>
                <w:color w:val="000000"/>
                <w:rFonts w:ascii="Times New Roman" w:hAnsi="Times New Roman" w:cs="Times New Roman" w:eastAsia="Times New Roman"/>
                <w:sz w:val="24"/>
              </w:rPr>
              <w:t>„22. V § 69 ods. 9 písm. g) sa vypúšťajú slová „a výstavby“.</w:t>
              <w:br/>
            </w:r>
            <w:r>
              <w:rPr>
                <w:b w:val="off"/>
                <w:color w:val="000000"/>
                <w:rFonts w:ascii="Times New Roman" w:hAnsi="Times New Roman" w:cs="Times New Roman" w:eastAsia="Times New Roman"/>
                <w:sz w:val="24"/>
              </w:rPr>
              <w:t>Nasledujúce novelizačné body je potrebné primerane preznačiť.</w:t>
              <w:br/>
            </w:r>
            <w:r>
              <w:rPr>
                <w:b w:val="off"/>
                <w:color w:val="000000"/>
                <w:rFonts w:ascii="Times New Roman" w:hAnsi="Times New Roman" w:cs="Times New Roman" w:eastAsia="Times New Roman"/>
                <w:sz w:val="24"/>
              </w:rPr>
              <w:t>Odôvodnenie: Legislatívno-technická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MPSVRSR</w:t>
              <w:br/>
            </w:r>
            <w:r>
              <w:rPr>
                <w:b w:val="off"/>
                <w:color w:val="000000"/>
                <w:rFonts w:ascii="Times New Roman" w:hAnsi="Times New Roman" w:cs="Times New Roman" w:eastAsia="Times New Roman"/>
                <w:sz w:val="24"/>
              </w:rPr>
              <w:t>Ministerstvo práce, sociálnych vecí a rodiny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II úvodnej vete</w:t>
              <w:br/>
            </w:r>
            <w:r>
              <w:rPr>
                <w:b w:val="off"/>
                <w:color w:val="000000"/>
                <w:rFonts w:ascii="Times New Roman" w:hAnsi="Times New Roman" w:cs="Times New Roman" w:eastAsia="Times New Roman"/>
                <w:sz w:val="24"/>
              </w:rPr>
              <w:t>Odporúčame v čl. II úvodnej vete slová „zákona č. 334/2024 Z. z. a zákona č. 187/2025 Z. z.“</w:t>
              <w:br/>
            </w:r>
            <w:r>
              <w:rPr>
                <w:b w:val="off"/>
                <w:color w:val="000000"/>
                <w:rFonts w:ascii="Times New Roman" w:hAnsi="Times New Roman" w:cs="Times New Roman" w:eastAsia="Times New Roman"/>
                <w:sz w:val="24"/>
              </w:rPr>
              <w:t xml:space="preserve">nahradiť slovami „zákona č. 334/2024 Z. z., zákona č. 187/2025 Z. z., zákona č. 258/2025 </w:t>
              <w:br/>
            </w:r>
            <w:r>
              <w:rPr>
                <w:b w:val="off"/>
                <w:color w:val="000000"/>
                <w:rFonts w:ascii="Times New Roman" w:hAnsi="Times New Roman" w:cs="Times New Roman" w:eastAsia="Times New Roman"/>
                <w:sz w:val="24"/>
              </w:rPr>
              <w:t>Z. z., zákona č. 294/2025 Z. z. a zákona č. 312/2025 Z. z.“.</w:t>
              <w:br/>
            </w:r>
            <w:r>
              <w:rPr>
                <w:b w:val="off"/>
                <w:color w:val="000000"/>
                <w:rFonts w:ascii="Times New Roman" w:hAnsi="Times New Roman" w:cs="Times New Roman" w:eastAsia="Times New Roman"/>
                <w:sz w:val="24"/>
              </w:rPr>
              <w:t>Odôvodnenie: Legislatívno-technická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MPSVRSR</w:t>
              <w:br/>
            </w:r>
            <w:r>
              <w:rPr>
                <w:b w:val="off"/>
                <w:color w:val="000000"/>
                <w:rFonts w:ascii="Times New Roman" w:hAnsi="Times New Roman" w:cs="Times New Roman" w:eastAsia="Times New Roman"/>
                <w:sz w:val="24"/>
              </w:rPr>
              <w:t>Ministerstvo práce, sociálnych vecí a rodiny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III úvodnej vete</w:t>
              <w:br/>
            </w:r>
            <w:r>
              <w:rPr>
                <w:b w:val="off"/>
                <w:color w:val="000000"/>
                <w:rFonts w:ascii="Times New Roman" w:hAnsi="Times New Roman" w:cs="Times New Roman" w:eastAsia="Times New Roman"/>
                <w:sz w:val="24"/>
              </w:rPr>
              <w:t>Odporúčame v čl. III úvodnej vete slová „zákona č. 367/2024 Z. z. a zákona č. 26/2025 Z. z.“</w:t>
              <w:br/>
            </w:r>
            <w:r>
              <w:rPr>
                <w:b w:val="off"/>
                <w:color w:val="000000"/>
                <w:rFonts w:ascii="Times New Roman" w:hAnsi="Times New Roman" w:cs="Times New Roman" w:eastAsia="Times New Roman"/>
                <w:sz w:val="24"/>
              </w:rPr>
              <w:t xml:space="preserve">nahradiť slovami „zákona č. 367/2024 Z. z., zákona č. 26/2025 Z. z., zákona č. 261/2025 </w:t>
              <w:br/>
            </w:r>
            <w:r>
              <w:rPr>
                <w:b w:val="off"/>
                <w:color w:val="000000"/>
                <w:rFonts w:ascii="Times New Roman" w:hAnsi="Times New Roman" w:cs="Times New Roman" w:eastAsia="Times New Roman"/>
                <w:sz w:val="24"/>
              </w:rPr>
              <w:t>Z. z. a zákona č. 297/2025 Z. z.“.</w:t>
              <w:br/>
            </w:r>
            <w:r>
              <w:rPr>
                <w:b w:val="off"/>
                <w:color w:val="000000"/>
                <w:rFonts w:ascii="Times New Roman" w:hAnsi="Times New Roman" w:cs="Times New Roman" w:eastAsia="Times New Roman"/>
                <w:sz w:val="24"/>
              </w:rPr>
              <w:t>Odôvodnenie: Legislatívno-technická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12</w:t>
              <w:br/>
            </w:r>
            <w:r>
              <w:rPr>
                <w:b w:val="off"/>
                <w:color w:val="000000"/>
                <w:rFonts w:ascii="Times New Roman" w:hAnsi="Times New Roman" w:cs="Times New Roman" w:eastAsia="Times New Roman"/>
                <w:sz w:val="24"/>
              </w:rPr>
              <w:t xml:space="preserve">Požadujeme vypustiť rozšírenie možnosti použitia informačno-technických prostriedkov (ďalej len ITP“) Policajným zborom (§ 36) pri odhaľovaní úmyselných trestných činov podľa druhého dielu šiestej hlavy druhej časti Trestného zákona (trestné činy proti životnému prostrediu), za ktoré možno uložiť trest odňatia slobody s hornou hranicou najmenej dva roky.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 36 Zákona o PZ upravuje, okrem iného, pri odhaľovaní ktorých trestných činov môže Policajný zbor použiť ITP. Zákon o PZ však už bližšie nešpecifikuje, čo sú ITP a na čo slúžia. Táto úprava je až v zákone č. 166/2003 Z. z. o ochrane súkromia pred neoprávneným použitím informačno-technických prostriedkov a o zmene a doplnení niektorých zákonov (ďalej len „zákon o ochrane pred odpočúvaním“). § 2 ods. 1 zákona o ochrane pred odpočúvaním definuje ITP nasledovne:</w:t>
              <w:br/>
            </w:r>
            <w:r>
              <w:rPr>
                <w:b w:val="off"/>
                <w:color w:val="000000"/>
                <w:rFonts w:ascii="Times New Roman" w:hAnsi="Times New Roman" w:cs="Times New Roman" w:eastAsia="Times New Roman"/>
                <w:sz w:val="24"/>
              </w:rPr>
              <w:t>„(1) Informačno-technickými prostriedkami na účely tohto zákona sú najmä elektrotechnické, rádiotechnické, fototechnické, optické, mechanické, chemické a iné prostriedky a zariadenia alebo ich súbory používané utajeným spôsobom na</w:t>
              <w:br/>
            </w:r>
            <w:r>
              <w:rPr>
                <w:b w:val="off"/>
                <w:color w:val="000000"/>
                <w:rFonts w:ascii="Times New Roman" w:hAnsi="Times New Roman" w:cs="Times New Roman" w:eastAsia="Times New Roman"/>
                <w:sz w:val="24"/>
              </w:rPr>
              <w:t>a) vyhľadávanie, otváranie, skúmanie a vyhodnocovanie poštových zásielok a iných dopravovaných zásielok,</w:t>
              <w:br/>
            </w:r>
            <w:r>
              <w:rPr>
                <w:b w:val="off"/>
                <w:color w:val="000000"/>
                <w:rFonts w:ascii="Times New Roman" w:hAnsi="Times New Roman" w:cs="Times New Roman" w:eastAsia="Times New Roman"/>
                <w:sz w:val="24"/>
              </w:rPr>
              <w:t>b) získavanie obsahu správ prenášaných prostredníctvom elektronických komunikačných sietí vrátane odpočúvania telefónnej komunikácie,</w:t>
              <w:br/>
            </w:r>
            <w:r>
              <w:rPr>
                <w:b w:val="off"/>
                <w:color w:val="000000"/>
                <w:rFonts w:ascii="Times New Roman" w:hAnsi="Times New Roman" w:cs="Times New Roman" w:eastAsia="Times New Roman"/>
                <w:sz w:val="24"/>
              </w:rPr>
              <w:t xml:space="preserve">c) vyhotovovanie obrazových, zvukových, obrazovo-zvukových alebo iných záznamov.“.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Tieto ITP majú následne svoje „dvojičky“ v Trestnom poriadku (§§ 108 až 111, 115 a 114), pri ktorých Trestný poriadok taktiež určuje, v ktorých trestných konaniach možno použiť tieto ITP a to odkazom na zoznam trestných činov, o ktorých sa musí viesť trestné konanie.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Následne § 7 ods. 2 a 3 zákona o ochrane pred odpočúvaním v súlade s § 119 ods. 3 Trestného poriadku umožňuje použitie a prípustnosť dôkazov získaných na základe použitia ITP podľa zákona o ochrane pred odpočúvaním v trestnom konaní. Policajný zbor tak môže získavať dôkazy použitím ITP aj pred začatím trestného konania a následne takto získané dôkazy použiť v trestnom konaní.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Navrhovaná úprava však rozširuje zoznam trestných činov podľa § 36 Zákona o PZ aj o trestné činy, pri ktorých použitie ITP Trestný poriadok neumožňuje. Navrhovaná úprava tak vo výsledku umožňuje Policajnému zboru obchádzať ustanovenia Trestného poriadku a „zákonne“ zaobstarať dôkazy použitím ITP pred začatím trestného konania, ktoré teoreticky následne môže použiť v trestnom konaní, pričom ak by v predmetných veciach bolo už začaté trestné konanie, Trestný poriadok by použitie takýchto ITP neumožňoval.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Výnimkou z vyššie uvedeného sú ITP podľa § 2 ods. 1 písm. a) zákona o ochrane pred odpočúvaním (dvojičkou sú § 108 až 111 Trestného poriadku), keďže Trestný poriadok nevylučuje použitie ITP spočívajúcom vo „vyhľadávaní, otváraní, skúmaní a vyhodnocovaní poštových zásielok a iných dopravovaných zásielok“ pre predmetné trestné činy. Ak bolo cieľom predkladateľa umožniť použitie iba ITP podľa § 2 ods. 1 písm. a) zákona o ochrane pred odpočúvaním pre uvedené trestné činy, požadujeme, aby to výslovne v danom ustanovení uviedol.</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 § 36 upravený. 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61</w:t>
              <w:br/>
            </w:r>
            <w:r>
              <w:rPr>
                <w:b w:val="off"/>
                <w:color w:val="000000"/>
                <w:rFonts w:ascii="Times New Roman" w:hAnsi="Times New Roman" w:cs="Times New Roman" w:eastAsia="Times New Roman"/>
                <w:sz w:val="24"/>
              </w:rPr>
              <w:t xml:space="preserve">Požadujeme naviazať v navrhovanom § 76 ods. 6 oprávnenie Policajného zboru zisťovať prevádzkové a lokalizačné údaje týkajúce sa nebezpečného páchateľa, a to aj prostredníctvom diaľkového, nepretržitého a priameho prístupu do informačného systému prevádzkovateľov elektronických komunikačných sietí alebo poskytovateľov elektronických komunikačných služieb na súhlas sudcu.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Uvedené ustanovenie oprávňuje v zásade sledovať aj v reálnom čase pohyb osoby, ktorú Policajný zbor považuje za nebezpečného páchateľa. Ide tak o značný zásah do súkromia osoby, ku ktorému dôjde iba na základe posúdenia Policajného zboru, o ktorom sa nevydáva rozhodnutie a neumožňuje oprávneným osobám (napr. obhajca „nebezpečného páchateľa“, ak je známy) sa proti nemu brániť. Takýto značný zásah tak musí podliehať kontrole zo strany nezávislého a nestranného subjektu (súdu), ktorý zváži, či naozaj existujú dôvody na označenie takejto osoby za „nebezpečného páchateľa“ a následne, či je nutné k jej vypátraniu zasiahnuť do jej práva na súkromie.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bude navrhovaný § 76 ods. 6 zákona. č. 171/1993 Z. z. nahradený zmenou v zákone č. 452/2021 Z. z. o elektronických komunikáciách nasledovne: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2.	V § 117 ods. 7 sa na konci pripája táto veta: „Ak ide o vec týkajúcu sa obrany štátu a bezpečnosti štátu alebo trestných činov vymedzených osobitným predpisom,131)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3.	V § 117 odsek 8 znie:</w:t>
              <w:br/>
            </w:r>
            <w:r>
              <w:rPr>
                <w:b w:val="off"/>
                <w:color w:val="000000"/>
                <w:rFonts w:ascii="Times New Roman" w:hAnsi="Times New Roman" w:cs="Times New Roman" w:eastAsia="Times New Roman"/>
                <w:sz w:val="24"/>
              </w:rPr>
              <w:t>„(8) Ak ide o vec týkajúcu sa obrany štátu a bezpečnosti štátu alebo trestných činov vymedzených osobitným predpisom,131) ktorá neznesie odklad a súhlas súdu podľa odseku 7 nemožno získať vopred, údaje podľa odseku 6 sa poskytnú bez súhlasu súdu buď na základe žiadosti iného orgánu štátu podľa § 109 ods. 9 doručenej podniku v písomnej forme alebo dohodnutým spôsobom v šifrovanej forme alebo spôsobom uvedeným v odseku 7 poslednej vety. Iný orgán štátu podľa § 109 ods. 9 je povinný doručenie žiadosti podniku podľa predchádzajúcej vety alebo začatie zisťovania prevádzkových a lokalizačných údajov spôsobom podľa odseku 7 poslednej vety oznámiť zákonnému sudcovi do jednej hodiny od doručenia žiadosti alebo začatia zisťovania prevádzkových a lokalizačných údajov a bezodkladne predložiť zákonnému sudcovi žiadosť o dodatočný písomný súhlas (ďalej len „dodatočný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Celému materiálu</w:t>
              <w:br/>
            </w:r>
            <w:r>
              <w:rPr>
                <w:b w:val="off"/>
                <w:color w:val="000000"/>
                <w:rFonts w:ascii="Times New Roman" w:hAnsi="Times New Roman" w:cs="Times New Roman" w:eastAsia="Times New Roman"/>
                <w:sz w:val="24"/>
              </w:rPr>
              <w:t>Nad rámec požadujeme doplniť návrh zákona o novelu zákona č. 219/1996 Z. z. o ochrane pred zneužívaním alkoholických nápojov a o zriaďovaní a prevádzke protialkoholických záchytných izieb v tomto znení:</w:t>
              <w:br/>
            </w:r>
            <w:r>
              <w:rPr>
                <w:b w:val="off"/>
                <w:color w:val="000000"/>
                <w:rFonts w:ascii="Times New Roman" w:hAnsi="Times New Roman" w:cs="Times New Roman" w:eastAsia="Times New Roman"/>
                <w:sz w:val="24"/>
              </w:rPr>
              <w:t>„Čl. II</w:t>
              <w:br/>
            </w:r>
            <w:r>
              <w:rPr>
                <w:b w:val="off"/>
                <w:color w:val="000000"/>
                <w:rFonts w:ascii="Times New Roman" w:hAnsi="Times New Roman" w:cs="Times New Roman" w:eastAsia="Times New Roman"/>
                <w:sz w:val="24"/>
              </w:rPr>
              <w:t>Zákon Národnej rady Slovenskej republiky č. 219/1996 Z. z. o ochrane pred zneužívaním alkoholických nápojov a o zriaďovaní a prevádzke protialkoholických záchytných izieb v znení zákona č. 214/2009 Z. z., zákona č. 547/2010 Z. z., zákona č. 313/2011 Z. z., zákona č. 88/2013 Z. z., zákona č. 163/2018 Z. z. a zákona č. 284/2018 Z. z. a zákona č. 321/2024 Z. z. sa dopĺňa takto:</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V § 5 ods. 2 sa na konci pripája táto veta: ,,Policajný orgán je oprávnený vyzvať na vyšetrenie podľa odseku 1 aj iné osoby, ako sú uvedené v § 4 ods. 1, ak im bolo v trestnom konaní uložené obmedzenie spočívajúce v zákaze požívania alkoholických nápojov a iných návykových látok, ak o to požiada probačný a mediačný úradník.“.</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V praxi sme zaznamenali prípady, kedy policajti odmietli podrobiť osobu, ktorej bolo uložené v trestnom konaní relevantné obmedzenie, dychovej skúške na základe žiadosti probačného a mediačného úradníka z dôvodu, že zákon č. 219/1996 Z. z. im takýto postup neumožňuje.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2</w:t>
              <w:br/>
            </w:r>
            <w:r>
              <w:rPr>
                <w:b w:val="off"/>
                <w:color w:val="000000"/>
                <w:rFonts w:ascii="Times New Roman" w:hAnsi="Times New Roman" w:cs="Times New Roman" w:eastAsia="Times New Roman"/>
                <w:sz w:val="24"/>
              </w:rPr>
              <w:t xml:space="preserve">V čl. I bod 2 (§ 18 ods. 6) navrhujeme nevypustiť osoby pozbavené spôsobilosti na právne úkony, ale iba doplniť predmetné ustanovenie o osoby, ktorých spôsobilosť na právne úkony bola obmedzená.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Zákon č. 161/2015 Z. z. Civilný mimosporový poriadok síce procesnoprávne vylúčil možnosť pro futuro pozbaviť osobu spôsobilosti na právne úkony, avšak osoby, ktoré boli pozbavené tejto spôsobilosti pred účinnosťou zákona a o ktorých súd doposiaľ nerozhodol o zmene obmedzenia alebo navrátení spôsobilosti sú naďalej osobami pozbavenými spôsobilosti na právne úkony.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3</w:t>
              <w:br/>
            </w:r>
            <w:r>
              <w:rPr>
                <w:b w:val="off"/>
                <w:color w:val="000000"/>
                <w:rFonts w:ascii="Times New Roman" w:hAnsi="Times New Roman" w:cs="Times New Roman" w:eastAsia="Times New Roman"/>
                <w:sz w:val="24"/>
              </w:rPr>
              <w:t xml:space="preserve">V čl. I bod 3 (§ 20a ods. 2) navrhujeme predmetné ustanovenie preformulovať.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Z uvedeného ustanovenia nie je zrejmé, či jeho cieľom je upraviť, že policajt je oprávnený spracúvať biometrické údaje a dodatočne aj biometrické údaje iných osôb ako uvedených v odseku 1, alebo sa ním má upraviť aj oprávnenie snímať/odoberať biometrické údaje iných osôb na predmetné účely obdobne ako je tomu v súčasnom § 20a ods. 1 Zákona o PZ.</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Vo všeobecnej časti dôvodovej správy a v predkladacej správe navrhujeme nahradiť slová „V č. 171/1993 Z. z.ec“ slovom „Vec“. Odôvodnenie: Gramatická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V osobitnej časti dôvodovej správy v odôvodnení k bodu 29 navrhujeme nahradiť slov „pripomienka“ slovom „úprava“. Odôvodnenie: Gramatická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V osobitnej časti dôvodovej správy v odôvodnení k bodu 36 navrhujeme slová „upozorňuje ak Komisia “ nahradiť slovami „upozorňuje aj Komisia“ a slová „cestovného dokumenty“ slovami „cestovného dokumentu“. Odôvodnenie: Gramatická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V osobitnej časti dôvodovej správy v odôvodnení k bodu 56  navrhujeme slová „posledný bodom“ nahradiť slovami „posledným bodom “. Odôvodnenie: Gramatická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MSSR</w:t>
              <w:br/>
            </w:r>
            <w:r>
              <w:rPr>
                <w:b w:val="off"/>
                <w:color w:val="000000"/>
                <w:rFonts w:ascii="Times New Roman" w:hAnsi="Times New Roman" w:cs="Times New Roman" w:eastAsia="Times New Roman"/>
                <w:sz w:val="24"/>
              </w:rPr>
              <w:t>Ministerstvo spravodlivosti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vplyvov</w:t>
              <w:br/>
            </w:r>
            <w:r>
              <w:rPr>
                <w:b w:val="off"/>
                <w:color w:val="000000"/>
                <w:rFonts w:ascii="Times New Roman" w:hAnsi="Times New Roman" w:cs="Times New Roman" w:eastAsia="Times New Roman"/>
                <w:sz w:val="24"/>
              </w:rPr>
              <w:t>V doložke vplyvov v časti „5. Alternatívne riešenia“ navrhujeme slová „ak predpokladá škoda“ nahradiť slovami „ak predpokladaná škoda “. Odôvodnenie: Gramatická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NBS</w:t>
              <w:br/>
            </w:r>
            <w:r>
              <w:rPr>
                <w:b w:val="off"/>
                <w:color w:val="000000"/>
                <w:rFonts w:ascii="Times New Roman" w:hAnsi="Times New Roman" w:cs="Times New Roman" w:eastAsia="Times New Roman"/>
                <w:sz w:val="24"/>
              </w:rPr>
              <w:t>Národná banka Slovenska</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bodu 61 (§ 76 ods. 7)</w:t>
              <w:br/>
            </w:r>
            <w:r>
              <w:rPr>
                <w:b w:val="off"/>
                <w:color w:val="000000"/>
                <w:rFonts w:ascii="Times New Roman" w:hAnsi="Times New Roman" w:cs="Times New Roman" w:eastAsia="Times New Roman"/>
                <w:sz w:val="24"/>
              </w:rPr>
              <w:t>V § 76 ods. 7 žiadame za slová „nezvestných osobách“ vložiť slovo „písomne“.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Prelomenie bankového tajomstva predstavuje závažný zásah do súkromia a majetkových pomerov klientov bánk a pobočiek zahraničných bánk a môže byť odôvodnené len ako výnimka viazaná na presne určené účely, zákonom jednoznačne vymedzené prípady a zároveň musí byť jednoznačne upravený spôsob uplatnenia tejto výnimky.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V nadväznosti na uvedené a za účelom zabezpečenia právnej istoty a zosúladenia ustanovení upravujúcich oprávnenie príslušných policajtov žiadať od bánk a pobočiek zahraničných bánk na určené účely správy týkajúce sa ich klientov aj keď sú predmetom bankového tajomstva (§ 29a ods. 4 a § 76 ods. 7) žiadame, aby sa uvedené správy vždy žiadali písomne a aby to tak bolo explicitne upravené aj v § 76 ods. 7.</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NBS</w:t>
              <w:br/>
            </w:r>
            <w:r>
              <w:rPr>
                <w:b w:val="off"/>
                <w:color w:val="000000"/>
                <w:rFonts w:ascii="Times New Roman" w:hAnsi="Times New Roman" w:cs="Times New Roman" w:eastAsia="Times New Roman"/>
                <w:sz w:val="24"/>
              </w:rPr>
              <w:t>Národná banka Slovenska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bodu 61 (§ 76 ods. 7)</w:t>
              <w:br/>
            </w:r>
            <w:r>
              <w:rPr>
                <w:b w:val="off"/>
                <w:color w:val="000000"/>
                <w:rFonts w:ascii="Times New Roman" w:hAnsi="Times New Roman" w:cs="Times New Roman" w:eastAsia="Times New Roman"/>
                <w:sz w:val="24"/>
              </w:rPr>
              <w:t xml:space="preserve">Navrhujeme precizovať ustanovenie § 76 ods. 7 tak, aby poskytovalo dostatočné procesné záruky a „mantinely“, ktoré zabránia zneužitiu oprávnenia na prelomenie bankového tajomstva.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Navrhované znenie § 76 ods. 7 vykazuje znaky prílišnej neurčitosti a nejednoznačnosti, čo vytvára priestor pre svojvôľu. Zásah do bankového tajomstva musí byť jednoznačne vymedzený, predvídateľný a uplatniteľný len v rozsahu nevyhnutnom na dosiahnutie sledovaného účelu, v súlade so zásadou proporcionality a minimalizácie zásahov do základných práv dotknutých osôb. Prelomenie bankového tajomstva musí byť až poslednou možnosťou, a to vtedy, ak cieľ nemožno dosiahnuť menej invazívnym spôsobom.</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Z uvedeného dôvodu navrhujeme do ustanovenia dopracovať procesné záruky a „mantinely“, aby nemohlo dôjsť k zneužitiu oprávnenia na prelomenie bankového tajomstva alebo k neoprávnenému sprístupneniu údajov o klientoch bánk a pobočiek zahraničných bánk, napríklad precizovať ustanovenie tak, že oprávnenie policajta služby kriminálnej polície podľa § 76 ods. 7 bude možné uplatniť na určené účely len vo výnimočných prípadoch, ak je to nevyhnutné z dôvodu zabezpečenia ochrany života, zdravia alebo majetku. Úprava „mantinelov“ je nevyhnutná z hľadiska predvídateľnosti práva.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Ustanovenie bolo upravené.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NBS</w:t>
              <w:br/>
            </w:r>
            <w:r>
              <w:rPr>
                <w:b w:val="off"/>
                <w:color w:val="000000"/>
                <w:rFonts w:ascii="Times New Roman" w:hAnsi="Times New Roman" w:cs="Times New Roman" w:eastAsia="Times New Roman"/>
                <w:sz w:val="24"/>
              </w:rPr>
              <w:t>Národná banka Slovenska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bodu 8 (§ 29a ods. 4)</w:t>
              <w:br/>
            </w:r>
            <w:r>
              <w:rPr>
                <w:b w:val="off"/>
                <w:color w:val="000000"/>
                <w:rFonts w:ascii="Times New Roman" w:hAnsi="Times New Roman" w:cs="Times New Roman" w:eastAsia="Times New Roman"/>
                <w:sz w:val="24"/>
              </w:rPr>
              <w:t>Navrhujeme doplniť dôvodovú správu k čl. I bodu 8 o konkrétne a vecné odôvodnenie, na aký účel a z akého dôvodu sa v § 29a ods. 4  rozširuje okruh trestných činov o drogovú trestnú činnosť a o trestné činy proti životnému prostrediu.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Navrhovaná právna úprava v § 29a ods. 4 mení okruh trestných činov, pri ktorých je možné prelomiť bankové tajomstvo bez toho, aby bola táto zmena riadne a presvedčivo odôvodnená. V dôvodovej správe absentuje vysvetlenie potreby rozšírenia, resp. zmeny okruhu trestných činov najmä vo vzťahu k trestným činom proti životnému prostrediu a k drogovým trestným činom, ako aj vysvetlenie nevyhnutnosti a primeranosti takéhoto zásahu do základných práv dotknutých osôb. Zároveň z návrhu zákona a ani z dôvodovej správy nie je zrejmé, čo konkrétne sa rozumie drogovou trestnou činnosťou.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Prelomenie bankového tajomstva predstavuje závažný zásah do práva na ochranu súkromia, pričom takýto zásah je prípustný len v prípade, ak je zákonom ustanovený, sleduje legitímny cieľ a je nevyhnutný a primeraný v demokratickej spoločnosti.</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Navrhovateľ však v dôvodovej správe neuvádza, z akých konkrétnych aplikačných problémov vychádza, prečo sú existujúce právne nástroje nedostatočné a prečo nie je možné sledovaný cieľ dosiahnuť miernejšími prostriedkami. Zároveň tento návrh pôsobí nesystémovo vzhľadom na účel predmetného oprávnenia, ktorým je primárne odhaľovanie tokov nelegálnych financií a závažnej ekonomickej kriminality (najmä daňových trestných činov a legalizácie výnosov z trestnej činnosti).</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Vzhľadom na uvedené navrhujeme doplniť dôvodovú správu o vecné a konkrétne odôvodnenie navrhovanej zmeny okruhu trestných činov vo vzťahu k drogovej trestnej činnosti a trestným činom proti životnému prostrediu, alebo prehodnotiť a vypustiť uvedené okruhy trestných činov z návrhu zákona.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NBS</w:t>
              <w:br/>
            </w:r>
            <w:r>
              <w:rPr>
                <w:b w:val="off"/>
                <w:color w:val="000000"/>
                <w:rFonts w:ascii="Times New Roman" w:hAnsi="Times New Roman" w:cs="Times New Roman" w:eastAsia="Times New Roman"/>
                <w:sz w:val="24"/>
              </w:rPr>
              <w:t>Národná banka Slovenska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II</w:t>
              <w:br/>
            </w:r>
            <w:r>
              <w:rPr>
                <w:b w:val="off"/>
                <w:color w:val="000000"/>
                <w:rFonts w:ascii="Times New Roman" w:hAnsi="Times New Roman" w:cs="Times New Roman" w:eastAsia="Times New Roman"/>
                <w:sz w:val="24"/>
              </w:rPr>
              <w:t>Navrhujeme v § 91 ods. 4 písm. g) zákona o bankách doplniť nad pojmy „hľadaných osobách“ a „nezvestných osobách“ odkazy na poznámky pod čiarou, ktoré by obsahovali odkaz na definície uvedených pojmov v zákone o Policajnom zbore (§ 81b).</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Doplnenie odkazov na príslušné definície pojmov „hľadaná osoba“ a „nezvestná osoba“ navrhujeme z dôvodu zabezpečenia právnej istoty a jednoznačnosti právnej úpravy tak, aby bolo jasné, čo sa myslí „hľadanou osobou“ a „nezvestnou osobou“, v kontexte naplnenia účelu zákona o Policajnom zbore.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NBÚ</w:t>
              <w:br/>
            </w:r>
            <w:r>
              <w:rPr>
                <w:b w:val="off"/>
                <w:color w:val="000000"/>
                <w:rFonts w:ascii="Times New Roman" w:hAnsi="Times New Roman" w:cs="Times New Roman" w:eastAsia="Times New Roman"/>
                <w:sz w:val="24"/>
              </w:rPr>
              <w:t>Národný bezpečnostný úrad</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Pripomienka k čI. I, novelizačnému bodu 5, § 27</w:t>
              <w:br/>
            </w:r>
            <w:r>
              <w:rPr>
                <w:b w:val="off"/>
                <w:color w:val="000000"/>
                <w:rFonts w:ascii="Times New Roman" w:hAnsi="Times New Roman" w:cs="Times New Roman" w:eastAsia="Times New Roman"/>
                <w:sz w:val="24"/>
              </w:rPr>
              <w:t>Za účelom zabezpečenia ochrany utajovaných skutočností a v nadväznosti na § 27 návrhu zákona, ktorým sa mení a dopĺňa zákon Národnej rady Slovenskej republiky č. 171/1993 Z. z. o Policajnom zbore v znení neskorších predpisov a ktorým sa menia a dopĺňajú niektoré zákony, ktorým sa rozširujú oprávnenia príslušníka Policajného zboru každému prikázať pred vstupom do strážených objektov odovzdať v mieste na to určenom zbraň alebo iné nebezpečné predmety, prostriedky výpočtovej techniky, dátové nosiče a elektronické záznamové a vysielacie zariadenia, zásadne žiadame problematiku rozšírenia oprávnení pri zaisťovaní ochrany utajovaných skutočností upraviť komplexne a na úrovni a v súlade s príslušnými právnymi predpismi.</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Túto pripomienku považuje Národný bezpečnostný úrad za zásadnú.</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Národný bezpečnostný úrad (ďalej len „úrad“) ako ústredný orgán štátnej správy na ochranu utajovaných skutočností víta iniciatívu predkladateľa upraviť oprávnenia príslušníka Policajného zboru pri zaisťovaní ochrany utajovaných skutočností, avšak poukazuje na skutočnosť, že navrhovaná právna úprava je len čiastkovým riešením v danej oblasti. Úrad zásadne žiada, aby konkrétne znenie zmien v danej oblasti bolo predmetom dohody medzi predkladateľom a úradom a obsahovali širšie vzťahy za účelom prípravy komplexnej a vykonateľnej právnej úpravy. Na tento účel úrad žiada zorganizovať pracovné stretnutie relevantných expertov z dotknutej oblasti, s cieľom dosiahnuť konsenzuálne riešenie v oblasti rozšírenia oprávnení na úseku ochrany utajovaných skutočností za účelom zabezpečenia ochrany utajovaných skutočností a ochrany strážených objektov.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Do návrhu zákona bol doplnený nový článok meniaci zákon č. 215/2004 Z. z. o ochrane utajovaných skutočností.</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20a</w:t>
              <w:br/>
            </w:r>
            <w:r>
              <w:rPr>
                <w:b w:val="off"/>
                <w:color w:val="000000"/>
                <w:rFonts w:ascii="Times New Roman" w:hAnsi="Times New Roman" w:cs="Times New Roman" w:eastAsia="Times New Roman"/>
                <w:sz w:val="24"/>
              </w:rPr>
              <w:t>1.	K bodu 3: V navrhovanom § 20a ods. 5 odporúčame za slovom „rokov“ doplniť slová „podľa osobitného predpisu“ resp. „v súlade s osobitným predpisom“, nad slovom „predpisom“ zaviesť odkaz a v zodpovedajúcej poznámke pod čiarou odkazovať na čl. 14 nariadenia (EÚ) 2024/1358, ktorý podrobne upravuje postup snímania biometrických údajov maloletých osôb.</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20a</w:t>
              <w:br/>
            </w:r>
            <w:r>
              <w:rPr>
                <w:b w:val="off"/>
                <w:color w:val="000000"/>
                <w:rFonts w:ascii="Times New Roman" w:hAnsi="Times New Roman" w:cs="Times New Roman" w:eastAsia="Times New Roman"/>
                <w:sz w:val="24"/>
              </w:rPr>
              <w:t>2.	K bodu 3: Poznámku pod čiarou k odkazu 10aa zavádzanému v § 20a ods. 6 žiadame upraviť nasledovne: „10aa) Napríklad nariadenie Európskeho parlamentu a Rady (EÚ) 2017/2226 z 30. novembra 2017, ktorým sa zriaďuje systém vstup/výstup na zaznamenávanie údajov o vstupe a výstupe štátnych príslušníkov tretích krajín prekračujúcich vonkajšie hranice členských štátov a o odopretí ich vstupu a stanovujú podmienky prístupu do systému vstup/výstup na účely presadzovania práva, a ktorým sa mení Dohovor, ktorým sa vykonáva Schengenská dohoda, a nariadenia (ES) č. 767/2008 a (EÚ) č. 1077/2011 (Ú. v. EÚ L 327, 9.12.2017) v platnom znení, nariadenie Európskeho parlamentu a Rady (EÚ) 2019/817 z 20. mája 2019 o stanovení rámca pre interoperabilitu medzi informačnými systémami EÚ v oblasti hraníc a víz a o zmene nariadení Európskeho parlamentu a Rady (ES) č. 767/2008, (EÚ) 2016/399, (EÚ) 2017/2226, (EÚ) 2018/1240, (EÚ) 2018/1726 a (EÚ) 2018/1861 a rozhodnutí Rady 2004/512/ES a 2008/633/SVV (Ú. v. EÚ L 135, 22.5.2019) v platnom znení, nariadenie Európskeho parlamentu a Rady (EÚ) 2024/1358 zo 14. mája 2024 o zriadení systému Eurodac na porovnávanie biometrických údajov s cieľom účinne uplatňovať nariadenia Európskeho parlamentu a Rady (EÚ) 2024/1351 a (EÚ) 2024/1350 a smernicu Rady 2001/55/ES a identifikovať neoprávnene sa zdržiavajúcich štátnych príslušníkov tretích krajín a osoby bez štátnej príslušnosti, o žiadostiach orgánov presadzovania práva členských štátov a Europolu o porovnanie s údajmi v systéme Eurodac na účely presadzovania práva, o zmene nariadení Európskeho parlamentu a Rady (EÚ) 2018/1240 a (EÚ) 2019/818 a o zrušení nariadenia Európskeho parlamentu a Rady (EÚ) č. 603/2013 (Ú. v. EÚ L, 2024/1358, 22.5.2024).“.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29a</w:t>
              <w:br/>
            </w:r>
            <w:r>
              <w:rPr>
                <w:b w:val="off"/>
                <w:color w:val="000000"/>
                <w:rFonts w:ascii="Times New Roman" w:hAnsi="Times New Roman" w:cs="Times New Roman" w:eastAsia="Times New Roman"/>
                <w:sz w:val="24"/>
              </w:rPr>
              <w:t>3.	K bodom 7 a 8: Žiadame prehodnotiť zavádzanú dvojkoľajnosť pri oprávneniach policajtov služby finančnej polície, policajtov služby kriminálnej polície a policajtov inšpekčnej služby v závislosti od výšky škody podľa § 29a ods. 1 a 4, kedy výška škody pri konaní poškodzujúcom finančné záujmy Európskej únie má byť najmenej 10 000 eur a výška škody pri konaní poškodzujúcom finančné záujmy Slovenskej republiky má byť najmenej 20 000 eur. Máme za to, že pri určovaní výšky škody v prípade odhaľovania konania poškodzujúceho finančné záujmy Európskej únie v navrhovanom § 29a ods. 1 a 4 zákona o Policajnom zbore predkladateľ vychádzal z čl. 7 ods. 4 smernice Európskeho parlamentu a Rady (EÚ) 2017/1371 z 5. júla 2017 o boji proti podvodom, ktoré poškodzujú finančné záujmy Únie, prostredníctvom trestného práva, podľa ktorého v prípade trestných činov, pri ktorých škoda nepresahuje sumu 10 000 eur alebo prospech nepresahuje sumu 10 000 eur, môžu členské štáty ustanoviť iné než trestné sankcie. Máme za to, že ochrana finančných záujmov štátu a finančných záujmov Európskej únie musí byť postavená na rovnakú úroveň, keďže oba druhy týchto finančných prostriedkov slúžia na napĺňanie verejných politík na území Slovenska. V oblasti ochrany finančných záujmov o. i. platí tzv. princíp asimilácie podľa čl. 325 Zmluvy o fungovaní Európskej únie, podľa ktorého Európska únia a členské štáty zamedzujú podvodom a inému protiprávnemu konaniu poškodzujúceho finančné záujmy Európskej únie. Podľa čl. 325 ods. 2 Zmluvy o fungovaní Európskej únie členské štáty prijmú „rovnaké opatrenia na zamedzenie podvodov poškodzujúcich finančné záujmy Únie, aké prijímajú na zamedzenie podvodov poškodzujúcich ich vlastné finančné záujmy“. Zjednotenie výšky škody by prispelo k právnej istote a predvídateľnosti pre fyzické osoby, právnické osoby, aj orgány činné v trestnom konaní. Máme preto za to, že z hľadiska ústavnej integrity a rovnosti pred zákonom by mala byť hranica predpokladanej výšky škody pri oprávneniach policajtov služby finančnej polície, policajtov služby kriminálnej polície a policajtov inšpekčnej služby v konaní poškodzujúcom finančné záujmy Európskej únie a pri konaní poškodzujúcom finančné záujmy štátu rovnaká.</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xml:space="preserve">§ 29a bol upravený - sumy boli zjednotené.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69d</w:t>
              <w:br/>
            </w:r>
            <w:r>
              <w:rPr>
                <w:b w:val="off"/>
                <w:color w:val="000000"/>
                <w:rFonts w:ascii="Times New Roman" w:hAnsi="Times New Roman" w:cs="Times New Roman" w:eastAsia="Times New Roman"/>
                <w:sz w:val="24"/>
              </w:rPr>
              <w:t>4.	K bodu 22: Názov nariadenia (EÚ) 2024/982 v poznámke pod čiarou k odkazu 27dd) žiadame upraviť nasledovne: „Nariadenie Európskeho parlamentu a Rady (EÚ) 2024/982 z 13. marca 2024 o automatizovanom vyhľadávaní a výmene údajov na účely policajnej spolupráce a o zmene rozhodnutí Rady 2008/615/SVV a 2008/616/SVV a nariadení Európskeho parlamentu a Rady (EÚ) 2018/1726, (EÚ) 2019/817 a (EÚ) 2019/818 (prümské nariadenie II) (Ú. v. EÚ L, 2024/982, 5.4.2024).“.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69g</w:t>
              <w:br/>
            </w:r>
            <w:r>
              <w:rPr>
                <w:b w:val="off"/>
                <w:color w:val="000000"/>
                <w:rFonts w:ascii="Times New Roman" w:hAnsi="Times New Roman" w:cs="Times New Roman" w:eastAsia="Times New Roman"/>
                <w:sz w:val="24"/>
              </w:rPr>
              <w:t>5.	K bodu 24: Nakoľko navrhovaná poznámka pod čiarou k odkazu 27eb) je totožná s poznámkou pod čiarou k odkazu 27dd), žiadame v čl. I bode 24 pristúpiť k úprave § 69g zákona o Policajnom zbore a nad slovom „predpisov“ zaviesť odkaz 27dd) a odkaz 27eb) a zodpovedajúcu poznámku pod čiarou zo zákona vypustiť.</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69ia</w:t>
              <w:br/>
            </w:r>
            <w:r>
              <w:rPr>
                <w:b w:val="off"/>
                <w:color w:val="000000"/>
                <w:rFonts w:ascii="Times New Roman" w:hAnsi="Times New Roman" w:cs="Times New Roman" w:eastAsia="Times New Roman"/>
                <w:sz w:val="24"/>
              </w:rPr>
              <w:t>6.	K bodu 37: V navrhovanom § 69ia ods. 4 odporúčame slová „členskému štátu Európskej únie“ nahradiť slovami „orgánu členského štátu Európskej únie“. Rovnako odporúčame slová „tretiemu štátu“ nahradiť slovami „orgánu tretieho štátu“.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69ja</w:t>
              <w:br/>
            </w:r>
            <w:r>
              <w:rPr>
                <w:b w:val="off"/>
                <w:color w:val="000000"/>
                <w:rFonts w:ascii="Times New Roman" w:hAnsi="Times New Roman" w:cs="Times New Roman" w:eastAsia="Times New Roman"/>
                <w:sz w:val="24"/>
              </w:rPr>
              <w:t>7.	K bodu 43: V navrhovanom § 69ja ods. 2 a 3 a v navrhovanom § 69jb ods. 1 žiadame slová „krajín Európskej únie“ nahradiť slovami „členských štátov Európskej únie“.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 69jb</w:t>
              <w:br/>
            </w:r>
            <w:r>
              <w:rPr>
                <w:b w:val="off"/>
                <w:color w:val="000000"/>
                <w:rFonts w:ascii="Times New Roman" w:hAnsi="Times New Roman" w:cs="Times New Roman" w:eastAsia="Times New Roman"/>
                <w:sz w:val="24"/>
              </w:rPr>
              <w:t>8.	K bodu 43: V navrhovanom § 69jb ods. 2 odporúčame slová „v článku 21 Charty základných práv Európskej únie“ nahradiť slovami „v osobitnom predpise“, nad slovom „predpise“ zaviesť odkaz a na čl. 21 Charty základných práv Európskej únie odkazovať v poznámke pod čiarou.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zlučiteľnosti</w:t>
              <w:br/>
            </w:r>
            <w:r>
              <w:rPr>
                <w:b w:val="off"/>
                <w:color w:val="000000"/>
                <w:rFonts w:ascii="Times New Roman" w:hAnsi="Times New Roman" w:cs="Times New Roman" w:eastAsia="Times New Roman"/>
                <w:sz w:val="24"/>
              </w:rPr>
              <w:t>1.	V bode 3 písm. b) doložky zlučiteľnosti žiadame ako relevantný zdroj sekundárneho práva Európskej únie uvádzať spolu s gestorom aj nariadenie (EÚ) 2019/817 v platnom znení a nariadenie (EÚ) 2025/12.</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zlučiteľnosti</w:t>
              <w:br/>
            </w:r>
            <w:r>
              <w:rPr>
                <w:b w:val="off"/>
                <w:color w:val="000000"/>
                <w:rFonts w:ascii="Times New Roman" w:hAnsi="Times New Roman" w:cs="Times New Roman" w:eastAsia="Times New Roman"/>
                <w:sz w:val="24"/>
              </w:rPr>
              <w:t>2.	Publikačný zdroj smernice 2004/82/ES uvádzanej v bode 3 písm. b) doložky zlučiteľnosti žiadame upraviť nasledovne: „(Mimoriadne vydanie Ú. v. EÚ, kap. 19/zv. 7; Ú. v. EÚ L 261, 6.8.2004)“.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zlučiteľnosti</w:t>
              <w:br/>
            </w:r>
            <w:r>
              <w:rPr>
                <w:b w:val="off"/>
                <w:color w:val="000000"/>
                <w:rFonts w:ascii="Times New Roman" w:hAnsi="Times New Roman" w:cs="Times New Roman" w:eastAsia="Times New Roman"/>
                <w:sz w:val="24"/>
              </w:rPr>
              <w:t>3.	V bode 3 písm. b) doložky zlučiteľnosti predkladateľ ako relevantné sekundárne právo Európskej únie uvádza aj smernicu (EÚ) 2016/680. V prípade, že sa predkladaným návrhom zákona zasahuje do transpozičných opatrení tejto smernice, žiadame v ďalšom štádiu legislatívneho procesu k predkladanému návrhu zákona predložiť tabuľku zhody, v ktorej bude preukázané zachovanie úplnej transpozície smernice do slovenského právneho poriadku.</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Predkladaným návrhom zákona sa nezasahuje do transpozičných opatrení smernice (EÚ) 2016/680. Doložka zlučiteľnosti bola upravená.</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zlučiteľnosti</w:t>
              <w:br/>
            </w:r>
            <w:r>
              <w:rPr>
                <w:b w:val="off"/>
                <w:color w:val="000000"/>
                <w:rFonts w:ascii="Times New Roman" w:hAnsi="Times New Roman" w:cs="Times New Roman" w:eastAsia="Times New Roman"/>
                <w:sz w:val="24"/>
              </w:rPr>
              <w:t>4.	Z bodu 3 písm. b) doložky zlučiteľnosti žiadame vypustiť odkaz 1) a zodpovedajúcu poznámku pod čiarou, nakoľko gestori nariadenia (EÚ) 2025/13 boli určení uznesením vlády Slovenskej republiky č. 346 z 2. júla 2025.</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zlučiteľnosti</w:t>
              <w:br/>
            </w:r>
            <w:r>
              <w:rPr>
                <w:b w:val="off"/>
                <w:color w:val="000000"/>
                <w:rFonts w:ascii="Times New Roman" w:hAnsi="Times New Roman" w:cs="Times New Roman" w:eastAsia="Times New Roman"/>
                <w:sz w:val="24"/>
              </w:rPr>
              <w:t>5.	Z bodu 4 písm. c) žiadame z uvádzaného zoznamu transpozičných opatrení smernice (EÚ) 2016/680 vypustiť zákon č. 307/2014 Z. z., nakoľko bol zrušený zákonom č. 54/2019 Z. z.</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1.	V ľavej časti záhlavia tabuľky zhody žiadame publikačný zdroj smernice (EÚ) 2016/681 upraviť nasledovne: „(Ú. v. EÚ L 119, 4.5.2016)“.</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2.	Predkladanú tabuľku zhody so smernicou (EÚ) 2016/681 žiadame upraviť v súlade s Prílohou č. 3 k Legislatívnym pravidlám vlády Slovenskej republiky, a v deviatom stĺpci tabuľky zhody uvádzať skratku „GP – N“ v prípadoch, kedy nedochádza ku goldplatingu. Týmto spôsobom žiadame upraviť celú tabuľku zhody so smernicou (EÚ) 2016/681.</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3.	Pri preukazovaní transpozície čl. 3 ods. 6 smernice (EÚ) 2016/861 do slovenského právneho poriadku žiadame v šiestom stĺpci tabuľky zhody uvádzať aj znenie poznámky pod čiarou k odkazu 27ed). Túto pripomienku primerane vzťahujeme na celú tabuľku zhody so smernicou (EÚ) 2016/681.</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4.	Pri preukazovaní transpozície čl. 3 ods. 8 smernice (EÚ) 2016/861 do slovenského právneho poriadku žiadame v piatom a šiestom stĺpci tabuľky zhody uvádzať platné a účinné znenie Trestného zákona.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5.	Pri preukazovaní transpozície čl. 4 ods. 2 smernice (EÚ) 2016/861 do slovenského právneho poriadku žiadame v šiestom stĺpci tabuľky zhody v záujme preukázania úplnej transpozície uvádzať aj ďalšie transpozičné opatrenia týkajúce sa činnosti Národnej ústredne informácií o pasažieroch.</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6.	Pri preukazovaní transpozície čl. 4 ods. 4, čl. 10 ods. 3 a 4, čl. 13 ods. 3, čl. 16 ods. 3 až 5, čl. 17 ods. 1 a 2, čl. 19 ods. 1 až 4, čl. 21 ods. 1 až 3 a čl. 22 smernice (EÚ) 2016/861 do slovenského právneho poriadku žiadame v siedmom stĺpci tabuľky zhody uvádzať skratku „n. 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7.	Pri preukazovaní transpozície čl. 7 ods. 1, čl. 11 ods. 2 druhého pododseku a ods. 4 a čl. 12 ods. 3 smernice (EÚ) 2016/861 do slovenského právneho poriadku žiadame v siedmom stĺpci tabuľky zhody uvádzať skratku „Ú“.</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8.	Pri preukazovaní transpozície čl. 8 ods. 1 smernice (EÚ) 2016/861 do slovenského právneho poriadku žiadame zo šiesteho stĺpca tabuľky zhody vypustiť duplicitne uvádzaný § 69i ods. 2 zákona o Policajnom zbore.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9.	V predkladanej tabuľke zhody žiadame preukázať transpozíciu čl. 12 ods. 3 písm. b) smernice (EÚ) 2016/681 do slovenského právneho poriadku, nakoľko schvaľovanie vnútroštátnym orgánom má byť predkladaným návrhom zákona z § 69m ods. 3 vypustené.</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10.	Pri preukazovaní transpozície čl. 13 ods. 2 smernice (EÚ) 2016/861 do slovenského právneho poriadku žiadame zo štvrtého, piateho, šiesteho a deviateho stĺpca tabuľky zhody vypustiť uvádzaný text, a v treťom a siedmom stĺpci tabuľky zhody uviesť skratku „n. a.“, nakoľko rámcové rozhodnutie 2008/977/SVV už nie je účinné.</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11.	Pri preukazovaní transpozície čl. 18 ods. 1 smernice (EÚ) 2016/861 do slovenského právneho poriadku žiadame z piateho a šiesteho stĺpca tabuľky zhody vypustiť uvádzaný text o nadobudnutí účinnosti, nakoľko nie je relevantný a ani v súlade s čl. IV predkladaného návrhu zákona. Ako transpozičné opatrenie čl. 18 ods. 1 smernice (EÚ) 2016/861 žiadame uvádzať aj § 82a zákona o Policajnom zbore obsahujúci odkaz na transpozičnú prílohu.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12.	V predkladanej tabuľke zhody žiadame preukázať transpozíciu čl. 18 ods. 2 smernice (EÚ) 2016/681 do slovenského právneho poriadku, a to prostredníctvom § 35 ods. 7 zákona č. 575/2001 Z. z. v znení neskorších predpisov.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13.	V predkladanej tabuľke zhody odporúčame preukázať transpozíciu čl. 20 ods. 1 a 2 smernice (EÚ) 2016/681 do slovenského právneho poriadku, a to prostredníctvom § 35 ods. 7 zákona č. 575/2001 Z. z. v znení neskorších predpisov príp. iného relevantného vnútroštátneho transpozičného opatrenia.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(EÚ) 2016/681</w:t>
              <w:br/>
            </w:r>
            <w:r>
              <w:rPr>
                <w:b w:val="off"/>
                <w:color w:val="000000"/>
                <w:rFonts w:ascii="Times New Roman" w:hAnsi="Times New Roman" w:cs="Times New Roman" w:eastAsia="Times New Roman"/>
                <w:sz w:val="24"/>
              </w:rPr>
              <w:t>14.	Pri preukazovaní transpozície Prílohy I smernice (EÚ) 2016/861 do slovenského právneho poriadku žiadame zosúladiť text uvádzaný v šiestom stĺpci tabuľky zhody so znením čl. I bodu 72 vlastného materiálu predkladaného návrhu zákona.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1.	V ľavej časti záhlavia tabuľky zhody žiadame publikačný zdroj smernice 2004/82/ES upraviť nasledovne: „(Mimoriadne vydanie Ú. v. EÚ, kap. 19/zv. 7; Ú. v. EÚ L 261, 6.8.2004)“.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2.	V pravej časti záhlavia tabuľky zhody so smernicou 2004/82/ES žiadame ako transpozičné opatrenie uvádzať aj zákon č. 575/2001 Z. z. v znení neskorších predpisov.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3.	Predkladanú tabuľku zhody so smernicou 2004/82/ES žiadame upraviť v súlade s Prílohou č. 3 k Legislatívnym pravidlám vlády Slovenskej republiky, a v deviatom stĺpci tabuľky zhody uvádzať skratku „GP – N“ v prípadoch, kedy nedochádza ku goldplatingu. Týmto spôsobom žiadame upraviť celú tabuľku zhody so smernicou 2004/82/ES.</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4.	Pri preukazovaní transpozície čl. 1, čl. 3 ods. 1 a 2 a čl. 6 ods. 1 smernice 2004/82/ES do slovenského právneho poriadku žiadame v súlade s Prílohou č. 3 k Legislatívnym pravidlám vlády Slovenskej republiky v deviatom stĺpci tabuľky zhody uvádzať slová „GP – A, b) navýšenie požiadaviek“ a v desiatom stĺpci tabuľky zhody identifikovať oblasť, na ktorú bude mať navrhovaná právna úprava vplyv. V závere tabuľky zhody žiadame uviesť Vyjadrenie k opodstatnenosti goldplatingu a jeho odôvodnenie a v siedmom bode doložky vybraných vplyvov žiadame v súlade s čl. 21 ods. 4 Legislatívnych pravidiel vlády Slovenskej republiky osobitne zhodnotiť rozsah transpozície týchto ustanovení smernice 2004/82/ES.</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Tabuľky zhody boli upravené.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5.	Pri preukazovaní transpozície čl. 3 ods. 3, čl. 7 ods. 1 prvej vety, čl. 8 a čl. 9 smernice 2004/82/ES do slovenského právneho poriadku žiadame v siedmom stĺpci tabuľky zhody uvádzať skratku „n. 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6.	V predkladanej tabuľke zhody odporúčame preukázať transpozíciu čl. 4 ods. 1 smernice 2004/82/ES do slovenského právneho poriadku s ohľadom na situáciu, kedy došlo k zaslaniu oznámenia o cestujúcom dopravcom, ale jeho obsahom boli neúplné alebo chybné údaje.</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 xml:space="preserve">§ 69o ods. 4 považujeme za dostatočnú transpozíciu čl. 4 ods. 1 smernice 2004/82/ES, keďže je oznámenie neúplných alebo chybných údajov porušenie povinnosti podľa § 69i ods. 6 alebo 11.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7.	Pri preukazovaní transpozície čl. 4 ods. 2 smernice 2004/82/ES do slovenského právneho poriadku žiadame v tabuľke zhody uvádzať ďalšie transpozičné opatrenia v súlade so znením odôvodnenia k čl. I bodu 57 predkladaného návrhu zákona v osobitnej časti dôvodovej správy. V siedmom stĺpci tabuľky zhody žiadame následne uvádzať skratku „Ú“.</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 69o ods. 10 bol z návrhu zákona vypustený. Dôvodová správa a tabuľka zhody boli upravené.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8.	Máme za to, že v prípade čl. 6 ods. 1 piatej vety smernice 2004/82/ES do slovenského právneho poriadku dochádza k nesprávnej transpozícií, nakoľko smernica ukladá členským štátom povinnosť zabezpečiť, aby uložili dopravcom povinnosť vymazať do 24 hodín od príchodu dopravných prostriedkov osobné údaje, ktoré zhromaždili a oznámili hraničným orgánom, kým transpozičné opatrenie, ktorým je § 69n ods. 2 zákona o Policajnom zbore v znení navrhovanom v čl. I bode 55 ukladá túto povinnosť útvaru Policajného zboru na hraničnom priechode.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Tabuľka zhody bola upravená.</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9.	Pri preukazovaní transpozície čl. 7 ods. 1 druhej vety smernice 2004/82/ES do slovenského právneho poriadku žiadame ako transpozičné opatrenie uvádzať aj § 82a zákona o Policajnom zbore obsahujúci odkaz na transpozičnú prílohu.</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transpozícií a tabuľke zhody so smernicou 2004/82/ES</w:t>
              <w:br/>
            </w:r>
            <w:r>
              <w:rPr>
                <w:b w:val="off"/>
                <w:color w:val="000000"/>
                <w:rFonts w:ascii="Times New Roman" w:hAnsi="Times New Roman" w:cs="Times New Roman" w:eastAsia="Times New Roman"/>
                <w:sz w:val="24"/>
              </w:rPr>
              <w:t>10.	V predkladanej tabuľke zhody žiadame preukázať transpozíciu čl. 7 ods. 2 smernice 2004/82/ES do slovenského právneho poriadku, a to prostredníctvom § 35 ods. 7 zákona č. 575/2001 Z. z. v znení neskorších predpisov.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1.	V druhom odseku všeobecnej časti dôvodovej správy žiadame názov nariadenia (EÚ) 2016/399 v platnom znení upraviť nasledovne: „nariadenie Európskeho parlamentu a Rady (EÚ) 2016/399 z 9. marca 2016, ktorým sa ustanovuje kódex Únie o pravidlách upravujúcich pohyb osôb cez hranice (Kódex schengenských hraníc) (kodifikované znenie) (Ú. v. EÚ L 77, 23.3.2016) v platnom znení“.</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2.	V odôvodnení k čl. I bodu 3 v osobitnej časti dôvodovej správy žiadame v piatom odseku za názvom nariadenia (EÚ) 2024/1358 uviesť publikačný zdroj a zaviesť skrátenú citáciu nasledovne: „(Ú. v EÚ L, 2024/1358, 22.5.2024) (ďalej len „nariadenie (EÚ) 2024/1358“)“. Takto zavedenú skrátenú citáciu žiadame následne používať v nasledujúcich odsekoch.</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3.	V odôvodnení k čl. I bodom 22 a 24 v osobitnej časti dôvodovej správy žiadame v druhom odseku názov nariadenia (EÚ) 2024/982 upraviť nasledovne: „nariadenie Európskeho parlamentu a Rady (EÚ) 2024/982 z 13. marca 2024 o automatizovanom vyhľadávaní a výmene údajov na účely policajnej spolupráce a o zmene rozhodnutí Rady 2008/615/SVV a 2008/616/SVV a nariadení Európskeho parlamentu a Rady (EÚ) 2018/1726, (EÚ) 2019/817 a (EÚ) 2019/818 (prümské nariadenie II) ( Ú. v. EÚ L, 2024/982, 5.4.2024)“.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4.	V odôvodnení k čl. I bodu 27 v osobitnej časti dôvodovej správy žiadame názov nariadenia (EÚ) 2016/399 v platnom znení upraviť nasledovne: „nariadenie Európskeho parlamentu a Rady (EÚ) 2016/399 z 9. marca 2016, ktorým sa ustanovuje kódex Únie o pravidlách upravujúcich pohyb osôb cez hranice (Kódex schengenských hraníc) (kodifikované znenie) (Ú. v. EÚ L 77, 23.3.2016) v platnom znení (ďalej len „nariadenie (EÚ) 2016/399 v platnom znení“)“. Takto zavedenú skrátenú citáciu žiadame následne používať v celom texte osobitnej časti dôvodovej správy, najmä v odôvodnení k čl. I bodu 36, bodom 54 a 55 prvom a štvrtom odseku a bodu 57.</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5.	V odôvodnení k čl. I bodu 36 v osobitnej časti dôvodovej správy žiadame za názvom smernice 2004/82/ES uviesť publikačný zdroj a zaviesť skrátenú citáciu nasledovne: „(Mimoriadne vydanie Ú. v. EÚ, kap. 19/zv. 7; Ú. v. EÚ L 261, 6.8.2004) (ďalej len „smernica 2004/82/ES“)“. Takto zavedenú skrátenú citáciu žiadame následne používať v celom texte osobitnej časti dôvodovej správy, najmä v odôvodnení k čl. I bodom 54 a 55, bodu 56 a bodu 57.</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6.	V odôvodnení k čl. I bodu 37 v osobitnej časti dôvodovej správy žiadame v treťom odseku názov smernice (EÚ) 2016/681 upraviť nasledovne: „smernica Európskeho parlamentu a Rady (EÚ) 2016/681 z 27. apríla 2016 o využívaní údajov zo záznamov o cestujúcich (PNR) na účely prevencie, odhaľovania, vyšetrovania a stíhania teroristických trestných činov a závažnej trestnej činnosti (Ú. v. EÚ L 119, 4.5.2016) (ďalej len „smernica (EÚ) 2016/681“)“. Takto zavedenú skrátenú citáciu žiadame následne používať v celom texte osobitnej časti dôvodovej správy, najmä v šiestom a ôsmom odseku, ako aj v odôvodnení k čl. I bodu 38, bodu 43 § 69jc, bodu 57 a bodom 66 až 72.</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7.	V odôvodnení k čl. I bodu 37 v osobitnej časti dôvodovej správy žiadame zosúladiť používané pojmy „Komisia EÚ“ a „Európska komisia“.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8.	V odôvodnení k čl. I bodu 37 v osobitnej časti dôvodovej správy žiadame v desiatom odseku za názvom nariadenia (EÚ) 2025/13 uviesť publikačný zdroj a zaviesť skrátenú citáciu nasledovne: „(Ú. v. EÚ L, 2025/13, 8.1.2025) (ďalej len „nariadenie (EÚ) 2025/13)“. Takto zavedenú skrátenú citáciu žiadame následne používať v odôvodnení k čl. I bodu 43 § 69jb ods. 2.</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dôvodovej správe</w:t>
              <w:br/>
            </w:r>
            <w:r>
              <w:rPr>
                <w:b w:val="off"/>
                <w:color w:val="000000"/>
                <w:rFonts w:ascii="Times New Roman" w:hAnsi="Times New Roman" w:cs="Times New Roman" w:eastAsia="Times New Roman"/>
                <w:sz w:val="24"/>
              </w:rPr>
              <w:t>9.	V odôvodnení k čl. I bodom 54 a 55 v osobitnej časti dôvodovej správy žiadame v prvom odseku odkazovať na definíciu hraničných kontrol v čl. 3 bode 2 nariadenia (EÚ) 2025/12 resp. v čl. 4 ods. 2 nariadenia (EÚ) 2019/817 v platnom znení, nakoľko nariadenie (EÚ) 2025/13 pojem „hraničné kontroly“ nedefinuje.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vybraných vplyvov</w:t>
              <w:br/>
            </w:r>
            <w:r>
              <w:rPr>
                <w:b w:val="off"/>
                <w:color w:val="000000"/>
                <w:rFonts w:ascii="Times New Roman" w:hAnsi="Times New Roman" w:cs="Times New Roman" w:eastAsia="Times New Roman"/>
                <w:sz w:val="24"/>
              </w:rPr>
              <w:t>1.	Zo zoznamu transponovaných a implementovaných predpisov v prvom bode doložky vybraných vplyvov žiadame vypustiť rozsudok Súdneho dvora Európskej únie vo veci C-817/19.</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vybraných vplyvov</w:t>
              <w:br/>
            </w:r>
            <w:r>
              <w:rPr>
                <w:b w:val="off"/>
                <w:color w:val="000000"/>
                <w:rFonts w:ascii="Times New Roman" w:hAnsi="Times New Roman" w:cs="Times New Roman" w:eastAsia="Times New Roman"/>
                <w:sz w:val="24"/>
              </w:rPr>
              <w:t>2.	V zozname transponovaných a implementovaných predpisov v prvom bode doložky vybraných vplyvov žiadame uvádzať aj nariadenie (EÚ) 2016/399 v platnom znení.</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vybraných vplyvov</w:t>
              <w:br/>
            </w:r>
            <w:r>
              <w:rPr>
                <w:b w:val="off"/>
                <w:color w:val="000000"/>
                <w:rFonts w:ascii="Times New Roman" w:hAnsi="Times New Roman" w:cs="Times New Roman" w:eastAsia="Times New Roman"/>
                <w:sz w:val="24"/>
              </w:rPr>
              <w:t>3.	Publikačný zdroj smernice 2004/82/ES uvádzanej v prvom bode doložky vybraných vplyvov žiadame upraviť nasledovne: „(Mimoriadne vydanie Ú. v. EÚ, kap. 19/zv. 7; Ú. v. EÚ L 261, 6.8.2004)“.</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vybraných vplyvov</w:t>
              <w:br/>
            </w:r>
            <w:r>
              <w:rPr>
                <w:b w:val="off"/>
                <w:color w:val="000000"/>
                <w:rFonts w:ascii="Times New Roman" w:hAnsi="Times New Roman" w:cs="Times New Roman" w:eastAsia="Times New Roman"/>
                <w:sz w:val="24"/>
              </w:rPr>
              <w:t>4.	V súlade s čl. 21 ods. 4 Legislatívnych pravidiel vlády Slovenskej republiky žiadame v siedmom bode doložky vybraných vplyvov uviesť konkrétne ustanovenia smernice 2004/82/ES, pri transpozícií ktorých dochádza ku goldplatingu a osobitne zhodnotiť rozsah takejto transpozície.</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Tabuľka zhody bola upravená. Pri transpozícii smernice 2004/82/ES nedochádza ku goldplatingu.</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vybraných vplyvov</w:t>
              <w:br/>
            </w:r>
            <w:r>
              <w:rPr>
                <w:b w:val="off"/>
                <w:color w:val="000000"/>
                <w:rFonts w:ascii="Times New Roman" w:hAnsi="Times New Roman" w:cs="Times New Roman" w:eastAsia="Times New Roman"/>
                <w:sz w:val="24"/>
              </w:rPr>
              <w:t>5.	V bode 3.1.4. Analýzy vplyvov na podnikateľské prostredie žiadame v písm. a) treťom odseku názov smernice (EÚ) 2016/681 upraviť nasledovne: „smernica Európskeho parlamentu a Rady (EÚ) 2016/681 z 27. apríla 2016 o využívaní údajov zo záznamov o cestujúcich (PNR) na účely prevencie, odhaľovania, vyšetrovania a stíhania teroristických trestných činov a závažnej trestnej činnosti (Ú. v. EÚ L 119, 4.5.2016) (ďalej len „smernica (EÚ) 2016/681“)“. Takto zavedenú skrátenú citáciu žiadame následne použiť v piatom a siedmom odseku písm. a) a v treťom a desiatom odseku písm. b) v rámci bodu 3.1.4. Analýzy vplyvov na podnikateľské prostredie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OAPSVLÚVSR</w:t>
              <w:br/>
            </w:r>
            <w:r>
              <w:rPr>
                <w:b w:val="off"/>
                <w:color w:val="000000"/>
                <w:rFonts w:ascii="Times New Roman" w:hAnsi="Times New Roman" w:cs="Times New Roman" w:eastAsia="Times New Roman"/>
                <w:sz w:val="24"/>
              </w:rPr>
              <w:t>Odbor aproximácie práva sekcie vládnej legislatívy Úradu vlády SR</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doložke vybraných vplyvov</w:t>
              <w:br/>
            </w:r>
            <w:r>
              <w:rPr>
                <w:b w:val="off"/>
                <w:color w:val="000000"/>
                <w:rFonts w:ascii="Times New Roman" w:hAnsi="Times New Roman" w:cs="Times New Roman" w:eastAsia="Times New Roman"/>
                <w:sz w:val="24"/>
              </w:rPr>
              <w:t>6.	V bode 3.1.4. Analýzy vplyvov na podnikateľské prostredie žiadame v písm. c) názov nariadenia (EÚ) 2016/399 v platnom znení upraviť nasledovne: „nariadenie Európskeho parlamentu a Rady (EÚ) 2016/399 z 9. marca 2016, ktorým sa ustanovuje kódex Únie o pravidlách upravujúcich pohyb osôb cez hranice (Kódex schengenských hraníc) (kodifikované znenie) (Ú. v. EÚ L 77, 23.3.2016) v platnom znení“.</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PMÚSR</w:t>
              <w:br/>
            </w:r>
            <w:r>
              <w:rPr>
                <w:b w:val="off"/>
                <w:color w:val="000000"/>
                <w:rFonts w:ascii="Times New Roman" w:hAnsi="Times New Roman" w:cs="Times New Roman" w:eastAsia="Times New Roman"/>
                <w:sz w:val="24"/>
              </w:rPr>
              <w:t>Protimonopolný úrad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II, úvodná veta</w:t>
              <w:br/>
            </w:r>
            <w:r>
              <w:rPr>
                <w:b w:val="off"/>
                <w:color w:val="000000"/>
                <w:rFonts w:ascii="Times New Roman" w:hAnsi="Times New Roman" w:cs="Times New Roman" w:eastAsia="Times New Roman"/>
                <w:sz w:val="24"/>
              </w:rPr>
              <w:t>V čl. II. odporúčame do úvodnej vety doplniť aj skrátené citácie zákona č. 258/2025 Z. z., zákona č. 294/2025 Z. z. a zákona č. 312/2025 Z. z., ktorými bol zákon č. 483/2001 Z. z. taktiež novelizovaný.</w:t>
              <w:br/>
            </w:r>
            <w:r>
              <w:rPr>
                <w:b w:val="off"/>
                <w:color w:val="000000"/>
                <w:rFonts w:ascii="Times New Roman" w:hAnsi="Times New Roman" w:cs="Times New Roman" w:eastAsia="Times New Roman"/>
                <w:sz w:val="24"/>
              </w:rPr>
              <w:t>Odôvodnenie: Legislatívno-technická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PMÚSR</w:t>
              <w:br/>
            </w:r>
            <w:r>
              <w:rPr>
                <w:b w:val="off"/>
                <w:color w:val="000000"/>
                <w:rFonts w:ascii="Times New Roman" w:hAnsi="Times New Roman" w:cs="Times New Roman" w:eastAsia="Times New Roman"/>
                <w:sz w:val="24"/>
              </w:rPr>
              <w:t>Protimonopolný úrad Slovenskej republiky</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čl. III, úvodná veta</w:t>
              <w:br/>
            </w:r>
            <w:r>
              <w:rPr>
                <w:b w:val="off"/>
                <w:color w:val="000000"/>
                <w:rFonts w:ascii="Times New Roman" w:hAnsi="Times New Roman" w:cs="Times New Roman" w:eastAsia="Times New Roman"/>
                <w:sz w:val="24"/>
              </w:rPr>
              <w:t>V čl. III. odporúčame do úvodnej vety doplniť aj skrátené citácie zákona č. 261/2025 Z. z. a zákona č. 297/2025 Z. z., ktorými bol zákon č. 452/2021 Z. z. taktiež novelizovaný.</w:t>
              <w:br/>
            </w:r>
            <w:r>
              <w:rPr>
                <w:b w:val="off"/>
                <w:color w:val="000000"/>
                <w:rFonts w:ascii="Times New Roman" w:hAnsi="Times New Roman" w:cs="Times New Roman" w:eastAsia="Times New Roman"/>
                <w:sz w:val="24"/>
              </w:rPr>
              <w:t>Odôvodnenie: Legislatívno-technická pripomienka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RÚZSR</w:t>
              <w:br/>
            </w:r>
            <w:r>
              <w:rPr>
                <w:b w:val="off"/>
                <w:color w:val="000000"/>
                <w:rFonts w:ascii="Times New Roman" w:hAnsi="Times New Roman" w:cs="Times New Roman" w:eastAsia="Times New Roman"/>
                <w:sz w:val="24"/>
              </w:rPr>
              <w:t>Republiková únia zamestnávateľov</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novelizačný bod 61, v časti §76 odsek 6</w:t>
              <w:br/>
            </w:r>
            <w:r>
              <w:rPr>
                <w:b w:val="off"/>
                <w:color w:val="000000"/>
                <w:rFonts w:ascii="Times New Roman" w:hAnsi="Times New Roman" w:cs="Times New Roman" w:eastAsia="Times New Roman"/>
                <w:sz w:val="24"/>
              </w:rPr>
              <w:t>Navrhujeme v bode 61 vypustiť § 76 ods. 6 a nasledujúce odseky primerane prečíslovať.</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xml:space="preserve">Navrhované ustanovenie § 76 ods. 6  zákona č. 171/1993 Z. z. o Policajnom zbore, ktoré umožňuje Policajnému zboru zisťovať prevádzkové a  lokalizačné údaje bez príkazu súdu (napr. len pri hrozbe, nie pri páchaní trestného činu), neobstojí v teste legality, legitimity a proporcionality zásahu do základných práv a slobôd. Navrhované ustanovenie je v rozpore s Ústavou Slovenskej republiky, resp. s medzinárodnoprávnymi záväzkami Slovenskej republiky.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Akékoľvek obmedzenie základných práv a slobôd musí podliehať kontrole zo strany nezávislého a nestranného súdu.</w:t>
              <w:br/>
            </w:r>
            <w:r>
              <w:rPr>
                <w:b w:val="off"/>
                <w:color w:val="000000"/>
                <w:rFonts w:ascii="Times New Roman" w:hAnsi="Times New Roman" w:cs="Times New Roman" w:eastAsia="Times New Roman"/>
                <w:sz w:val="24"/>
              </w:rPr>
              <w:t>Dotknuté osoby nemajú k dispozícii právny prostriedok, na základe ktorého by bolo možné domáhať sa súdneho prieskumu postupu orgánov činných v trestnom konaní pri získavaní a nakladaní s predmetnými údajmi. Zároveň je potrebné uviesť, že získavanie prevádzkových údajov, lokalizačných údajov a údajov komunikujúcich strán napr. v boji proti terorizmu sa spravuje ustanoveniami § 76a ods. 3 zákona č. 171/1993 Z. z. o Policajnom zbore, na ktorý nadväzuje § 76a ods. 4 až 8, v ktorých sú, na rozdiel od navrhovaného ustanovenia § 76 ods. 6, poskytnuté záruky, akým spôsobom bude nakladané s takto získanými informáciami. Ustanovenie § 117 ods. 8 zákona o elektronických  komunikáciách, už upravuje postup, ak sa jedná o vec, ktorá neznesie odklad.</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Špecificky vo vzťahu k prelomeniu bankového tajomstva zastávame pozíciu, že ide o nadbytočné poskytnutie ďalšieho nástroja na získavanie údajov spadajúcich pod bankové tajomstvo - v súčasnej dobe digitalizácie sú bankové služby väčšinou využívané cez mobilné aplikácie, prihlásenie sa do bankovej aplikácie predpokladá, že osoba mala pri sebe svoj telefón. Rovnako to platí v prípade platby prostredníctvom karty v mobilnom zariadení. Polícia v zmysle súčasného ustanovenia § 76 ods. 4 zákona o Policajnom zbore už má oprávnenie na získavanie prevádzkových a lokalizačných údajov týkajúcich sa hľadanej osoby alebo nezvestnej osoby od telekomunikačných operátorov čo je rýchlejší a presnejší spôsob sledovania dotknutých osôb, preto považujeme poskytnutie ďalšieho nástroja na získavanie údajov spadajúcich pod bankové tajomstvo za nadbytočné. Zároveň v prípade páchateľov sa doplnenie v § 76 ods. 7 zákona o Policajnom zbore javí ako nadbytočné (duplicitné) vzhľadom k tomu, že už v zmysle aktuálne účinného znenia § 91 ods. 4 písm. g) zákona o bankách je služba kriminálnej polície, služba finančnej polície a inšpekčná služba Policajného zboru oprávnená si vyžiadať od banky alebo pobočky zahraničnej banky správu o záležitostiach týkajúcich sa klienta na účely odhaľovania trestných činov, zisťovania ich páchateľov a pátrania po nich, t.j. už v súčasnosti existuje základ pre získavanie údajov o páchateľoch. Zároveň z pohľadu ochrany súkromia a rizika nadbytočného zásahu do súkromia - navrhovaná úprava nestanovuje striktné pravidlá pre prístup k údajom (najmä z pohľadu rozsahu údajov/informácií). Ak by bol umožnený prístup k týmto údajom bez adekvátnych pravidiel, mohlo by to narušiť základné právo dotknutej osoby na súkromie. Nezvestná osoba môže byť nezvestná dobrovoľne a sprístupnenie údajov/informácií spadajúcich pod bankové tajomstvo by mohlo byť zásahom do tohto práva. Ak polícia už má prístup k lokalizačným údajom mobilného telefónu, prístup k údajom spadajúcim pod bankové tajomstvo by predstavoval neprimeraný zásah do súkromia, ktorý by nebol nevyhnutný na dosiahnutie cieľa. Poskytnutie týchto údajov by tak predstavovalo zbytočné narušenie bankového tajomstva a súkromia osôb bez skutočnej potreby. Z pohľadu potenciálneho zneužitia právomocí – bez dostatočnej regulácie a stanovenia adekvátnych pravidiel existuje riziko, že poskytnuté údaje uniknú alebo budú neoprávnene využité na iné účely, čo by mohlo narušiť aj dôveru v bankový systém a vytvoriť nebezpečný precedens. Ak by ale aj napriek uvedenému odôvodneniu nedošlo k upusteniu od návrhu, navrhujeme návrh zásadne prepracovať tak, aby pre uvedený účel bolo zo strany banky možné poskytnúť výlučne údaje nevyhnutné na lokalizáciu osoby (geolokačné údaje) pri využívaní bankových služieb po nevyhnutne potrebné obdobie. Zámerom je poskytnúť výlučne údaje v rozsahu zodpovedajúcom geolokácií a zároveň by sa použil obdobný režim ako v prípade poskytovania údajov zo strany telekomunikačných operátorov, t.j. zisťovanie týchto údajov od banky pri pátraní po hľadanej osobe by sa vykonávalo na základe právoplatného rozhodnutia príslušného súdu na obmedzenie osobnej slobody konkrétnej osoby a v prípade nezvestnej osoby po predchádzajúcom súhlase príbuzného v priamom rade, súrodenca, osvojiteľa, manžela osvojiteľa, osvojenca, manžela alebo druha nezvestnej osoby alebo toho, komu bola zverená nezvestná osoba do výchovy, starostlivosti alebo pod dozor okrem prípadov, keď je táto osoba bezprostredne ohrozená na živote a tento súhlas nie je možné zabezpečiť.</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bude navrhovaný § 76 ods. 6 zákona. č. 171/1993 Z. z. nahradený zmenou v zákone č. 452/2021 Z. z. o elektronických komunikáciách nasledovne: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2.	V § 117 ods. 7 sa na konci pripája táto veta: „Ak ide o vec týkajúcu sa obrany štátu a bezpečnosti štátu alebo trestných činov vymedzených osobitným predpisom,131)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3.	V § 117 odsek 8 znie:</w:t>
              <w:br/>
            </w:r>
            <w:r>
              <w:rPr>
                <w:b w:val="off"/>
                <w:color w:val="000000"/>
                <w:rFonts w:ascii="Times New Roman" w:hAnsi="Times New Roman" w:cs="Times New Roman" w:eastAsia="Times New Roman"/>
                <w:sz w:val="24"/>
              </w:rPr>
              <w:t>„(8) Ak ide o vec týkajúcu sa obrany štátu a bezpečnosti štátu alebo trestných činov vymedzených osobitným predpisom,131) ktorá neznesie odklad a súhlas súdu podľa odseku 7 nemožno získať vopred, údaje podľa odseku 6 sa poskytnú bez súhlasu súdu buď na základe žiadosti iného orgánu štátu podľa § 109 ods. 9 doručenej podniku v písomnej forme alebo dohodnutým spôsobom v šifrovanej forme alebo spôsobom uvedeným v odseku 7 poslednej vety. Iný orgán štátu podľa § 109 ods. 9 je povinný doručenie žiadosti podniku podľa predchádzajúcej vety alebo začatie zisťovania prevádzkových a lokalizačných údajov spôsobom podľa odseku 7 poslednej vety oznámiť zákonnému sudcovi do jednej hodiny od doručenia žiadosti alebo začatia zisťovania prevádzkových a lokalizačných údajov a bezodkladne predložiť zákonnému sudcovi žiadosť o dodatočný písomný súhlas (ďalej len „dodatočný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RÚZSR</w:t>
              <w:br/>
            </w:r>
            <w:r>
              <w:rPr>
                <w:b w:val="off"/>
                <w:color w:val="000000"/>
                <w:rFonts w:ascii="Times New Roman" w:hAnsi="Times New Roman" w:cs="Times New Roman" w:eastAsia="Times New Roman"/>
                <w:sz w:val="24"/>
              </w:rPr>
              <w:t>Republiková únia zamestnávateľov</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II novelizačný bod 1</w:t>
              <w:br/>
            </w:r>
            <w:r>
              <w:rPr>
                <w:b w:val="off"/>
                <w:color w:val="000000"/>
                <w:rFonts w:ascii="Times New Roman" w:hAnsi="Times New Roman" w:cs="Times New Roman" w:eastAsia="Times New Roman"/>
                <w:sz w:val="24"/>
              </w:rPr>
              <w:t xml:space="preserve">Navrhujeme vypustiť bod 1 v čl. II.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V spojitosti s ďalšími predloženými pripomienkami.</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boli súvisiace ustanovenia upravené.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RÚZSR</w:t>
              <w:br/>
            </w:r>
            <w:r>
              <w:rPr>
                <w:b w:val="off"/>
                <w:color w:val="000000"/>
                <w:rFonts w:ascii="Times New Roman" w:hAnsi="Times New Roman" w:cs="Times New Roman" w:eastAsia="Times New Roman"/>
                <w:sz w:val="24"/>
              </w:rPr>
              <w:t>Republiková únia zamestnávateľov</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III novelizačný bod 1</w:t>
              <w:br/>
            </w:r>
            <w:r>
              <w:rPr>
                <w:b w:val="off"/>
                <w:color w:val="000000"/>
                <w:rFonts w:ascii="Times New Roman" w:hAnsi="Times New Roman" w:cs="Times New Roman" w:eastAsia="Times New Roman"/>
                <w:sz w:val="24"/>
              </w:rPr>
              <w:t xml:space="preserve">Navrhujeme vypustiť bod 1 v čl. III.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w:t>
              <w:br/>
            </w:r>
            <w:r>
              <w:rPr>
                <w:b w:val="off"/>
                <w:color w:val="000000"/>
                <w:rFonts w:ascii="Times New Roman" w:hAnsi="Times New Roman" w:cs="Times New Roman" w:eastAsia="Times New Roman"/>
                <w:sz w:val="24"/>
              </w:rPr>
              <w:t>V spojitosti s predloženou pripomienkou k Čl. I, bod 61 (navrhované znenie § 76 ods. 6) požadujeme vypustiť navrhovanú úpravu § 117 ods. 6 zákona č. 452/2021 Z. z. o elektronických komunikáciách, t.j.  vypúšťajú sa navrhované slová „nebezpečnom páchateľovi,“.</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RÚZSR</w:t>
              <w:br/>
            </w:r>
            <w:r>
              <w:rPr>
                <w:b w:val="off"/>
                <w:color w:val="000000"/>
                <w:rFonts w:ascii="Times New Roman" w:hAnsi="Times New Roman" w:cs="Times New Roman" w:eastAsia="Times New Roman"/>
                <w:sz w:val="24"/>
              </w:rPr>
              <w:t>Republiková únia zamestnávateľov</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III novelizačný bod 2</w:t>
              <w:br/>
            </w:r>
            <w:r>
              <w:rPr>
                <w:b w:val="off"/>
                <w:color w:val="000000"/>
                <w:rFonts w:ascii="Times New Roman" w:hAnsi="Times New Roman" w:cs="Times New Roman" w:eastAsia="Times New Roman"/>
                <w:sz w:val="24"/>
              </w:rPr>
              <w:t xml:space="preserve">Navrhujeme vypustiť bod 2 v čl. III, t.j. ponechať súčasný odkaz 130 v poznámke pod čiarou bez zmeny.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V spojitosti s ďalšími predloženými pripomienkami sa v poznámke pod čiarou k odkazu 130 vracia pôvodná citácia „ods. 4 a 5“.</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SBA</w:t>
              <w:br/>
            </w:r>
            <w:r>
              <w:rPr>
                <w:b w:val="off"/>
                <w:color w:val="000000"/>
                <w:rFonts w:ascii="Times New Roman" w:hAnsi="Times New Roman" w:cs="Times New Roman" w:eastAsia="Times New Roman"/>
                <w:sz w:val="24"/>
              </w:rPr>
              <w:t>Slovenská banková asociácia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61., § 76 ods. 7 v spojení s Čl. II, § 91 ods. 4 písm. g)</w:t>
              <w:br/>
            </w:r>
            <w:r>
              <w:rPr>
                <w:b w:val="off"/>
                <w:color w:val="000000"/>
                <w:rFonts w:ascii="Times New Roman" w:hAnsi="Times New Roman" w:cs="Times New Roman" w:eastAsia="Times New Roman"/>
                <w:sz w:val="24"/>
              </w:rPr>
              <w:t xml:space="preserve">Zásadná pripomienka: Žiadame o upustenie od návrhu,  nakoľko poskytnutie údajov/informácií spadajúcich pod bankové tajomstvo v zmysle § 76 ods. 7 nie je účelné, žiadúce ani efektívne.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Nadbytočné poskytnutie ďalšieho nástroja na získavanie údajov spadajúcich pod bankové tajomstvo - v súčasnej dobe digitalizácie sú bankové služby väčšinou využívané cez mobilné aplikácie, prihlásenie sa do bankovej aplikácie predpokladá, že osoba mala pri sebe svoj telefón. Rovnako to platí v prípade platby prostredníctvom karty v mobilnom zariadení. Polícia v zmysle súčasného ustanovenia § 76 ods. 4 zákona o Policajnom zbore už má oprávnenie na získavanie prevádzkových a lokalizačných údajov týkajúcich sa hľadanej osoby alebo nezvestnej osoby od telekomunikačných operátorov čo je rýchlejší a presnejší spôsob sledovania dotknutých osôb, preto považujeme poskytnutie ďalšieho nástroja na získavanie údajov spadajúcich pod bankové tajomstvo za nadbytočné. Zároveň v prípade páchateľov sa doplnenie v § 76 ods. 7 zákona o Policajnom zbore javí ako nadbytočné (duplicitné) vzhľadom k tomu, že už v zmysle aktuálne účinného znenia § 91 ods. 4 písm. g) zákona o bankách je</w:t>
              <w:br/>
            </w:r>
            <w:r>
              <w:rPr>
                <w:b w:val="off"/>
                <w:color w:val="000000"/>
                <w:rFonts w:ascii="Times New Roman" w:hAnsi="Times New Roman" w:cs="Times New Roman" w:eastAsia="Times New Roman"/>
                <w:sz w:val="24"/>
              </w:rPr>
              <w:t>služba kriminálnej polície, služba finančnej polície a inšpekčná služba Policajného zboru oprávnená si vyžiadať od banky alebo pobočky zahraničnej banky správu o záležitostiach týkajúcich sa klienta na účely odhaľovania trestných činov, zisťovania ich páchateľov a pátrania po nich, t.j. už v súčasnosti existuje základ pre získavanie údajov o páchateľoch. Zároveň z pohľadu ochrany súkromia a rizika nadbytočného zásahu do súkromia - navrhovaná úprava nestanovuje striktné pravidlá pre prístup k údajom (najmä z pohľadu rozsahu údajov/informácií). Ak by bol umožnený prístup k týmto údajom bez adekvátnych pravidiel, mohlo by to narušiť základné právo dotknutej osoby na súkromie. Nezvestná osoba môže byť nezvestná dobrovoľne a sprístupnenie údajov/informácií spadajúcich pod bankové tajomstvo by mohlo byť zásahom do tohto práva. Ak polícia už má prístup k lokalizačným údajom mobilného telefónu, prístup k údajom spadajúcim pod bankové tajomstvo by predstavoval neprimeraný zásah do súkromia, ktorý by nebol nevyhnutný na dosiahnutie cieľa. Poskytnutie týchto údajov by tak predstavovalo zbytočné narušenie bankového tajomstva a súkromia osôb bez skutočnej potreby. Z pohľadu potenciálneho zneužitia právomocí – bez dostatočnej regulácie a stanovenia adekvátnych pravidiel existuje riziko, že poskytnuté údaje uniknú alebo budú neoprávnene využité na iné účely, čo by mohlo narušiť aj dôveru v bankový systém a vytvoriť nebezpečný precedens. Ak by ale aj napriek uvedenému odôvodneniu nedošlo k upusteniu od návrhu, navrhujeme návrh zásadne prepracovať tak, aby pre uvedený účel bolo zo strany banky možné poskytnúť výlučne údaje nevyhnutné na lokalizáciu osoby (geolokačné údaje) pri využívaní bankových služieb po nevyhnutne potrebné obdobie. Zámerom je poskytnúť výlučne údaje v rozsahu zodpovedajúcom geolokácií a zároveň by sa použil obdobný režim ako v prípade poskytovania údajov zo strany telekomunikačných operátorov, t.j. zisťovanie týchto údajov od banky pri pátraní po hľadanej osobe by sa vykonávalo na základe právoplatného rozhodnutia príslušného súdu na obmedzenie osobnej slobody konkrétnej osoby a v prípade nezvestnej osoby po predchádzajúcom súhlase príbuzného v priamom rade, súrodenca, osvojiteľa, manžela osvojiteľa, osvojenca, manžela alebo druha nezvestnej osoby alebo toho, komu bola zverená nezvestná osoba do výchovy, starostlivosti alebo pod dozor okrem prípadov, keď je táto osoba bezprostredne ohrozená na živote a tento súhlas nie je možné zabezpečiť.</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bolo znenie ustanovenia upravené.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bodu 29 návrhu zákona (§ 69h ods. 8)</w:t>
              <w:br/>
            </w:r>
            <w:r>
              <w:rPr>
                <w:b w:val="off"/>
                <w:color w:val="000000"/>
                <w:rFonts w:ascii="Times New Roman" w:hAnsi="Times New Roman" w:cs="Times New Roman" w:eastAsia="Times New Roman"/>
                <w:sz w:val="24"/>
              </w:rPr>
              <w:t>1. V § 69h ods. 8 súhlasíme s vypustením slova „iného“ avšak súčasne žiadame na konci bodku nahradiť bodkočiarkou a pripojiť tieto slová: „letom v rámci Európskej únie sa tiež rozumie let s odletom z územia Slovenskej republiky a plánovaným pristátím na území Slovenskej republiky.“.</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Vecná pôsobnosť Slovenskej informačnej služby ako všeobecnej spravodajskej a bezpečnostnej služby a z nej vyplývajúce úlohy sú ustanovené zákonom Národnej rady Slovenskej republiky č. 46/1993 Z. z. o Slovenskej informačnej službe v znení neskorších predpisov. Medzi tieto úlohy podľa § 2 ods. 1 cit. zákona patrí získavanie, sústreďovanie a vyhodnocovanie informácií o aktivitách cudzích spravodajských služieb, organizovanej trestnej činnosti, terorizme, nelegálnej medzinárodnej preprave osôb a migrácii osôb (§ 2 ods. 1 písm. h) cit. zákona). Ako vyplýva z aplikačnej praxe, zo strany rizikových osôb (napr. podporné články organizovaných skupín páchajúcich trestnú činnosť) dochádza k častejšiemu využívaniu intraschengenských letov. V tejto súvislosti Slovenská informačná služba poukazuje na skutočnosť, že zavedením vnútroštátnej leteckej linky medzi Bratislavou a Košicami sa zlepšila možnosť rýchleho presunu osôb ako k vnútorným hraniciam schengenského priestoru medzi členskými štátmi, tak aj k štátnej hranici s Ukrajinou, ktorá je zároveň vonkajšou hranicou Európskej únie. Rovnako, došlo k zvýšenému využívaniu nadväzujúcich letov v rámci schengenského priestoru, ale aj mimo neho, k čomu výrazne prispieva rozširovanie ponuky leteckých spoločností na letisku Milana Rastislava Štefánika v Bratislave. Z hľadiska časovej efektívnosti a finančnej dostupnosti je významným faktorom pri využívaní bratislavského letiska aj blízkosť letiska Viedeň-Schwechat. Jednotlivé letecké spojenia sú bežne využívané rizikovými osobami, preto pri plnení zákonom ustanovených úloh Slovenskou informačnou službou je z dôvodu včasnej identifikácie bezpečnostného rizika nevyhnutné v rámci výkonu spravodajskej činnosti vykonávať analýzu záznamov o cestujúcich aj na vnútroštátnych linkách. Umožnenie spracovania uvedených záznamov je tak nevyhnutným predpokladom včasnej detekcie možného bezpečnostného rizika a následné prijatie primeraného bezpečnostného opatrenia. Zber údajov o vnútroštátnych letoch je preto dôležitou súčasťou výkonu spravodajskej činnosti pri zabezpečovaní bezpečnosti Slovenskej republiky.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Z dôvodovej správy k dotknutému novelizačnému bodu vyplýva, že ide len o legislatívno-technickú úpravu. Ak je cieľom predkladateľa návrhu zákona, aby uvedené znenie dotknutého ustanovenia zahŕňalo aj vnútroštátne lety, alternatívne navrhujeme s cieľom vylúčiť potenciálne pochybnosti pri výklade predmetného ustanovenia v aplikačnej praxi, aby predkladateľ uvedené zapracoval aj do dôvodovej správy k návrhu zákona.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69h ods. 8 bol upravený.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bodu 43 návrhu zákona (§ 69ja ods. 3)</w:t>
              <w:br/>
            </w:r>
            <w:r>
              <w:rPr>
                <w:b w:val="off"/>
                <w:color w:val="000000"/>
                <w:rFonts w:ascii="Times New Roman" w:hAnsi="Times New Roman" w:cs="Times New Roman" w:eastAsia="Times New Roman"/>
                <w:sz w:val="24"/>
              </w:rPr>
              <w:t>2. V § 69 ja ods. 3 žiadame slová „skutočnou a aktuálnou teroristickou hrozbou“ nahradiť slovami „skutočnou, aktuálnou alebo predvídateľnou teroristickou hrozbou“.</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Navrhované doplnenie dotknutého ustanovenia vytvára širší a systematickejší právny rámec pre činnosť spravodajských služieb a Policajného zboru pri plnení ich zákonom anticipovaných úloh, a to za účelom umožnenia včasnej identifikácie, monitorovania a eliminácie celého spektra teroristických hrozieb. Navrhovaná právna úprava posilňuje schopnosť spravodajských služieb a Policajného zboru efektívne plniť ich zákonom ustanovené úlohy, najmä v oblasti prevencie, ochrany bezpečnosti štátu, jeho ústavného zriadenia a minimalizácie potenciálnych teroristických hrozieb.</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bodu 43 návrhu zákona (§ 69ja ods. 3)</w:t>
              <w:br/>
            </w:r>
            <w:r>
              <w:rPr>
                <w:b w:val="off"/>
                <w:color w:val="000000"/>
                <w:rFonts w:ascii="Times New Roman" w:hAnsi="Times New Roman" w:cs="Times New Roman" w:eastAsia="Times New Roman"/>
                <w:sz w:val="24"/>
              </w:rPr>
              <w:t>3. V § 69 ja ods. 3 žiadame slová „najviac 90 dní od doručenia žiadosti a nie staršie ako 90 dní“ nahradiť slovami „najviac 6 mesiacov od doručenia žiadosti a nie staršie ako tri roky“.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Slovenskej informačnej službe nie je zrejmé, čo viedlo predkladateľa k ustanoveniu lehoty spracovávania záznamov o cestujúcich, zvlášť, ak ide o ochranu bezpečnostných záujmov štátu. Predkladateľom navrhovaná lehota 90 dní neprimerane limituje možnosť spracovávania záznamov o cestujúcich, a to ako z časového hľadiska, tak aj z hľadiska predkladateľom definovanej existencie skutočnej a aktuálnej teroristickej hrozby. Navrhované znenie rozširuje možnosť spracovávania predmetných záznamov počas celej doby uchovávania záznamov (v súlade s bodom 50 návrhu zákona). Osobitná povaha terorizmu je zohľadnená aj v rozhodnutí Súdneho dvora Európskej únie – Vec C-817/19, ktorý v bode 170 uvádza, cit.: „teroristické aktivity patria medzi aktivity, ktoré môžu vážne destabilizovať základné politické, ústavné, hospodárske alebo sociálne štruktúry krajiny a najmä priamo ohroziť spoločnosť, obyvateľstvo alebo samotný štát, a že prvoradým záujmom každého členského štátu je predchádzať týmto aktivitám a potláčať ich, a tak chrániť základné funkcie štátu a základné záujmy spoločnosti s cieľom ochrany národnej bezpečnosti. Takéto hrozby sa svojou povahou, osobitnou závažnosťou a špecifickou povahou okolností, ktoré ju tvoria, odlišujú od všeobecného a trvalého rizika, ktorým je riziko závažných trestných činov.“.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Potreba rozšírenia doby spracovávania záznamov o cestujúcich a klientoch, pri ktorom sú identifikované objektívne skutočnosti, ktoré by mohli predstavovať bezpečnostné riziko v oblasti teroristických trestných činov je nevyhnutná z dôvodu zvyšovania efektivity výkonu spravodajskej činnosti, a to v podobe zvýšenia pravdepodobnosti odhalenia prepojení objektov spravodajského záujmu alebo schém cestovania iných dôvodne podozrivých subjektov, vrátane ich konečných destinácií a ďalších relevantných skutočností.</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 upravený § 69ja.</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bodu 43 návrhu zákona (§ 69jb)</w:t>
              <w:br/>
            </w:r>
            <w:r>
              <w:rPr>
                <w:b w:val="off"/>
                <w:color w:val="000000"/>
                <w:rFonts w:ascii="Times New Roman" w:hAnsi="Times New Roman" w:cs="Times New Roman" w:eastAsia="Times New Roman"/>
                <w:sz w:val="24"/>
              </w:rPr>
              <w:t xml:space="preserve">4. § 69 jb sa dopĺňa odsekom 3, ktorý znie: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„Povinnosť podľa odseku 1 sa nevzťahuje na Slovenskú informačnú službu, ak by tým mohlo dôjsť k ohrozeniu plnenia konkrétnej úlohy Slovenskej informačnej služby alebo k odhaleniu jej zdrojov, prostriedkov, totožnosti jej príslušníkov alebo osôb, ktoré konajú v jej prospech alebo k ohrozeniu medzinárodnej spravodajskej spolupráce.“.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k bodom 4 a 5:</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Rešpektujúc základné princípy výkonu štátneho spravodajstva sa navrhuje ustanoviť exempciu pri poskytovaní informácií a údajov z evidencií a informačných systémov Slovenskej informačnej služby, ak by poskytnutím týchto informácií mohlo dôjsť k ohrozeniu plnenia konkrétnej úlohy spravodajskej služby alebo k odhaleniu jej zdrojov, prostriedkov, totožnosti jej príslušníkov alebo osôb, ktoré konajú v jej prospech alebo k ohrozeniu medzinárodnej spravodajskej spolupráce. Ustanovením navrhovanej povinnosti pre spravodajskú komunitu bez možnosti akejkoľvek výnimky by tak došlo k nerešpektovaniu špecifík spravodajskej činnosti v podobe nemožnosti uplatnenia výhrady spravodajského záujmu pri poskytovaní informácií do externého prostredia po predchádzajúcej bezpečnostnej úvahe spravodajskej služby.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Uvedené je odôvodnené aj tým, že v navrhovanom ustanovení § 69 jb nie je definovaný rozsah údajov potrebných na spracovanie analýzy rizík. Ustanovenie navrhovanej povinnosti pre Slovenskú informačnú službu ako príslušný orgán bez súčasného vymedzenia exempcie danej povahou výkonu spravodajskej činnosti by tak bolo možné vykladať ako poskytovanie akýchkoľvek bližšie neuvedených informácií z proveniencie spravodajskej služby.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bodu 43 návrhu zákona (§ 69jc)</w:t>
              <w:br/>
            </w:r>
            <w:r>
              <w:rPr>
                <w:b w:val="off"/>
                <w:color w:val="000000"/>
                <w:rFonts w:ascii="Times New Roman" w:hAnsi="Times New Roman" w:cs="Times New Roman" w:eastAsia="Times New Roman"/>
                <w:sz w:val="24"/>
              </w:rPr>
              <w:t>5. Navrhované znenie § 69jc žiadame označiť ako odsek 1 a zároveň žiadame doplniť odsek 2, ktorý znie: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„Povinnosť podľa odseku 1 sa nevzťahuje na Slovenskú informačnú službu, ak by tým mohlo dôjsť k ohrozeniu plnenia konkrétnej úlohy Slovenskej informačnej služby alebo k odhaleniu jej zdrojov, prostriedkov, totožnosti jej príslušníkov alebo osôb, ktoré konajú v jej prospech alebo k ohrozeniu medzinárodnej spravodajskej spolupráce.“.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k bodom 4 a 5:</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Rešpektujúc základné princípy výkonu štátneho spravodajstva sa navrhuje ustanoviť exempciu pri poskytovaní informácií a údajov z evidencií a informačných systémov Slovenskej informačnej služby, ak by poskytnutím týchto informácií mohlo dôjsť k ohrozeniu plnenia konkrétnej úlohy spravodajskej služby alebo k odhaleniu jej zdrojov, prostriedkov, totožnosti jej príslušníkov alebo osôb, ktoré konajú v jej prospech alebo k ohrozeniu medzinárodnej spravodajskej spolupráce. Ustanovením navrhovanej povinnosti pre spravodajskú komunitu bez možnosti akejkoľvek výnimky by tak došlo k nerešpektovaniu špecifík spravodajskej činnosti v podobe nemožnosti uplatnenia výhrady spravodajského záujmu pri poskytovaní informácií do externého prostredia po predchádzajúcej bezpečnostnej úvahe spravodajskej služby.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	Uvedené je odôvodnené aj tým, že v navrhovanom ustanovení § 69 jb nie je definovaný rozsah údajov potrebných na spracovanie analýzy rizík. Ustanovenie navrhovanej povinnosti pre Slovenskú informačnú službu ako príslušný orgán bez súčasného vymedzenia exempcie danej povahou výkonu spravodajskej činnosti by tak bolo možné vykladať ako poskytovanie akýchkoľvek bližšie neuvedených informácií z proveniencie spravodajskej služby.</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bodu 52 návrhu zákona (§ 69m ods. 8 a 9)</w:t>
              <w:br/>
            </w:r>
            <w:r>
              <w:rPr>
                <w:b w:val="off"/>
                <w:color w:val="000000"/>
                <w:rFonts w:ascii="Times New Roman" w:hAnsi="Times New Roman" w:cs="Times New Roman" w:eastAsia="Times New Roman"/>
                <w:sz w:val="24"/>
              </w:rPr>
              <w:t>6. V navrhovanom znení § 69m ods. 8 a 9 navrhujeme nahradiť Úrad inšpekčnej služby iným relevantným, nestranným a nezávislým orgánom, ktorý bude vedieť objektívne posúdiť predkladanú žiadosť príslušného orgánu z hľadiska jej opodstatnenosti, individuálnosti, subsidiarity a proporcionality.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Predkladateľ návrhu zákona sa v dôvodovej správe odvoláva na rozhodnutie Súdneho dvora Európskej únie vo veci C-817/19, pričom v odkazovaných častiach predmetného rozhodnutia sú vymedzené požiadavky, ktoré by mal spĺňať orgán zodpovedný za predchádzajúce preskúmanie v súlade s čl. 12 ods. 3 smernice (EÚ) 2016/681. In concreto Súdny dvor Európskej únie v bode 226 dotknutého rozhodnutia uviedol, cit.: „Na tento účel musí mať takýto orgán postavenie, ktoré mu umožní konať pri výkone svojich úloh objektívne a nestranne, a preto musí byť chránený pred akýmkoľvek vonkajším vplyvom. Táto požiadavka nezávislosti vyžaduje, aby mal tento orgán postavenie tretej osoby vo vzťahu k orgánu, ktorý žiada o prístup k údajom tak, aby bol tento prvý orgán schopný vykonávať svoje preskúmanie bez akéhokoľvek vonkajšieho vplyvu. Konkrétne v trestnoprávnej oblasti požiadavka nezávislosti znamená, že uvedený orgán jednak nie je zapojený do vedenia dotknutého trestného vyšetrovania a jednak je vo vzťahu k účastníkom trestného konania neutrálny.“.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Právne postavenie Úradu inšpekčnej služby je determinované ust. § 4 a § 4a zákona Národnej rady Slovenskej republiky č. 171/1993 Z. z. o Policajnom zbore v znení neskorších predpisov. Podľa predmetnej právnej úpravy útvarmi Policajného zboru sú Prezídium Policajného zboru, útvary s pôsobnosťou pre celé územie Slovenskej republiky a útvary s miestnou pôsobnosťou (§ 4 ods. 3 cit. zákona). Úrad inšpekčnej služby je osobitnou súčasťou Policajného zboru s pôsobnosťou pre celé územie Slovenskej republiky (§ 4a ods. 1 cit. zákona). Národná ústredňa informácií o pasažieroch úradu medzinárodnej policajnej spolupráce Prezídia Policajného zboru je príslušným vnútroštátnym útvarom informácií o cestujúcich (ďalej len „PIU“) podľa čl. 4 smernice (EÚ) 2016/681. Ako ďalej vyplýva z citovanej právnej úpravy, úrad medzinárodnej policajnej spolupráce Prezídia Policajného zboru je organizačnou zložkou Prezídia Policajného zboru, ktoré je útvarom Policajného zboru (§ 4 ods. 3 v spojení s § 4 ods. 5 cit. zákona).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Prima facie je tak zrejmé, že navrhovaná právna úprava je nesystémová a vytvára situácie, kedy žiadosť týkajúca sa záznamov o cestujúcich, ktoré poskytuje PIU ako organizačná zložka Policajného zboru, by mala schvaľovaná inou organizačnou súčasťou Policajného zboru. Vzhľadom na vyššie vysvetlené právne postavenie Úradu inšpekčnej služby de lege lata ako osobitnej súčasti Policajného zboru, má Slovenská informačná služba za to, že vyššie uvedené požiadavky vyplývajúce z dotknutého rozhodnutia Súdneho dvora Európskej únie nie sú v návrhu zákona zohľadnené a nesúhlasí s predkladanou zmenou právnej úpravy. Slovenská informačná služba navrhuje, aby predmetný dozor vykonával inštitucionálne nezávislý orgán dohľadu oddelený od Policajného zboru. V súlade s požiadavkou uvedenou v čl. 12 ods. 3 písm. b) smernice (EÚ) 2016/681 v spojení s cit. rozsudkom Súdneho dvora Európskej únie.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 upravený § 69m ods. 8. 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SIS</w:t>
              <w:br/>
            </w:r>
            <w:r>
              <w:rPr>
                <w:b w:val="off"/>
                <w:color w:val="000000"/>
                <w:rFonts w:ascii="Times New Roman" w:hAnsi="Times New Roman" w:cs="Times New Roman" w:eastAsia="Times New Roman"/>
                <w:sz w:val="24"/>
              </w:rPr>
              <w:t>Slovenská informačná služba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K bodom 54 a 55 návrhu zákona (§ 69n ods. 1 a 2)</w:t>
              <w:br/>
            </w:r>
            <w:r>
              <w:rPr>
                <w:b w:val="off"/>
                <w:color w:val="000000"/>
                <w:rFonts w:ascii="Times New Roman" w:hAnsi="Times New Roman" w:cs="Times New Roman" w:eastAsia="Times New Roman"/>
                <w:sz w:val="24"/>
              </w:rPr>
              <w:t>7. V § 69n žiadame upraviť znenie odseku 1 takto:</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„(1) Z informačného systému záznamov o cestujúcich sa poskytujú útvaru Policajného zboru na hraničnom priechode a Slovenskej informačnej službe záznam o cestujúcom v rozsahu podľa prílohy č. 4 písm. a) až g), ktorý bol prepravený na územie Slovenskej republiky alebo z územia Slovenskej republiky cez vonkajšiu hranicu27ej) na účely podľa § 69h ods. 1 písm. d); údaje poskytuje národná ústredňa zo záznamu o cestujúcom získané podľa § 69i ods.1 písm. a) a ods. 2 písm. b). Slovenskej informačnej službe sú záznamy o cestujúcich poskytované prostredníctvom diaľkového, nepretržitého a priameho prístupu do informačného systému záznamov o cestujúcich.“.</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Zároveň žiadame vypustiť z návrhu zákona bod 55, resp. upraviť jeho znenie spôsobom, ktorý nebude opomínať Slovenskú informačnú službu ako subjekt oprávnený na získavanie a spracovávanie údajov z informačného systému záznamov o cestujúcich podľa § 69n ods. 1 zákona.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Pripomienka je ZÁSADNÁ.</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Slovenská informačná služba ako štátny orgán Slovenskej republiky plní úlohy ustanovené zákonom Národnej rady Slovenskej republiky č. 46/1993 Z. z. o Slovenskej informačnej službe v znení neskorších predpisov. V rozsahu svojej pôsobnosti plní Slovenská informačná služba ako všeobecná bezpečnostná a spravodajská služba Slovenskej republiky ďalšie úlohy podľa osobitných zákonov. Vo svojej činnosti sa Slovenská informačná služba spravuje ústavou, ústavnými zákonmi, zákonmi a ostatnými všeobecne záväznými právnymi predpismi. S tvrdeniami predkladateľa uvedenými v dôvodovej správe k návrhu zákona, že slovenskej spravodajskej komunite nebude obmedzený prístup k záznamom o cestujúcich si dovoľujeme nesúhlasiť.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Na základe notifikácie Slovenskej republiky (Ú. v. EÚ C 194, 06. 06. 2018) je Slovenská informačná služba spolu s Vojenským spravodajstvom príslušným orgánom podľa čl. 7 smernice Európskeho parlamentu a Rady (EÚ) 2016/681 z 27. apríla 2016 o využívaní údajov zo záznamov o cestujúcich (PNR) na účely prevencie, odhaľovania, vyšetrovania a stíhania teroristických trestných činov a závažnej trestnej činnosti (ďalej len „PNR smernica“). Uvedené tak priamo predpokladá prístup slovenskej spravodajskej komunity k záznamom o cestujúcich (PNR).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Nariadenie Európskeho parlamentu a Rady (EÚ) 2025/12 z 19. decembra 2024 o zhromažďovaní a prenose vopred poskytovaných informácií o cestujúcich na účely posilnenia a uľahčenia kontrol na vonkajších hraniciach, ktorým sa menia nariadenia (EÚ) 2018/1726 a (EÚ) 2019/817 a zrušuje smernica Rady 2004/82/ES  (ďalej len „Nariadenie č. 2025/12“), v čl. 40 zrušuje smernicu Rady 2004/82/ES, ktorou predkladateľ odôvodňuje navrhované znemožnenie prístupu spravodajských služieb k záznamom o cestujúcich. Legislatívny akt Európskej únie v podobe nariadenia je priamo aplikovateľný bez potreby jeho transpozície do vnútroštátneho práva. Výhrady predkladateľa k právnemu postaveniu Slovenskej informačnej služby vo vzťahu k definícii pojmu „príslušný pohraničný orgán“ sú vzhľadom na aktuálnu absenciu notifikácie podľa čl. 14 ods. 2 Nariadenia č. 2025/12 neopodstatnené a prípadné ďalšie otázky ohľadom kompetencií spravodajských služieb a útvarov Policajného zboru by mali byť riešené prostredníctvom vzájomných rokovaní. Zdôrazňujeme však, že údaje API sú svojím rozsahom menej obsiahle ako údaje PNR. Ak Slovenská informačná služba, resp. Vojenské spravodajstvo sú na základe vyššie uvedenej notifikácie príslušnými vnútroštátnymi orgánmi na prístup k údajom PNR, potom argumentum a maiori ad minus musí platiť, že by mali byť oprávnené aj na prístup k údajom API, a to rovnako na základe notifikácie podľa čl. 14 ods. 2 Nariadenia č. 2025/12.</w:t>
              <w:br/>
            </w:r>
            <w:r>
              <w:rPr>
                <w:b w:val="off"/>
                <w:color w:val="000000"/>
                <w:rFonts w:ascii="Times New Roman" w:hAnsi="Times New Roman" w:cs="Times New Roman" w:eastAsia="Times New Roman"/>
                <w:sz w:val="24"/>
              </w:rPr>
              <w:t xml:space="preserve">  </w:t>
              <w:br/>
            </w:r>
            <w:r>
              <w:rPr>
                <w:b w:val="off"/>
                <w:color w:val="000000"/>
                <w:rFonts w:ascii="Times New Roman" w:hAnsi="Times New Roman" w:cs="Times New Roman" w:eastAsia="Times New Roman"/>
                <w:sz w:val="24"/>
              </w:rPr>
              <w:t>Sprístupnenie a poskytnutie žiadaných informácií Slovenskej informačnej službe je nevyhnutné pre efektívne plnenie zákonom ustanovených úloh Slovenskou informačnou službou a aj k plneniu medzinárodnoprávnych záväzkov Slovenskej republiky vyplývajúcich z medzivládnych dohôd o spolupráci na úseku boja proti terorizmu a organizovanej trestnej činnosti a pri zabezpečovaní národnej bezpečnosti in generalis, ktorá presahuje pôsobnosť jednotlivých útvarov Policajného zboru. V tejto súvislosti upozorňujeme aj na znenie rezolúcie Bezpečnostnej rady OSN č. 2396 (2017), ktorá v bode 7 uvádza, cit.: „Vyzýva členské štáty, aby prijali primerané opatrenia v súlade s vnútroštátnym právom a platným medzinárodným právom, vrátane právnych predpisov v oblasti ľudských práv, s cieľom zabezpečiť, aby ich vnútroštátne orgány presadzovania práva, spravodajské služby, protiteroristické a vojenské zložky mali pravidelne prístup k relevantným informáciám, podľa potreby, o podozrivých teroristoch, vrátane zahraničných teroristických bojovníkov.“.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S poukázaním na vyššie uvedené považujeme za potrebné uviesť, že v súlade s ust. § 15 ods. 1 zákona NR SR č. 46/1993 Z. z. je Slovenská informačná služba oprávnená v rozsahu svojej pôsobnosti požadovať od štátnych a iných orgánov, právnických a fyzických osôb poskytnutie pomoci, podkladov a informácií, ktoré môžu prispieť k objasneniu skutočností dôležitých na plnenie úloh ustanovených cit. zákonom NR SR č. 46/1993 Z. z. Zároveň upozorňujeme, že § 15 ods. 2 priznáva Slovenskej informačnej službe nielen oprávnenie požadovať poskytnutie pomoci, podkladov a informácií, ale vo vzťahu k informáciám a osobným údajom z informačných systémov orgánov verejnej moci, aj právo na ich sprístupnenie a poskytnutie v rozsahu potrebnom na plnenie úloh Slovenskej informačnej služby ustanovených citovaným zákonom.</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Podstata a charakter spravodajskej činnosti spočíva v jej preventívnom pôsobení, kedy spravodajské služby pri plnení svojich úloh získavajú, sústreďujú a vyhodnocujú informácie o rizikách a ohrozeniach bezpečnostných záujmov štátu, ktoré chránia. Slovenská informačná služba ako všeobecná spravodajská a bezpečnostná služba je v zmysle príslušnej normatívnej regulácie ustanovenej zákonom NR SR č. 46/1993 Z. z. v rámci výkonu bezpečnostnej prevencie oprávnená realizovať bezpečnostné opatrenia, a to striktne v súlade s princípmi legality a subsidiarity. Uvedené, s ohľadom na vymedzenie vecnej pôsobnosti Slovenskej informačnej služby, zahŕňa aj realizáciu opatrení v boji proti terorizmu a nelegálnej migrácii či pri výkone kontrarozviednej ochrany štátu. Rovnako poukazujeme na skutočnosť, že pôsobnosť Slovenskej informačnej služby pri ochrane a presadzovaní vitálnych bezpečnostných záujmov štátu je realizovaná aj prostredníctvom monitoringu vstupu osôb na územie Slovenskej republiky, ktoré prekračujú štátnu hranicu, a to aj vrátane využívania leteckej dopravy. Tieto osoby môžu predstavovať bezpečnostné riziko pre vnútorný poriadok a národnú bezpečnosť Slovenskej republiky, a preto je nutné, aby Slovenská informačná služba disponovala efektívnou a včasnou formou prístupu k záznamom o cestujúcich a aby mohla konať preventívne. Osobitne v súvislosti s pretrvávajúcou zhoršenou bezpečnostnou situáciou zapríčinenou vojenským konfliktom na Ukrajine, resp. berúc do úvahy bezpečnostné riziká vyplývajúce v dôsledku jeho ukončenia sú vyššie uvedené informácie kľúčové.</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Ak predkladateľ zákona v dôvodovej správe tvrdí, že záznamy o cestujúcich podľa čl. 6 ods. 1 smernice Rady 2004/82/ES môžu využívať bezpečnostné zložky s výnimkou spravodajských služieb iba na účely presadzovania práva ide o mylnú interpretáciu smernice. </w:t>
              <w:br/>
            </w:r>
            <w:r>
              <w:rPr>
                <w:b w:val="off"/>
                <w:color w:val="000000"/>
                <w:rFonts w:ascii="Times New Roman" w:hAnsi="Times New Roman" w:cs="Times New Roman" w:eastAsia="Times New Roman"/>
                <w:sz w:val="24"/>
              </w:rPr>
              <w:t>Súčasťou inštitucionálneho systému bezpečnostných orgánov Slovenskej republiky sú jednoznačne aj spravodajské služby.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Pre komplexnosť poznamenávame, že predkladateľ v bode 54 odkazuje na ust. § 69i ods. 2 písm. b), avšak takéto ustanovenie sa nenachádza v predloženom znení návrhu zákona, ale rovnako ani v jeho platnom a účinnom znení.</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 vložený nový § 69na. 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Slovenská advokátska komora</w:t>
              <w:br/>
            </w:r>
            <w:r>
              <w:rPr>
                <w:b w:val="off"/>
                <w:color w:val="000000"/>
                <w:rFonts w:ascii="Times New Roman" w:hAnsi="Times New Roman" w:cs="Times New Roman" w:eastAsia="Times New Roman"/>
                <w:sz w:val="24"/>
              </w:rPr>
              <w:t>Slovenská advokátska komora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1 (§17c)</w:t>
              <w:br/>
            </w:r>
            <w:r>
              <w:rPr>
                <w:b w:val="off"/>
                <w:color w:val="000000"/>
                <w:rFonts w:ascii="Times New Roman" w:hAnsi="Times New Roman" w:cs="Times New Roman" w:eastAsia="Times New Roman"/>
                <w:sz w:val="24"/>
              </w:rPr>
              <w:t xml:space="preserve">Navrhujeme vypustiť.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Keďže v návrhu ide o obmedzenie osobnej slobody mladistvej osoby alebo osoby obmedzenej na spôsobilosti po jej vypátraní, ak ju nemožno odovzdať oprávnenej osobe, takýto zásah považujeme za rozporný s Európskym dohovorom o ochrane ľudských práv a základných slobôd, čl. 5 ods. 1 písm. a) až f) a preto navrhujeme zapracovať iné riešenie takejto situácie.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rozporových konaní bolo ustanovenie § 17c upravené.</w:t>
              <w:br/>
            </w:r>
            <w:r>
              <w:rPr>
                <w:b w:val="off"/>
                <w:color w:val="000000"/>
                <w:rFonts w:ascii="Times New Roman" w:hAnsi="Times New Roman" w:cs="Times New Roman" w:eastAsia="Times New Roman"/>
                <w:sz w:val="24"/>
              </w:rPr>
              <w:t xml:space="preserve">Rozpor bol odstránený. </w:t>
            </w:r>
          </w:p>
        </w:tc>
      </w:tr>
      <w:tr>
        <w:trPr>
          <w:trHeight w:val="648"/>
        </w:trPr>
        <w:tc>
          <w:tcPr>
            <w:vAlign w:val="top"/>
          </w:tcPr>
          <w:p>
            <w:pPr>
              <w:spacing w:after="0"/>
              <w:jc w:val="center"/>
            </w:pPr>
            <w:r>
              <w:rPr>
                <w:b w:val="on"/>
                <w:color w:val="000000"/>
                <w:rFonts w:ascii="Times New Roman" w:hAnsi="Times New Roman" w:cs="Times New Roman" w:eastAsia="Times New Roman"/>
                <w:sz w:val="24"/>
              </w:rPr>
              <w:t>Slovenská advokátska komora</w:t>
              <w:br/>
            </w:r>
            <w:r>
              <w:rPr>
                <w:b w:val="off"/>
                <w:color w:val="000000"/>
                <w:rFonts w:ascii="Times New Roman" w:hAnsi="Times New Roman" w:cs="Times New Roman" w:eastAsia="Times New Roman"/>
                <w:sz w:val="24"/>
              </w:rPr>
              <w:t>Slovenská advokátska komora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13 a 15 (§39 ods. 1 a §40a)</w:t>
              <w:br/>
            </w:r>
            <w:r>
              <w:rPr>
                <w:b w:val="off"/>
                <w:color w:val="000000"/>
                <w:rFonts w:ascii="Times New Roman" w:hAnsi="Times New Roman" w:cs="Times New Roman" w:eastAsia="Times New Roman"/>
                <w:sz w:val="24"/>
              </w:rPr>
              <w:t xml:space="preserve">Navrhujeme ustanovenia vypustiť.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Znenie v podstate kopíruje ustanovenie §13 ods. 2 zákona o SIS, čim sa de facto môže z polície stať paralelná tajná služba prostredníctvom kriminálneho spravodajstva.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Medzi predkladateľom a pripomienkujúcim subjektom nedošlo k dohode. Rozpor trvá.</w:t>
            </w:r>
          </w:p>
        </w:tc>
      </w:tr>
      <w:tr>
        <w:trPr>
          <w:trHeight w:val="648"/>
        </w:trPr>
        <w:tc>
          <w:tcPr>
            <w:vAlign w:val="top"/>
          </w:tcPr>
          <w:p>
            <w:pPr>
              <w:spacing w:after="0"/>
              <w:jc w:val="center"/>
            </w:pPr>
            <w:r>
              <w:rPr>
                <w:b w:val="on"/>
                <w:color w:val="000000"/>
                <w:rFonts w:ascii="Times New Roman" w:hAnsi="Times New Roman" w:cs="Times New Roman" w:eastAsia="Times New Roman"/>
                <w:sz w:val="24"/>
              </w:rPr>
              <w:t>Slovenská advokátska komora</w:t>
              <w:br/>
            </w:r>
            <w:r>
              <w:rPr>
                <w:b w:val="off"/>
                <w:color w:val="000000"/>
                <w:rFonts w:ascii="Times New Roman" w:hAnsi="Times New Roman" w:cs="Times New Roman" w:eastAsia="Times New Roman"/>
                <w:sz w:val="24"/>
              </w:rPr>
              <w:t>Slovenská advokátska komora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7 (§29a ods. 1 písm. b)</w:t>
              <w:br/>
            </w:r>
            <w:r>
              <w:rPr>
                <w:b w:val="off"/>
                <w:color w:val="000000"/>
                <w:rFonts w:ascii="Times New Roman" w:hAnsi="Times New Roman" w:cs="Times New Roman" w:eastAsia="Times New Roman"/>
                <w:sz w:val="24"/>
              </w:rPr>
              <w:t>Navrhujeme vypustiť slová „alebo na inú hospodársku činnosť“.</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Návrhom sa výrazne znižuje ochrana nedotknuteľnosti obydlia, keďže pojem „iná hospodárska činnosť“ je neurčitý.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Dôvodová správa vo vzťahu k "inej hospodárskej činnosti" bola doplnená a dôvody boli vysvetlené.</w:t>
            </w:r>
          </w:p>
        </w:tc>
      </w:tr>
      <w:tr>
        <w:trPr>
          <w:trHeight w:val="648"/>
        </w:trPr>
        <w:tc>
          <w:tcPr>
            <w:vAlign w:val="top"/>
          </w:tcPr>
          <w:p>
            <w:pPr>
              <w:spacing w:after="0"/>
              <w:jc w:val="center"/>
            </w:pPr>
            <w:r>
              <w:rPr>
                <w:b w:val="on"/>
                <w:color w:val="000000"/>
                <w:rFonts w:ascii="Times New Roman" w:hAnsi="Times New Roman" w:cs="Times New Roman" w:eastAsia="Times New Roman"/>
                <w:sz w:val="24"/>
              </w:rPr>
              <w:t>Slovenská advokátska komora</w:t>
              <w:br/>
            </w:r>
            <w:r>
              <w:rPr>
                <w:b w:val="off"/>
                <w:color w:val="000000"/>
                <w:rFonts w:ascii="Times New Roman" w:hAnsi="Times New Roman" w:cs="Times New Roman" w:eastAsia="Times New Roman"/>
                <w:sz w:val="24"/>
              </w:rPr>
              <w:t>Slovenská advokátska komora</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čl. I bod 61 (§76 ods. 6 a 7) a čl. II</w:t>
              <w:br/>
            </w:r>
            <w:r>
              <w:rPr>
                <w:b w:val="off"/>
                <w:color w:val="000000"/>
                <w:rFonts w:ascii="Times New Roman" w:hAnsi="Times New Roman" w:cs="Times New Roman" w:eastAsia="Times New Roman"/>
                <w:sz w:val="24"/>
              </w:rPr>
              <w:t>Navrhujeme vypustiť.</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Ide o analogické oprávnenie, ktoré je obsiahnuté v Trestnom poriadku, ale v navrhovanom znení sa znižuje ochrana práv a slobôd, najmä súkromia a ochrany osobných údajov, navyše bez akejkoľvek možnosti kontroly súdom alebo prokurátorom. Existuje vysoká možnosť zneužitia týchto inštitútov.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Navrhujeme vypustiť aj celý článok II, ktorým sa oprávnenie upravené v čl. I bod 61 vkladá do zákona o bankách.</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Táto pripomienka je zásadná.</w:t>
            </w:r>
          </w:p>
        </w:tc>
        <w:tc>
          <w:tcPr>
            <w:vAlign w:val="center"/>
          </w:tcPr>
          <w:p>
            <w:pPr>
              <w:spacing w:after="0"/>
              <w:jc w:val="center"/>
            </w:pPr>
            <w:r>
              <w:rPr>
                <w:b w:val="off"/>
                <w:color w:val="000000"/>
                <w:rFonts w:ascii="Times New Roman" w:hAnsi="Times New Roman" w:cs="Times New Roman" w:eastAsia="Times New Roman"/>
                <w:sz w:val="24"/>
              </w:rPr>
              <w:t>ČA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bude navrhovaný § 76 ods. 6 zákona. č. 171/1993 Z. z. nahradený zmenou v zákone č. 452/2021 Z. z. o elektronických komunikáciách nasledovne:</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2.	V § 117 ods. 7 sa na konci pripája táto veta: „Ak ide o vec týkajúcu sa obrany štátu a bezpečnosti štátu alebo trestných činov vymedzených osobitným predpisom,131)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3.	V § 117 odsek 8 znie:</w:t>
              <w:br/>
            </w:r>
            <w:r>
              <w:rPr>
                <w:b w:val="off"/>
                <w:color w:val="000000"/>
                <w:rFonts w:ascii="Times New Roman" w:hAnsi="Times New Roman" w:cs="Times New Roman" w:eastAsia="Times New Roman"/>
                <w:sz w:val="24"/>
              </w:rPr>
              <w:t>„(8) Ak ide o vec týkajúcu sa obrany štátu a bezpečnosti štátu alebo trestných činov vymedzených osobitným predpisom,131) ktorá neznesie odklad a súhlas súdu podľa odseku 7 nemožno získať vopred, údaje podľa odseku 6 sa poskytnú bez súhlasu súdu buď na základe žiadosti iného orgánu štátu podľa § 109 ods. 9 doručenej podniku v písomnej forme alebo dohodnutým spôsobom v šifrovanej forme alebo spôsobom uvedeným v odseku 7 poslednej vety. Iný orgán štátu podľa § 109 ods. 9 je povinný doručenie žiadosti podniku podľa predchádzajúcej vety alebo začatie zisťovania prevádzkových a lokalizačných údajov spôsobom podľa odseku 7 poslednej vety oznámiť zákonnému sudcovi do jednej hodiny od doručenia žiadosti alebo začatia zisťovania prevádzkových a lokalizačných údajov a bezodkladne predložiť zákonnému sudcovi žiadosť o dodatočný písomný súhlas (ďalej len „dodatočný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r>
          </w:p>
        </w:tc>
      </w:tr>
      <w:tr>
        <w:trPr>
          <w:trHeight w:val="648"/>
        </w:trPr>
        <w:tc>
          <w:tcPr>
            <w:vAlign w:val="top"/>
          </w:tcPr>
          <w:p>
            <w:pPr>
              <w:spacing w:after="0"/>
              <w:jc w:val="center"/>
            </w:pPr>
            <w:r>
              <w:rPr>
                <w:b w:val="on"/>
                <w:color w:val="000000"/>
                <w:rFonts w:ascii="Times New Roman" w:hAnsi="Times New Roman" w:cs="Times New Roman" w:eastAsia="Times New Roman"/>
                <w:sz w:val="24"/>
              </w:rPr>
              <w:t>UOOU SR</w:t>
              <w:br/>
            </w:r>
            <w:r>
              <w:rPr>
                <w:b w:val="off"/>
                <w:color w:val="000000"/>
                <w:rFonts w:ascii="Times New Roman" w:hAnsi="Times New Roman" w:cs="Times New Roman" w:eastAsia="Times New Roman"/>
                <w:sz w:val="24"/>
              </w:rPr>
              <w:t>Úrad na ochranu osobných údajov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Všeobecná pripomienka</w:t>
              <w:br/>
            </w:r>
            <w:r>
              <w:rPr>
                <w:b w:val="off"/>
                <w:color w:val="000000"/>
                <w:rFonts w:ascii="Times New Roman" w:hAnsi="Times New Roman" w:cs="Times New Roman" w:eastAsia="Times New Roman"/>
                <w:sz w:val="24"/>
              </w:rPr>
              <w:t xml:space="preserve">Navrhovaným materiálom žiadame upraviť plánovanú technologickú modernizáciu Policajného zboru, realizovanú prostredníctvom nasadzovania kamerových systémov, telových kamier, dronov a pokročilých video-analytických nástrojov.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Máme za to, že pred nasadením vyššie uvedených technologických nástrojov a začatím spracúvania osobných údajov (vrátane biometrických údajov) je nevyhnutné reflektovať uvedené v relevantnej právne úprave. Ak má dochádzať k spracúvaniu osobných údajov vrátane biometrických údajov na účel jedinečnej identifikácie fyzickej osoby, musí byť takýto postup v súlade s právnou úpravou ochrany osobných údajov. Podmienky takéhoto spracúvania musia byť v zákone č. 171/1993 Z. z. jasne definované, vrátane taxatívneho vymedzenia účelov a všetkých náležitostí spracúvania osobných údajov.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Do návrhu zákona boli vložené nové novelizačné body (§ 2 ods. 5 a § 69 ods. 3).</w:t>
            </w:r>
          </w:p>
        </w:tc>
      </w:tr>
      <w:tr>
        <w:trPr>
          <w:trHeight w:val="648"/>
        </w:trPr>
        <w:tc>
          <w:tcPr>
            <w:vAlign w:val="top"/>
          </w:tcPr>
          <w:p>
            <w:pPr>
              <w:spacing w:after="0"/>
              <w:jc w:val="center"/>
            </w:pPr>
            <w:r>
              <w:rPr>
                <w:b w:val="on"/>
                <w:color w:val="000000"/>
                <w:rFonts w:ascii="Times New Roman" w:hAnsi="Times New Roman" w:cs="Times New Roman" w:eastAsia="Times New Roman"/>
                <w:sz w:val="24"/>
              </w:rPr>
              <w:t>UOOU SR</w:t>
              <w:br/>
            </w:r>
            <w:r>
              <w:rPr>
                <w:b w:val="off"/>
                <w:color w:val="000000"/>
                <w:rFonts w:ascii="Times New Roman" w:hAnsi="Times New Roman" w:cs="Times New Roman" w:eastAsia="Times New Roman"/>
                <w:sz w:val="24"/>
              </w:rPr>
              <w:t>Úrad na ochranu osobných údajov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3 k § 20a ods. 2</w:t>
              <w:br/>
            </w:r>
            <w:r>
              <w:rPr>
                <w:b w:val="off"/>
                <w:color w:val="000000"/>
                <w:rFonts w:ascii="Times New Roman" w:hAnsi="Times New Roman" w:cs="Times New Roman" w:eastAsia="Times New Roman"/>
                <w:sz w:val="24"/>
              </w:rPr>
              <w:t xml:space="preserve">Navrhujeme, aby boli v ustanovení presne špecifikované podmienky, účel a rozsah spracúvania biometrických údajov o inej osobe.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Hoci predkladateľ v dôvodovej správe uvádza, že cieľom odseku 2 je identifikácia osôb v pátraní, samotný text zákona túto podmienku neobsahuje. Máme za to, že vágna formulácia „aj inej osobe“ vytvára bez presnej špecifikácie podmienok, účelu a rozsahu spracúvania priestor pre extenzívny výklad pre plošné biometrické spracúvanie údajov akejkoľvek osoby na verejnosti (napr. cez systémy na rozpoznávanie tváre v reálnom čase). Takéto plošné spracúvanie biometrických údajov „iných osôb“ bez konkrétneho podozrenia by mohlo predstavovať neprimeraný zásah do práva na súkromie a ochranu osobných údajov.</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bola upravená dôvodová správa k § 20a.</w:t>
            </w:r>
          </w:p>
        </w:tc>
      </w:tr>
      <w:tr>
        <w:trPr>
          <w:trHeight w:val="648"/>
        </w:trPr>
        <w:tc>
          <w:tcPr>
            <w:vAlign w:val="top"/>
          </w:tcPr>
          <w:p>
            <w:pPr>
              <w:spacing w:after="0"/>
              <w:jc w:val="center"/>
            </w:pPr>
            <w:r>
              <w:rPr>
                <w:b w:val="on"/>
                <w:color w:val="000000"/>
                <w:rFonts w:ascii="Times New Roman" w:hAnsi="Times New Roman" w:cs="Times New Roman" w:eastAsia="Times New Roman"/>
                <w:sz w:val="24"/>
              </w:rPr>
              <w:t>UOOU SR</w:t>
              <w:br/>
            </w:r>
            <w:r>
              <w:rPr>
                <w:b w:val="off"/>
                <w:color w:val="000000"/>
                <w:rFonts w:ascii="Times New Roman" w:hAnsi="Times New Roman" w:cs="Times New Roman" w:eastAsia="Times New Roman"/>
                <w:sz w:val="24"/>
              </w:rPr>
              <w:t>Úrad na ochranu osobných údajov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3 k § 20a ods. 3</w:t>
              <w:br/>
            </w:r>
            <w:r>
              <w:rPr>
                <w:b w:val="off"/>
                <w:color w:val="000000"/>
                <w:rFonts w:ascii="Times New Roman" w:hAnsi="Times New Roman" w:cs="Times New Roman" w:eastAsia="Times New Roman"/>
                <w:sz w:val="24"/>
              </w:rPr>
              <w:t>Navrhujeme za slovami „sa neuchovávajú a“ doplniť slovo „ďalej“.</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Momentom nasnímania biometrie (napr. tváre) dochádza k automatizovanému spracúvaniu, ktoré trvá minimálne do okamihu porovnania s databázou. Slovo 'ďalej' jasne odlišuje fázu okamžitého porovnania (ktorá je spracúvaním) od fázy následnej archivácie/uchovávania v systéme, čím sa predchádza stavu, kedy by zákon popieral samotný fakt, že k spracúvaniu v reálnom čase dochádza.</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UOOU SR</w:t>
              <w:br/>
            </w:r>
            <w:r>
              <w:rPr>
                <w:b w:val="off"/>
                <w:color w:val="000000"/>
                <w:rFonts w:ascii="Times New Roman" w:hAnsi="Times New Roman" w:cs="Times New Roman" w:eastAsia="Times New Roman"/>
                <w:sz w:val="24"/>
              </w:rPr>
              <w:t>Úrad na ochranu osobných údajov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3 k § 20a ods. 7</w:t>
              <w:br/>
            </w:r>
            <w:r>
              <w:rPr>
                <w:b w:val="off"/>
                <w:color w:val="000000"/>
                <w:rFonts w:ascii="Times New Roman" w:hAnsi="Times New Roman" w:cs="Times New Roman" w:eastAsia="Times New Roman"/>
                <w:sz w:val="24"/>
              </w:rPr>
              <w:t xml:space="preserve">Navrhujeme, aby boli v ustanovení presne špecifikovaný účel, na ktorý budú biometrické údaje spracúvané.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Navrhované znenie v predloženom texte považujeme za nedostatočné a vágne z hľadiska dodržania základných zásad spracúvania osobných údajov. Ak má byť spracúvanie týchto údajov založené na písomnej žiadosti (ktorá je v tomto kontexte prejavom vôle/súhlasu dotknutej osoby), musí takýto úkon v súlade so zásadou transparentnosti a zásadou obmedzenia účelu podľa článku 5 ods. 1 písm. b) Nariadenia obsahovať jasne definovaný účel. Aktuálny návrh nešpecifikuje, na aký cieľ má policajt biometriu snímať.</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Na základe záverov rozporového konania bola upravená dôvodová správa k § 20a.</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UOOU SR</w:t>
              <w:br/>
            </w:r>
            <w:r>
              <w:rPr>
                <w:b w:val="off"/>
                <w:color w:val="000000"/>
                <w:rFonts w:ascii="Times New Roman" w:hAnsi="Times New Roman" w:cs="Times New Roman" w:eastAsia="Times New Roman"/>
                <w:sz w:val="24"/>
              </w:rPr>
              <w:t>Úrad na ochranu osobných údajov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7 k poznámkam pod čiarou k odkazom 11b až 11bb</w:t>
              <w:br/>
            </w:r>
            <w:r>
              <w:rPr>
                <w:b w:val="off"/>
                <w:color w:val="000000"/>
                <w:rFonts w:ascii="Times New Roman" w:hAnsi="Times New Roman" w:cs="Times New Roman" w:eastAsia="Times New Roman"/>
                <w:sz w:val="24"/>
              </w:rPr>
              <w:t>Navrhujeme nasledovné znenie odkazov:</w:t>
              <w:br/>
            </w:r>
            <w:r>
              <w:rPr>
                <w:b w:val="off"/>
                <w:color w:val="000000"/>
                <w:rFonts w:ascii="Times New Roman" w:hAnsi="Times New Roman" w:cs="Times New Roman" w:eastAsia="Times New Roman"/>
                <w:sz w:val="24"/>
              </w:rPr>
              <w:t>11b) Čl. 4 ods. 1 nariadenia Európskeho parlamentu a Rady (EÚ) 2016/679 z 27. apríla 2016 o ochrane fyzických osôb pri spracúvaní osobných údajov a o voľnom pohybe takýchto údajov, ktorým sa zrušuje smernica 95/46/ES (všeobecné nariadenie o ochrane údajov)</w:t>
              <w:br/>
            </w:r>
            <w:r>
              <w:rPr>
                <w:b w:val="off"/>
                <w:color w:val="000000"/>
                <w:rFonts w:ascii="Times New Roman" w:hAnsi="Times New Roman" w:cs="Times New Roman" w:eastAsia="Times New Roman"/>
                <w:sz w:val="24"/>
              </w:rPr>
              <w:t>11ba) Čl. 4 ods. 7 a 8 nariadenia Európskeho parlamentu a Rady (EÚ) 2016/679 z 27. apríla 2016 o ochrane fyzických osôb pri spracúvaní osobných údajov a o voľnom pohybe takýchto údajov, ktorým sa zrušuje smernica 95/46/ES (všeobecné nariadenie o ochrane údajov)</w:t>
              <w:br/>
            </w:r>
            <w:r>
              <w:rPr>
                <w:b w:val="off"/>
                <w:color w:val="000000"/>
                <w:rFonts w:ascii="Times New Roman" w:hAnsi="Times New Roman" w:cs="Times New Roman" w:eastAsia="Times New Roman"/>
                <w:sz w:val="24"/>
              </w:rPr>
              <w:t xml:space="preserve">11bb) Čl. 4 ods. 2 nariadenia Európskeho parlamentu a Rady (EÚ) 2016/679 z 27. apríla 2016 o ochrane fyzických osôb pri spracúvaní osobných údajov a o voľnom pohybe takýchto údajov, ktorým sa zrušuje smernica 95/46/ES (všeobecné nariadenie o ochrane údajov)  </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w:t>
              <w:br/>
            </w:r>
            <w:r>
              <w:rPr>
                <w:b w:val="off"/>
                <w:color w:val="000000"/>
                <w:rFonts w:ascii="Times New Roman" w:hAnsi="Times New Roman" w:cs="Times New Roman" w:eastAsia="Times New Roman"/>
                <w:sz w:val="24"/>
              </w:rPr>
              <w:t>Navrhujeme nahradiť odkazy na vnútroštátny zákon č. 18/2018 Z. z. priamym odkazom na Nariadenie. Aj v prípadoch, keď Policajný zbor spracúva osobné údaje v režime LED Smernice, ktorá je transponovaná v druhej časti zákona č. 18/2018 Z. z. sú definície v oboch právnych režimoch vecne identické, odkaz na priamo uplatniteľné Nariadenie považujeme za legislatívne čistejší a univerzálnejší základ pre výklad týchto pojmov v zákone o Policajnom zbore.</w:t>
            </w:r>
          </w:p>
        </w:tc>
        <w:tc>
          <w:tcPr>
            <w:vAlign w:val="center"/>
          </w:tcPr>
          <w:p>
            <w:pPr>
              <w:spacing w:after="0"/>
              <w:jc w:val="center"/>
            </w:pPr>
            <w:r>
              <w:rPr>
                <w:b w:val="off"/>
                <w:color w:val="000000"/>
                <w:rFonts w:ascii="Times New Roman" w:hAnsi="Times New Roman" w:cs="Times New Roman" w:eastAsia="Times New Roman"/>
                <w:sz w:val="24"/>
              </w:rPr>
              <w:t>A</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UOOU SR</w:t>
              <w:br/>
            </w:r>
            <w:r>
              <w:rPr>
                <w:b w:val="off"/>
                <w:color w:val="000000"/>
                <w:rFonts w:ascii="Times New Roman" w:hAnsi="Times New Roman" w:cs="Times New Roman" w:eastAsia="Times New Roman"/>
                <w:sz w:val="24"/>
              </w:rPr>
              <w:t>Úrad na ochranu osobných údajov Slovenskej republiky</w:t>
            </w:r>
          </w:p>
        </w:tc>
        <w:tc>
          <w:tcPr>
            <w:vAlign w:val="center"/>
          </w:tcPr>
          <w:p>
            <w:pPr>
              <w:spacing w:after="0"/>
              <w:jc w:val="center"/>
            </w:pPr>
            <w:r>
              <w:rPr>
                <w:b w:val="on"/>
                <w:color w:val="FF0000"/>
                <w:rFonts w:ascii="Times New Roman" w:hAnsi="Times New Roman" w:cs="Times New Roman" w:eastAsia="Times New Roman"/>
                <w:sz w:val="24"/>
              </w:rPr>
              <w:t>Z</w:t>
            </w:r>
          </w:p>
        </w:tc>
        <w:tc>
          <w:tcPr>
            <w:vAlign w:val="top"/>
          </w:tcPr>
          <w:p>
            <w:pPr>
              <w:spacing w:after="0"/>
              <w:jc w:val="start"/>
            </w:pPr>
            <w:r>
              <w:rPr>
                <w:b w:val="on"/>
                <w:color w:val="000000"/>
                <w:rFonts w:ascii="Times New Roman" w:hAnsi="Times New Roman" w:cs="Times New Roman" w:eastAsia="Times New Roman"/>
                <w:sz w:val="24"/>
              </w:rPr>
              <w:t>Čl. I. bod 50 k § 69m ods. 1</w:t>
              <w:br/>
            </w:r>
            <w:r>
              <w:rPr>
                <w:b w:val="off"/>
                <w:color w:val="000000"/>
                <w:rFonts w:ascii="Times New Roman" w:hAnsi="Times New Roman" w:cs="Times New Roman" w:eastAsia="Times New Roman"/>
                <w:sz w:val="24"/>
              </w:rPr>
              <w:t>Navrhujeme dobu uchovávania záznamov o cestujúcich a informácie a osobné údaje o posádke bez toho aby existovala nejaká zmienka o ich zapojení do teroristických činov alebo závažnej trestnej činnosti znížiť z 3 (troch) rokov na 6 (šesť) mesiacov.</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 xml:space="preserve">Odôvodnenie: </w:t>
              <w:br/>
            </w:r>
            <w:r>
              <w:rPr>
                <w:b w:val="off"/>
                <w:color w:val="000000"/>
                <w:rFonts w:ascii="Times New Roman" w:hAnsi="Times New Roman" w:cs="Times New Roman" w:eastAsia="Times New Roman"/>
                <w:sz w:val="24"/>
              </w:rPr>
              <w:t>Doba uchovávania údajov z PNR by zmysle bodov 254 – 262 rozsudku Súdneho Dvora EÚ vo veci C-817/19 mala byť stanovená tak, aby nepresahovala to, čo je striktne nevyhnutné. V bode 255 tohto rozsudku je uvedené cit.: „Pokračujúce uchovávania údajov z PNR všetkých cestujúcich po uplynutí počiatočnej doby šiestich mesiacov sa teda nezdá byť obmedzené na to, čo je striktne nevyhnutné“. Vzhľadom na uvedené navrhujeme znížiť lehotu uchovávania osobných údajov osôb bez pozitívnej lustrácie, na základe ktorých by bolo možné predpokladať, že predstavujú riziko v oblasti teroristických trestných činov alebo závažnej trestnej činnosti na šesť mesiacov.</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Po vysvetlení problematiky na rozporovom konaní pripomienkujúci subjekt ustúpil od pripomienky.</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Rozpor bol odstránený.</w:t>
            </w:r>
          </w:p>
        </w:tc>
      </w:tr>
      <w:tr>
        <w:trPr>
          <w:trHeight w:val="648"/>
        </w:trPr>
        <w:tc>
          <w:tcPr>
            <w:vAlign w:val="top"/>
          </w:tcPr>
          <w:p>
            <w:pPr>
              <w:spacing w:after="0"/>
              <w:jc w:val="center"/>
            </w:pPr>
            <w:r>
              <w:rPr>
                <w:b w:val="on"/>
                <w:color w:val="000000"/>
                <w:rFonts w:ascii="Times New Roman" w:hAnsi="Times New Roman" w:cs="Times New Roman" w:eastAsia="Times New Roman"/>
                <w:sz w:val="24"/>
              </w:rPr>
              <w:t>Verejnosť</w:t>
              <w:br/>
            </w:r>
            <w:r>
              <w:rPr>
                <w:b w:val="off"/>
                <w:color w:val="000000"/>
                <w:rFonts w:ascii="Times New Roman" w:hAnsi="Times New Roman" w:cs="Times New Roman" w:eastAsia="Times New Roman"/>
                <w:sz w:val="24"/>
              </w:rPr>
              <w:t>Verejnosť</w:t>
            </w:r>
          </w:p>
        </w:tc>
        <w:tc>
          <w:tcPr>
            <w:vAlign w:val="center"/>
          </w:tcPr>
          <w:p>
            <w:pPr>
              <w:spacing w:after="0"/>
              <w:jc w:val="center"/>
            </w:pPr>
            <w:r>
              <w:rPr>
                <w:b w:val="off"/>
                <w:color w:val="000000"/>
                <w:rFonts w:ascii="Times New Roman" w:hAnsi="Times New Roman" w:cs="Times New Roman" w:eastAsia="Times New Roman"/>
                <w:sz w:val="24"/>
              </w:rPr>
              <w:t>O</w:t>
            </w:r>
          </w:p>
        </w:tc>
        <w:tc>
          <w:tcPr>
            <w:vAlign w:val="top"/>
          </w:tcPr>
          <w:p>
            <w:pPr>
              <w:spacing w:after="0"/>
              <w:jc w:val="start"/>
            </w:pPr>
            <w:r>
              <w:rPr>
                <w:b w:val="on"/>
                <w:color w:val="000000"/>
                <w:rFonts w:ascii="Times New Roman" w:hAnsi="Times New Roman" w:cs="Times New Roman" w:eastAsia="Times New Roman"/>
                <w:sz w:val="24"/>
              </w:rPr>
              <w:t>§ 69 ods. 2</w:t>
              <w:br/>
            </w:r>
            <w:r>
              <w:rPr>
                <w:b w:val="off"/>
                <w:color w:val="000000"/>
                <w:rFonts w:ascii="Times New Roman" w:hAnsi="Times New Roman" w:cs="Times New Roman" w:eastAsia="Times New Roman"/>
                <w:sz w:val="24"/>
              </w:rPr>
              <w:t>Zásadná pripomienka, doplnenie vety</w:t>
              <w:br/>
            </w:r>
            <w:r>
              <w:rPr>
                <w:b w:val="off"/>
                <w:color w:val="000000"/>
                <w:rFonts w:ascii="Times New Roman" w:hAnsi="Times New Roman" w:cs="Times New Roman" w:eastAsia="Times New Roman"/>
                <w:sz w:val="24"/>
              </w:rPr>
              <w:t>Policajný zbor je oprávnený, ak je to potrebné na plnenie jeho úloh, vyhotovovať zvukové, obrazové alebo iné zaznamy z miest verejne prístupných a zvukové , obrazové alebo iné záznamy o priebehu služobnej činnosti alebo služobného zákroku, ktoré je policajt oprávnený využívať pri písaní príslušných písomností.</w:t>
              <w:br/>
            </w:r>
            <w:r>
              <w:rPr>
                <w:b w:val="off"/>
                <w:color w:val="000000"/>
                <w:rFonts w:ascii="Times New Roman" w:hAnsi="Times New Roman" w:cs="Times New Roman" w:eastAsia="Times New Roman"/>
                <w:sz w:val="24"/>
              </w:rPr>
              <w:t/>
              <w:br/>
            </w:r>
            <w:r>
              <w:rPr>
                <w:b w:val="off"/>
                <w:color w:val="000000"/>
                <w:rFonts w:ascii="Times New Roman" w:hAnsi="Times New Roman" w:cs="Times New Roman" w:eastAsia="Times New Roman"/>
                <w:sz w:val="24"/>
              </w:rPr>
              <w:t>Odôvodnenie: maximálne využitie telových kamier ako záznamníka pre zakročujúceho policajta. Presnosť obsahu písomností a súlad s realitou</w:t>
            </w:r>
          </w:p>
        </w:tc>
        <w:tc>
          <w:tcPr>
            <w:vAlign w:val="center"/>
          </w:tcPr>
          <w:p>
            <w:pPr>
              <w:spacing w:after="0"/>
              <w:jc w:val="center"/>
            </w:pPr>
            <w:r>
              <w:rPr>
                <w:b w:val="off"/>
                <w:color w:val="000000"/>
                <w:rFonts w:ascii="Times New Roman" w:hAnsi="Times New Roman" w:cs="Times New Roman" w:eastAsia="Times New Roman"/>
                <w:sz w:val="24"/>
              </w:rPr>
              <w:t>N</w:t>
            </w:r>
          </w:p>
        </w:tc>
        <w:tc>
          <w:tcPr>
            <w:vAlign w:val="top"/>
          </w:tcPr>
          <w:p>
            <w:pPr>
              <w:spacing w:after="0"/>
              <w:jc w:val="start"/>
            </w:pPr>
            <w:r>
              <w:rPr>
                <w:b w:val="off"/>
                <w:color w:val="000000"/>
                <w:rFonts w:ascii="Times New Roman" w:hAnsi="Times New Roman" w:cs="Times New Roman" w:eastAsia="Times New Roman"/>
                <w:sz w:val="24"/>
              </w:rPr>
              <w:t>Nepovažujeme za nevyhnutné uvedené oprávnenie ustanoviť do zákona.</w:t>
            </w:r>
          </w:p>
        </w:tc>
      </w:tr>
      <w:tr>
        <w:trPr>
          <w:trHeight w:val="648"/>
        </w:trPr>
        <w:tc>
          <w:tcPr>
            <w:vAlign w:val="top"/>
          </w:tcPr>
          <w:p>
            <w:pPr>
              <w:spacing w:after="0"/>
              <w:jc w:val="center"/>
            </w:pPr>
            <w:r>
              <w:rPr>
                <w:b w:val="on"/>
                <w:color w:val="000000"/>
                <w:rFonts w:ascii="Times New Roman" w:hAnsi="Times New Roman" w:cs="Times New Roman" w:eastAsia="Times New Roman"/>
                <w:sz w:val="24"/>
              </w:rPr>
              <w:t>MZSR</w:t>
              <w:br/>
            </w:r>
            <w:r>
              <w:rPr>
                <w:b w:val="off"/>
                <w:color w:val="000000"/>
                <w:rFonts w:ascii="Times New Roman" w:hAnsi="Times New Roman" w:cs="Times New Roman" w:eastAsia="Times New Roman"/>
                <w:sz w:val="24"/>
              </w:rPr>
              <w:t>Ministerstvo zdravotníctva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MZVEZ SR</w:t>
              <w:br/>
            </w:r>
            <w:r>
              <w:rPr>
                <w:b w:val="off"/>
                <w:color w:val="000000"/>
                <w:rFonts w:ascii="Times New Roman" w:hAnsi="Times New Roman" w:cs="Times New Roman" w:eastAsia="Times New Roman"/>
                <w:sz w:val="24"/>
              </w:rPr>
              <w:t>Ministerstvo zahraničných vecí a európskych záležitostí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MŠVVaMSR</w:t>
              <w:br/>
            </w:r>
            <w:r>
              <w:rPr>
                <w:b w:val="off"/>
                <w:color w:val="000000"/>
                <w:rFonts w:ascii="Times New Roman" w:hAnsi="Times New Roman" w:cs="Times New Roman" w:eastAsia="Times New Roman"/>
                <w:sz w:val="24"/>
              </w:rPr>
              <w:t>Ministerstvo školstva,výskumu,vývoja a mládeže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MŽPSR</w:t>
              <w:br/>
            </w:r>
            <w:r>
              <w:rPr>
                <w:b w:val="off"/>
                <w:color w:val="000000"/>
                <w:rFonts w:ascii="Times New Roman" w:hAnsi="Times New Roman" w:cs="Times New Roman" w:eastAsia="Times New Roman"/>
                <w:sz w:val="24"/>
              </w:rPr>
              <w:t>Ministerstvo životného prostredia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ÚJDSR</w:t>
              <w:br/>
            </w:r>
            <w:r>
              <w:rPr>
                <w:b w:val="off"/>
                <w:color w:val="000000"/>
                <w:rFonts w:ascii="Times New Roman" w:hAnsi="Times New Roman" w:cs="Times New Roman" w:eastAsia="Times New Roman"/>
                <w:sz w:val="24"/>
              </w:rPr>
              <w:t>Úrad jadrového dozoru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ÚNMSSR</w:t>
              <w:br/>
            </w:r>
            <w:r>
              <w:rPr>
                <w:b w:val="off"/>
                <w:color w:val="000000"/>
                <w:rFonts w:ascii="Times New Roman" w:hAnsi="Times New Roman" w:cs="Times New Roman" w:eastAsia="Times New Roman"/>
                <w:sz w:val="24"/>
              </w:rPr>
              <w:t>Úrad pre normalizáciu,  metrológiu a skúšobníctvo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ÚPVSR</w:t>
              <w:br/>
            </w:r>
            <w:r>
              <w:rPr>
                <w:b w:val="off"/>
                <w:color w:val="000000"/>
                <w:rFonts w:ascii="Times New Roman" w:hAnsi="Times New Roman" w:cs="Times New Roman" w:eastAsia="Times New Roman"/>
                <w:sz w:val="24"/>
              </w:rPr>
              <w:t>Úrad priemyselného vlastníctva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ÚVO</w:t>
              <w:br/>
            </w:r>
            <w:r>
              <w:rPr>
                <w:b w:val="off"/>
                <w:color w:val="000000"/>
                <w:rFonts w:ascii="Times New Roman" w:hAnsi="Times New Roman" w:cs="Times New Roman" w:eastAsia="Times New Roman"/>
                <w:sz w:val="24"/>
              </w:rPr>
              <w:t>Úrad pre verejné obstarávanie</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n"/>
                <w:color w:val="000000"/>
                <w:rFonts w:ascii="Times New Roman" w:hAnsi="Times New Roman" w:cs="Times New Roman" w:eastAsia="Times New Roman"/>
                <w:sz w:val="24"/>
              </w:rPr>
              <w:t>ŠÚSR</w:t>
              <w:br/>
            </w:r>
            <w:r>
              <w:rPr>
                <w:b w:val="off"/>
                <w:color w:val="000000"/>
                <w:rFonts w:ascii="Times New Roman" w:hAnsi="Times New Roman" w:cs="Times New Roman" w:eastAsia="Times New Roman"/>
                <w:sz w:val="24"/>
              </w:rPr>
              <w:t>Štatistický úrad Slovenskej republiky</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Odoslané bez pripomienok</w:t>
            </w:r>
          </w:p>
        </w:tc>
        <w:tc>
          <w:tcPr>
            <w:vAlign w:val="center"/>
          </w:tcPr>
          <w:p>
            <w:pPr>
              <w:spacing w:after="0"/>
              <w:jc w:val="center"/>
            </w:pPr>
            <w:r>
              <w:rPr>
                <w:b w:val="off"/>
                <w:color w:val="000000"/>
                <w:rFonts w:ascii="Times New Roman" w:hAnsi="Times New Roman" w:cs="Times New Roman" w:eastAsia="Times New Roman"/>
                <w:sz w:val="24"/>
              </w:rPr>
              <w:t/>
            </w:r>
          </w:p>
        </w:tc>
        <w:tc>
          <w:tcPr>
            <w:vAlign w:val="top"/>
          </w:tcPr>
          <w:p>
            <w:pPr>
              <w:spacing w:after="0"/>
              <w:jc w:val="start"/>
            </w:pPr>
            <w:r>
              <w:rPr>
                <w:b w:val="off"/>
                <w:color w:val="000000"/>
                <w:rFonts w:ascii="Times New Roman" w:hAnsi="Times New Roman" w:cs="Times New Roman" w:eastAsia="Times New Roman"/>
                <w:sz w:val="24"/>
              </w:rPr>
              <w:t/>
            </w:r>
          </w:p>
        </w:tc>
      </w:tr>
    </w:tbl>
    <w:p w14:paraId="3A57E3AF" w14:textId="77777777" w:rsidR="000B2D78" w:rsidRPr="00785E8D" w:rsidRDefault="000B2D78">
      <w:pPr>
        <w:rPr>
          <w:rFonts w:ascii="Times New Roman" w:hAnsi="Times New Roman" w:cs="Times New Roman"/>
        </w:rPr>
      </w:pPr>
    </w:p>
    <w:p w14:paraId="48602EC8" w14:textId="37FB2F71"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57C7F9BD" w14:textId="5FDA99DB" w:rsidTr="00343965">
        <w:trPr>
          <w:trHeight w:val="648"/>
          <w:jc w:val="center"/>
        </w:trPr>
        <w:tc>
          <w:tcPr>
            <w:tcW w:w="1944" w:type="dxa"/>
            <w:vAlign w:val="center"/>
          </w:tcPr>
          <w:p w14:paraId="12485476"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7BDCDFBF" w14:textId="7CC13C3E"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6480" w:type="dxa"/>
            <w:vAlign w:val="center"/>
          </w:tcPr>
          <w:p w14:paraId="63809B05"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5D84DA5A" w14:textId="5E88111B"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604D4B30" w14:textId="0F85F5F9"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trPr>
          <w:trHeight w:val="648"/>
        </w:trPr>
        <w:tc>
          <w:tcPr>
            <w:hMerge w:val="restart"/>
            <w:vAlign w:val="center"/>
          </w:tcPr>
          <w:p>
            <w:pPr>
              <w:spacing w:after="0"/>
              <w:jc w:val="center"/>
            </w:pPr>
            <w:r>
              <w:rPr>
                <w:b w:val="off"/>
                <w:color w:val="000000"/>
                <w:rFonts w:ascii="Times New Roman" w:hAnsi="Times New Roman" w:cs="Times New Roman" w:eastAsia="Times New Roman"/>
                <w:sz w:val="24"/>
              </w:rPr>
              <w:t>K materiálu neboli pridané hromadné pripomienky.</w:t>
            </w:r>
          </w:p>
        </w:tc>
        <w:tc>
          <w:tcPr>
            <w:hMerge w:val="continue"/>
          </w:tcPr>
          <w:p/>
        </w:tc>
        <w:tc>
          <w:tcPr>
            <w:hMerge w:val="continue"/>
          </w:tcPr>
          <w:p/>
        </w:tc>
        <w:tc>
          <w:tcPr>
            <w:hMerge w:val="continue"/>
          </w:tcPr>
          <w:p/>
        </w:tc>
        <w:tc>
          <w:tcPr>
            <w:hMerge w:val="continue"/>
          </w:tcPr>
          <w:p/>
        </w:tc>
      </w:tr>
    </w:tbl>
    <w:p w14:paraId="1F01DA97" w14:textId="77777777" w:rsidR="00E66622" w:rsidRDefault="00E66622">
      <w:pPr>
        <w:rPr>
          <w:rFonts w:ascii="Times New Roman" w:hAnsi="Times New Roman" w:cs="Times New Roman"/>
        </w:rPr>
      </w:pPr>
    </w:p>
    <w:p w14:paraId="20BAA03A" w14:textId="3B15C826" w:rsidR="00677591" w:rsidRDefault="00677591" w:rsidP="001E6254">
      <w:pPr>
        <w:keepLines/>
        <w:rPr>
          <w:rFonts w:ascii="Times New Roman" w:hAnsi="Times New Roman" w:cs="Times New Roman"/>
          <w:sz w:val="24"/>
          <w:szCs w:val="24"/>
          <w:lang w:val="en-US"/>
        </w:rPr>
      </w:pPr>
      <w:r w:rsidRPr="00677591">
        <w:rPr>
          <w:rFonts w:ascii="Times New Roman" w:hAnsi="Times New Roman" w:cs="Times New Roman"/>
          <w:sz w:val="24"/>
          <w:szCs w:val="24"/>
        </w:rPr>
        <w:t>Sumarizácia vznesených pripomienok pod</w:t>
      </w:r>
      <w:r w:rsidRPr="00677591">
        <w:rPr>
          <w:rFonts w:ascii="Times New Roman" w:hAnsi="Times New Roman" w:cs="Times New Roman"/>
          <w:sz w:val="24"/>
          <w:szCs w:val="24"/>
          <w:lang w:val="en-US"/>
        </w:rPr>
        <w:t>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0"/>
        <w:gridCol w:w="6777"/>
        <w:gridCol w:w="1550"/>
        <w:gridCol w:w="1550"/>
        <w:gridCol w:w="1537"/>
        <w:gridCol w:w="1096"/>
      </w:tblGrid>
      <w:tr w:rsidR="00634468" w:rsidRPr="00785E8D" w14:paraId="45EBE45F" w14:textId="77777777" w:rsidTr="008C63F3">
        <w:trPr>
          <w:trHeight w:val="648"/>
          <w:jc w:val="center"/>
        </w:trPr>
        <w:tc>
          <w:tcPr>
            <w:tcW w:w="178" w:type="pct"/>
            <w:tcBorders>
              <w:right w:val="single" w:sz="2" w:space="0" w:color="auto"/>
            </w:tcBorders>
            <w:vAlign w:val="center"/>
          </w:tcPr>
          <w:p w14:paraId="2337D103" w14:textId="702E9A83" w:rsidR="00634468" w:rsidRPr="00785E8D"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14:paraId="2F5A17B0" w14:textId="580FA8A4"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Subjekt</w:t>
            </w:r>
          </w:p>
        </w:tc>
        <w:tc>
          <w:tcPr>
            <w:tcW w:w="613" w:type="pct"/>
            <w:tcBorders>
              <w:left w:val="single" w:sz="2" w:space="0" w:color="auto"/>
            </w:tcBorders>
            <w:vAlign w:val="center"/>
          </w:tcPr>
          <w:p w14:paraId="2E49D00C" w14:textId="475549EF"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Pripomienky do termínu</w:t>
            </w:r>
          </w:p>
        </w:tc>
        <w:tc>
          <w:tcPr>
            <w:tcW w:w="613" w:type="pct"/>
            <w:vAlign w:val="center"/>
          </w:tcPr>
          <w:p w14:paraId="2E4B8C3C" w14:textId="1CD05F49" w:rsidR="00634468" w:rsidRPr="00A80C4C" w:rsidRDefault="00A80C4C" w:rsidP="001E6254">
            <w:pPr>
              <w:keepLine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Pripomienky po termíne</w:t>
            </w:r>
          </w:p>
        </w:tc>
        <w:tc>
          <w:tcPr>
            <w:tcW w:w="486" w:type="pct"/>
            <w:vAlign w:val="center"/>
          </w:tcPr>
          <w:p w14:paraId="4561F266" w14:textId="377257BE" w:rsidR="00634468"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Nemali pripomienky</w:t>
            </w:r>
          </w:p>
        </w:tc>
        <w:tc>
          <w:tcPr>
            <w:tcW w:w="486" w:type="pct"/>
            <w:vAlign w:val="center"/>
          </w:tcPr>
          <w:p w14:paraId="44212096" w14:textId="60E9F3CB"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Vôbec neza</w:t>
            </w:r>
            <w:r w:rsidR="0001352E">
              <w:rPr>
                <w:rFonts w:ascii="Times New Roman" w:hAnsi="Times New Roman" w:cs="Times New Roman"/>
                <w:b/>
                <w:bCs/>
                <w:sz w:val="24"/>
                <w:szCs w:val="24"/>
              </w:rPr>
              <w:t>slali</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w:t>
            </w:r>
          </w:p>
        </w:tc>
        <w:tc>
          <w:tcPr>
            <w:vAlign w:val="top"/>
          </w:tcPr>
          <w:p>
            <w:pPr>
              <w:spacing w:after="0"/>
              <w:jc w:val="start"/>
            </w:pPr>
            <w:r>
              <w:rPr>
                <w:b w:val="on"/>
                <w:color w:val="000000"/>
                <w:rFonts w:ascii="Times New Roman" w:hAnsi="Times New Roman" w:cs="Times New Roman" w:eastAsia="Times New Roman"/>
                <w:sz w:val="24"/>
              </w:rPr>
              <w:t>APZD</w:t>
            </w:r>
            <w:r>
              <w:rPr>
                <w:b w:val="off"/>
                <w:color w:val="000000"/>
                <w:rFonts w:ascii="Times New Roman" w:hAnsi="Times New Roman" w:cs="Times New Roman" w:eastAsia="Times New Roman"/>
                <w:sz w:val="24"/>
              </w:rPr>
              <w:t xml:space="preserve"> – Asociácia priemyselných zväzov a dopravy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w:t>
            </w:r>
          </w:p>
        </w:tc>
        <w:tc>
          <w:tcPr>
            <w:vAlign w:val="top"/>
          </w:tcPr>
          <w:p>
            <w:pPr>
              <w:spacing w:after="0"/>
              <w:jc w:val="start"/>
            </w:pPr>
            <w:r>
              <w:rPr>
                <w:b w:val="on"/>
                <w:color w:val="000000"/>
                <w:rFonts w:ascii="Times New Roman" w:hAnsi="Times New Roman" w:cs="Times New Roman" w:eastAsia="Times New Roman"/>
                <w:sz w:val="24"/>
              </w:rPr>
              <w:t>ASMOS</w:t>
            </w:r>
            <w:r>
              <w:rPr>
                <w:b w:val="off"/>
                <w:color w:val="000000"/>
                <w:rFonts w:ascii="Times New Roman" w:hAnsi="Times New Roman" w:cs="Times New Roman" w:eastAsia="Times New Roman"/>
                <w:sz w:val="24"/>
              </w:rPr>
              <w:t xml:space="preserve"> – Asociácia mobilných operátorov Slovenska</w:t>
            </w:r>
          </w:p>
        </w:tc>
        <w:tc>
          <w:tcPr>
            <w:vAlign w:val="top"/>
          </w:tcPr>
          <w:p>
            <w:pPr>
              <w:spacing w:after="0"/>
              <w:jc w:val="center"/>
            </w:pPr>
            <w:r>
              <w:rPr>
                <w:b w:val="off"/>
                <w:color w:val="000000"/>
                <w:rFonts w:ascii="Times New Roman" w:hAnsi="Times New Roman" w:cs="Times New Roman" w:eastAsia="Times New Roman"/>
                <w:sz w:val="24"/>
              </w:rPr>
              <w:t>3 (3o,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w:t>
            </w:r>
          </w:p>
        </w:tc>
        <w:tc>
          <w:tcPr>
            <w:vAlign w:val="top"/>
          </w:tcPr>
          <w:p>
            <w:pPr>
              <w:spacing w:after="0"/>
              <w:jc w:val="start"/>
            </w:pPr>
            <w:r>
              <w:rPr>
                <w:b w:val="on"/>
                <w:color w:val="000000"/>
                <w:rFonts w:ascii="Times New Roman" w:hAnsi="Times New Roman" w:cs="Times New Roman" w:eastAsia="Times New Roman"/>
                <w:sz w:val="24"/>
              </w:rPr>
              <w:t>AZZZ SR</w:t>
            </w:r>
            <w:r>
              <w:rPr>
                <w:b w:val="off"/>
                <w:color w:val="000000"/>
                <w:rFonts w:ascii="Times New Roman" w:hAnsi="Times New Roman" w:cs="Times New Roman" w:eastAsia="Times New Roman"/>
                <w:sz w:val="24"/>
              </w:rPr>
              <w:t xml:space="preserve"> – Asociácia zamestnávatelských zväzov a združení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w:t>
            </w:r>
          </w:p>
        </w:tc>
        <w:tc>
          <w:tcPr>
            <w:vAlign w:val="top"/>
          </w:tcPr>
          <w:p>
            <w:pPr>
              <w:spacing w:after="0"/>
              <w:jc w:val="start"/>
            </w:pPr>
            <w:r>
              <w:rPr>
                <w:b w:val="on"/>
                <w:color w:val="000000"/>
                <w:rFonts w:ascii="Times New Roman" w:hAnsi="Times New Roman" w:cs="Times New Roman" w:eastAsia="Times New Roman"/>
                <w:sz w:val="24"/>
              </w:rPr>
              <w:t>BBSK</w:t>
            </w:r>
            <w:r>
              <w:rPr>
                <w:b w:val="off"/>
                <w:color w:val="000000"/>
                <w:rFonts w:ascii="Times New Roman" w:hAnsi="Times New Roman" w:cs="Times New Roman" w:eastAsia="Times New Roman"/>
                <w:sz w:val="24"/>
              </w:rPr>
              <w:t xml:space="preserve"> – Banskobystrický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w:t>
            </w:r>
          </w:p>
        </w:tc>
        <w:tc>
          <w:tcPr>
            <w:vAlign w:val="top"/>
          </w:tcPr>
          <w:p>
            <w:pPr>
              <w:spacing w:after="0"/>
              <w:jc w:val="start"/>
            </w:pPr>
            <w:r>
              <w:rPr>
                <w:b w:val="on"/>
                <w:color w:val="000000"/>
                <w:rFonts w:ascii="Times New Roman" w:hAnsi="Times New Roman" w:cs="Times New Roman" w:eastAsia="Times New Roman"/>
                <w:sz w:val="24"/>
              </w:rPr>
              <w:t>BSK</w:t>
            </w:r>
            <w:r>
              <w:rPr>
                <w:b w:val="off"/>
                <w:color w:val="000000"/>
                <w:rFonts w:ascii="Times New Roman" w:hAnsi="Times New Roman" w:cs="Times New Roman" w:eastAsia="Times New Roman"/>
                <w:sz w:val="24"/>
              </w:rPr>
              <w:t xml:space="preserve"> – BRATISLAVSKÝ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6.</w:t>
            </w:r>
          </w:p>
        </w:tc>
        <w:tc>
          <w:tcPr>
            <w:vAlign w:val="top"/>
          </w:tcPr>
          <w:p>
            <w:pPr>
              <w:spacing w:after="0"/>
              <w:jc w:val="start"/>
            </w:pPr>
            <w:r>
              <w:rPr>
                <w:b w:val="on"/>
                <w:color w:val="000000"/>
                <w:rFonts w:ascii="Times New Roman" w:hAnsi="Times New Roman" w:cs="Times New Roman" w:eastAsia="Times New Roman"/>
                <w:sz w:val="24"/>
              </w:rPr>
              <w:t>Dopravný úrad</w:t>
            </w:r>
            <w:r>
              <w:rPr>
                <w:b w:val="off"/>
                <w:color w:val="000000"/>
                <w:rFonts w:ascii="Times New Roman" w:hAnsi="Times New Roman" w:cs="Times New Roman" w:eastAsia="Times New Roman"/>
                <w:sz w:val="24"/>
              </w:rPr>
              <w:t xml:space="preserve"> – Dopravný úrad</w:t>
            </w:r>
          </w:p>
        </w:tc>
        <w:tc>
          <w:tcPr>
            <w:vAlign w:val="top"/>
          </w:tcPr>
          <w:p>
            <w:pPr>
              <w:spacing w:after="0"/>
              <w:jc w:val="center"/>
            </w:pPr>
            <w:r>
              <w:rPr>
                <w:b w:val="off"/>
                <w:color w:val="000000"/>
                <w:rFonts w:ascii="Times New Roman" w:hAnsi="Times New Roman" w:cs="Times New Roman" w:eastAsia="Times New Roman"/>
                <w:sz w:val="24"/>
              </w:rPr>
              <w:t>1 (1o,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7.</w:t>
            </w:r>
          </w:p>
        </w:tc>
        <w:tc>
          <w:tcPr>
            <w:vAlign w:val="top"/>
          </w:tcPr>
          <w:p>
            <w:pPr>
              <w:spacing w:after="0"/>
              <w:jc w:val="start"/>
            </w:pPr>
            <w:r>
              <w:rPr>
                <w:b w:val="on"/>
                <w:color w:val="000000"/>
                <w:rFonts w:ascii="Times New Roman" w:hAnsi="Times New Roman" w:cs="Times New Roman" w:eastAsia="Times New Roman"/>
                <w:sz w:val="24"/>
              </w:rPr>
              <w:t>GPSR</w:t>
            </w:r>
            <w:r>
              <w:rPr>
                <w:b w:val="off"/>
                <w:color w:val="000000"/>
                <w:rFonts w:ascii="Times New Roman" w:hAnsi="Times New Roman" w:cs="Times New Roman" w:eastAsia="Times New Roman"/>
                <w:sz w:val="24"/>
              </w:rPr>
              <w:t xml:space="preserve"> – Generálna prokuratúra Slovenskej republiky</w:t>
            </w:r>
          </w:p>
        </w:tc>
        <w:tc>
          <w:tcPr>
            <w:vAlign w:val="top"/>
          </w:tcPr>
          <w:p>
            <w:pPr>
              <w:spacing w:after="0"/>
              <w:jc w:val="center"/>
            </w:pPr>
            <w:r>
              <w:rPr>
                <w:b w:val="off"/>
                <w:color w:val="000000"/>
                <w:rFonts w:ascii="Times New Roman" w:hAnsi="Times New Roman" w:cs="Times New Roman" w:eastAsia="Times New Roman"/>
                <w:sz w:val="24"/>
              </w:rPr>
              <w:t>15 (10o, 5z)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8.</w:t>
            </w:r>
          </w:p>
        </w:tc>
        <w:tc>
          <w:tcPr>
            <w:vAlign w:val="top"/>
          </w:tcPr>
          <w:p>
            <w:pPr>
              <w:spacing w:after="0"/>
              <w:jc w:val="start"/>
            </w:pPr>
            <w:r>
              <w:rPr>
                <w:b w:val="on"/>
                <w:color w:val="000000"/>
                <w:rFonts w:ascii="Times New Roman" w:hAnsi="Times New Roman" w:cs="Times New Roman" w:eastAsia="Times New Roman"/>
                <w:sz w:val="24"/>
              </w:rPr>
              <w:t>KBS</w:t>
            </w:r>
            <w:r>
              <w:rPr>
                <w:b w:val="off"/>
                <w:color w:val="000000"/>
                <w:rFonts w:ascii="Times New Roman" w:hAnsi="Times New Roman" w:cs="Times New Roman" w:eastAsia="Times New Roman"/>
                <w:sz w:val="24"/>
              </w:rPr>
              <w:t xml:space="preserve"> – Konferencia biskupov Slovenska</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9.</w:t>
            </w:r>
          </w:p>
        </w:tc>
        <w:tc>
          <w:tcPr>
            <w:vAlign w:val="top"/>
          </w:tcPr>
          <w:p>
            <w:pPr>
              <w:spacing w:after="0"/>
              <w:jc w:val="start"/>
            </w:pPr>
            <w:r>
              <w:rPr>
                <w:b w:val="on"/>
                <w:color w:val="000000"/>
                <w:rFonts w:ascii="Times New Roman" w:hAnsi="Times New Roman" w:cs="Times New Roman" w:eastAsia="Times New Roman"/>
                <w:sz w:val="24"/>
              </w:rPr>
              <w:t>KOZSR</w:t>
            </w:r>
            <w:r>
              <w:rPr>
                <w:b w:val="off"/>
                <w:color w:val="000000"/>
                <w:rFonts w:ascii="Times New Roman" w:hAnsi="Times New Roman" w:cs="Times New Roman" w:eastAsia="Times New Roman"/>
                <w:sz w:val="24"/>
              </w:rPr>
              <w:t xml:space="preserve"> – Konfederácia odborových zväzov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10.</w:t>
            </w:r>
          </w:p>
        </w:tc>
        <w:tc>
          <w:tcPr>
            <w:vAlign w:val="top"/>
          </w:tcPr>
          <w:p>
            <w:pPr>
              <w:spacing w:after="0"/>
              <w:jc w:val="start"/>
            </w:pPr>
            <w:r>
              <w:rPr>
                <w:b w:val="on"/>
                <w:color w:val="000000"/>
                <w:rFonts w:ascii="Times New Roman" w:hAnsi="Times New Roman" w:cs="Times New Roman" w:eastAsia="Times New Roman"/>
                <w:sz w:val="24"/>
              </w:rPr>
              <w:t>KSK</w:t>
            </w:r>
            <w:r>
              <w:rPr>
                <w:b w:val="off"/>
                <w:color w:val="000000"/>
                <w:rFonts w:ascii="Times New Roman" w:hAnsi="Times New Roman" w:cs="Times New Roman" w:eastAsia="Times New Roman"/>
                <w:sz w:val="24"/>
              </w:rPr>
              <w:t xml:space="preserve"> – Košický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11.</w:t>
            </w:r>
          </w:p>
        </w:tc>
        <w:tc>
          <w:tcPr>
            <w:vAlign w:val="top"/>
          </w:tcPr>
          <w:p>
            <w:pPr>
              <w:spacing w:after="0"/>
              <w:jc w:val="start"/>
            </w:pPr>
            <w:r>
              <w:rPr>
                <w:b w:val="on"/>
                <w:color w:val="000000"/>
                <w:rFonts w:ascii="Times New Roman" w:hAnsi="Times New Roman" w:cs="Times New Roman" w:eastAsia="Times New Roman"/>
                <w:sz w:val="24"/>
              </w:rPr>
              <w:t>KVOP</w:t>
            </w:r>
            <w:r>
              <w:rPr>
                <w:b w:val="off"/>
                <w:color w:val="000000"/>
                <w:rFonts w:ascii="Times New Roman" w:hAnsi="Times New Roman" w:cs="Times New Roman" w:eastAsia="Times New Roman"/>
                <w:sz w:val="24"/>
              </w:rPr>
              <w:t xml:space="preserve"> – Kancelária verejného ochrancu práv</w:t>
            </w:r>
          </w:p>
        </w:tc>
        <w:tc>
          <w:tcPr>
            <w:vAlign w:val="top"/>
          </w:tcPr>
          <w:p>
            <w:pPr>
              <w:spacing w:after="0"/>
              <w:jc w:val="center"/>
            </w:pPr>
            <w:r>
              <w:rPr>
                <w:b w:val="off"/>
                <w:color w:val="000000"/>
                <w:rFonts w:ascii="Times New Roman" w:hAnsi="Times New Roman" w:cs="Times New Roman" w:eastAsia="Times New Roman"/>
                <w:sz w:val="24"/>
              </w:rPr>
              <w:t>6 (6o,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12.</w:t>
            </w:r>
          </w:p>
        </w:tc>
        <w:tc>
          <w:tcPr>
            <w:vAlign w:val="top"/>
          </w:tcPr>
          <w:p>
            <w:pPr>
              <w:spacing w:after="0"/>
              <w:jc w:val="start"/>
            </w:pPr>
            <w:r>
              <w:rPr>
                <w:b w:val="on"/>
                <w:color w:val="000000"/>
                <w:rFonts w:ascii="Times New Roman" w:hAnsi="Times New Roman" w:cs="Times New Roman" w:eastAsia="Times New Roman"/>
                <w:sz w:val="24"/>
              </w:rPr>
              <w:t>Klub 500</w:t>
            </w:r>
            <w:r>
              <w:rPr>
                <w:b w:val="off"/>
                <w:color w:val="000000"/>
                <w:rFonts w:ascii="Times New Roman" w:hAnsi="Times New Roman" w:cs="Times New Roman" w:eastAsia="Times New Roman"/>
                <w:sz w:val="24"/>
              </w:rPr>
              <w:t xml:space="preserve"> – Klub 500</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13.</w:t>
            </w:r>
          </w:p>
        </w:tc>
        <w:tc>
          <w:tcPr>
            <w:vAlign w:val="top"/>
          </w:tcPr>
          <w:p>
            <w:pPr>
              <w:spacing w:after="0"/>
              <w:jc w:val="start"/>
            </w:pPr>
            <w:r>
              <w:rPr>
                <w:b w:val="on"/>
                <w:color w:val="000000"/>
                <w:rFonts w:ascii="Times New Roman" w:hAnsi="Times New Roman" w:cs="Times New Roman" w:eastAsia="Times New Roman"/>
                <w:sz w:val="24"/>
              </w:rPr>
              <w:t>MDSR</w:t>
            </w:r>
            <w:r>
              <w:rPr>
                <w:b w:val="off"/>
                <w:color w:val="000000"/>
                <w:rFonts w:ascii="Times New Roman" w:hAnsi="Times New Roman" w:cs="Times New Roman" w:eastAsia="Times New Roman"/>
                <w:sz w:val="24"/>
              </w:rPr>
              <w:t xml:space="preserve"> – Ministerstvo dopravy Slovenskej republiky</w:t>
            </w:r>
          </w:p>
        </w:tc>
        <w:tc>
          <w:tcPr>
            <w:vAlign w:val="top"/>
          </w:tcPr>
          <w:p>
            <w:pPr>
              <w:spacing w:after="0"/>
              <w:jc w:val="center"/>
            </w:pPr>
            <w:r>
              <w:rPr>
                <w:b w:val="off"/>
                <w:color w:val="000000"/>
                <w:rFonts w:ascii="Times New Roman" w:hAnsi="Times New Roman" w:cs="Times New Roman" w:eastAsia="Times New Roman"/>
                <w:sz w:val="24"/>
              </w:rPr>
              <w:t>38 (34o, 4z)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14.</w:t>
            </w:r>
          </w:p>
        </w:tc>
        <w:tc>
          <w:tcPr>
            <w:vAlign w:val="top"/>
          </w:tcPr>
          <w:p>
            <w:pPr>
              <w:spacing w:after="0"/>
              <w:jc w:val="start"/>
            </w:pPr>
            <w:r>
              <w:rPr>
                <w:b w:val="on"/>
                <w:color w:val="000000"/>
                <w:rFonts w:ascii="Times New Roman" w:hAnsi="Times New Roman" w:cs="Times New Roman" w:eastAsia="Times New Roman"/>
                <w:sz w:val="24"/>
              </w:rPr>
              <w:t>MFSR</w:t>
            </w:r>
            <w:r>
              <w:rPr>
                <w:b w:val="off"/>
                <w:color w:val="000000"/>
                <w:rFonts w:ascii="Times New Roman" w:hAnsi="Times New Roman" w:cs="Times New Roman" w:eastAsia="Times New Roman"/>
                <w:sz w:val="24"/>
              </w:rPr>
              <w:t xml:space="preserve"> – Ministerstvo financií Slovenskej republiky</w:t>
            </w:r>
          </w:p>
        </w:tc>
        <w:tc>
          <w:tcPr>
            <w:vAlign w:val="top"/>
          </w:tcPr>
          <w:p>
            <w:pPr>
              <w:spacing w:after="0"/>
              <w:jc w:val="center"/>
            </w:pPr>
            <w:r>
              <w:rPr>
                <w:b w:val="off"/>
                <w:color w:val="000000"/>
                <w:rFonts w:ascii="Times New Roman" w:hAnsi="Times New Roman" w:cs="Times New Roman" w:eastAsia="Times New Roman"/>
                <w:sz w:val="24"/>
              </w:rPr>
              <w:t>6 (2o, 4z)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15.</w:t>
            </w:r>
          </w:p>
        </w:tc>
        <w:tc>
          <w:tcPr>
            <w:vAlign w:val="top"/>
          </w:tcPr>
          <w:p>
            <w:pPr>
              <w:spacing w:after="0"/>
              <w:jc w:val="start"/>
            </w:pPr>
            <w:r>
              <w:rPr>
                <w:b w:val="on"/>
                <w:color w:val="000000"/>
                <w:rFonts w:ascii="Times New Roman" w:hAnsi="Times New Roman" w:cs="Times New Roman" w:eastAsia="Times New Roman"/>
                <w:sz w:val="24"/>
              </w:rPr>
              <w:t>MHSR</w:t>
            </w:r>
            <w:r>
              <w:rPr>
                <w:b w:val="off"/>
                <w:color w:val="000000"/>
                <w:rFonts w:ascii="Times New Roman" w:hAnsi="Times New Roman" w:cs="Times New Roman" w:eastAsia="Times New Roman"/>
                <w:sz w:val="24"/>
              </w:rPr>
              <w:t xml:space="preserve"> – Ministerstvo hospodárstva Slovenskej republiky</w:t>
            </w:r>
          </w:p>
        </w:tc>
        <w:tc>
          <w:tcPr>
            <w:vAlign w:val="top"/>
          </w:tcPr>
          <w:p>
            <w:pPr>
              <w:spacing w:after="0"/>
              <w:jc w:val="center"/>
            </w:pPr>
            <w:r>
              <w:rPr>
                <w:b w:val="off"/>
                <w:color w:val="000000"/>
                <w:rFonts w:ascii="Times New Roman" w:hAnsi="Times New Roman" w:cs="Times New Roman" w:eastAsia="Times New Roman"/>
                <w:sz w:val="24"/>
              </w:rPr>
              <w:t>1 (1o,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16.</w:t>
            </w:r>
          </w:p>
        </w:tc>
        <w:tc>
          <w:tcPr>
            <w:vAlign w:val="top"/>
          </w:tcPr>
          <w:p>
            <w:pPr>
              <w:spacing w:after="0"/>
              <w:jc w:val="start"/>
            </w:pPr>
            <w:r>
              <w:rPr>
                <w:b w:val="on"/>
                <w:color w:val="000000"/>
                <w:rFonts w:ascii="Times New Roman" w:hAnsi="Times New Roman" w:cs="Times New Roman" w:eastAsia="Times New Roman"/>
                <w:sz w:val="24"/>
              </w:rPr>
              <w:t>MINCRS</w:t>
            </w:r>
            <w:r>
              <w:rPr>
                <w:b w:val="off"/>
                <w:color w:val="000000"/>
                <w:rFonts w:ascii="Times New Roman" w:hAnsi="Times New Roman" w:cs="Times New Roman" w:eastAsia="Times New Roman"/>
                <w:sz w:val="24"/>
              </w:rPr>
              <w:t xml:space="preserve"> – Ministerstvo cestovného ruchu a športu Slovenskej republiky</w:t>
            </w:r>
          </w:p>
        </w:tc>
        <w:tc>
          <w:tcPr>
            <w:vAlign w:val="top"/>
          </w:tcPr>
          <w:p>
            <w:pPr>
              <w:spacing w:after="0"/>
              <w:jc w:val="center"/>
            </w:pPr>
            <w:r>
              <w:rPr>
                <w:b w:val="off"/>
                <w:color w:val="000000"/>
                <w:rFonts w:ascii="Times New Roman" w:hAnsi="Times New Roman" w:cs="Times New Roman" w:eastAsia="Times New Roman"/>
                <w:sz w:val="24"/>
              </w:rPr>
              <w:t>1 (1o,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17.</w:t>
            </w:r>
          </w:p>
        </w:tc>
        <w:tc>
          <w:tcPr>
            <w:vAlign w:val="top"/>
          </w:tcPr>
          <w:p>
            <w:pPr>
              <w:spacing w:after="0"/>
              <w:jc w:val="start"/>
            </w:pPr>
            <w:r>
              <w:rPr>
                <w:b w:val="on"/>
                <w:color w:val="000000"/>
                <w:rFonts w:ascii="Times New Roman" w:hAnsi="Times New Roman" w:cs="Times New Roman" w:eastAsia="Times New Roman"/>
                <w:sz w:val="24"/>
              </w:rPr>
              <w:t>MIRRI SR</w:t>
            </w:r>
            <w:r>
              <w:rPr>
                <w:b w:val="off"/>
                <w:color w:val="000000"/>
                <w:rFonts w:ascii="Times New Roman" w:hAnsi="Times New Roman" w:cs="Times New Roman" w:eastAsia="Times New Roman"/>
                <w:sz w:val="24"/>
              </w:rPr>
              <w:t xml:space="preserve"> – Ministerstvo investícií, regionálneho rozvoja a informatizácie Slovenskej republiky</w:t>
            </w:r>
          </w:p>
        </w:tc>
        <w:tc>
          <w:tcPr>
            <w:vAlign w:val="top"/>
          </w:tcPr>
          <w:p>
            <w:pPr>
              <w:spacing w:after="0"/>
              <w:jc w:val="center"/>
            </w:pPr>
            <w:r>
              <w:rPr>
                <w:b w:val="off"/>
                <w:color w:val="000000"/>
                <w:rFonts w:ascii="Times New Roman" w:hAnsi="Times New Roman" w:cs="Times New Roman" w:eastAsia="Times New Roman"/>
                <w:sz w:val="24"/>
              </w:rPr>
              <w:t>2 (1o, 1z)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18.</w:t>
            </w:r>
          </w:p>
        </w:tc>
        <w:tc>
          <w:tcPr>
            <w:vAlign w:val="top"/>
          </w:tcPr>
          <w:p>
            <w:pPr>
              <w:spacing w:after="0"/>
              <w:jc w:val="start"/>
            </w:pPr>
            <w:r>
              <w:rPr>
                <w:b w:val="on"/>
                <w:color w:val="000000"/>
                <w:rFonts w:ascii="Times New Roman" w:hAnsi="Times New Roman" w:cs="Times New Roman" w:eastAsia="Times New Roman"/>
                <w:sz w:val="24"/>
              </w:rPr>
              <w:t>MKSR</w:t>
            </w:r>
            <w:r>
              <w:rPr>
                <w:b w:val="off"/>
                <w:color w:val="000000"/>
                <w:rFonts w:ascii="Times New Roman" w:hAnsi="Times New Roman" w:cs="Times New Roman" w:eastAsia="Times New Roman"/>
                <w:sz w:val="24"/>
              </w:rPr>
              <w:t xml:space="preserve"> – Ministerstvo kultúry Slovenskej republiky</w:t>
            </w:r>
          </w:p>
        </w:tc>
        <w:tc>
          <w:tcPr>
            <w:vAlign w:val="top"/>
          </w:tcPr>
          <w:p>
            <w:pPr>
              <w:spacing w:after="0"/>
              <w:jc w:val="center"/>
            </w:pPr>
            <w:r>
              <w:rPr>
                <w:b w:val="off"/>
                <w:color w:val="000000"/>
                <w:rFonts w:ascii="Times New Roman" w:hAnsi="Times New Roman" w:cs="Times New Roman" w:eastAsia="Times New Roman"/>
                <w:sz w:val="24"/>
              </w:rPr>
              <w:t>1 (1o,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19.</w:t>
            </w:r>
          </w:p>
        </w:tc>
        <w:tc>
          <w:tcPr>
            <w:vAlign w:val="top"/>
          </w:tcPr>
          <w:p>
            <w:pPr>
              <w:spacing w:after="0"/>
              <w:jc w:val="start"/>
            </w:pPr>
            <w:r>
              <w:rPr>
                <w:b w:val="on"/>
                <w:color w:val="000000"/>
                <w:rFonts w:ascii="Times New Roman" w:hAnsi="Times New Roman" w:cs="Times New Roman" w:eastAsia="Times New Roman"/>
                <w:sz w:val="24"/>
              </w:rPr>
              <w:t>MOSR</w:t>
            </w:r>
            <w:r>
              <w:rPr>
                <w:b w:val="off"/>
                <w:color w:val="000000"/>
                <w:rFonts w:ascii="Times New Roman" w:hAnsi="Times New Roman" w:cs="Times New Roman" w:eastAsia="Times New Roman"/>
                <w:sz w:val="24"/>
              </w:rPr>
              <w:t xml:space="preserve"> – Ministerstvo obrany Slovenskej republiky</w:t>
            </w:r>
          </w:p>
        </w:tc>
        <w:tc>
          <w:tcPr>
            <w:vAlign w:val="top"/>
          </w:tcPr>
          <w:p>
            <w:pPr>
              <w:spacing w:after="0"/>
              <w:jc w:val="center"/>
            </w:pPr>
            <w:r>
              <w:rPr>
                <w:b w:val="off"/>
                <w:color w:val="000000"/>
                <w:rFonts w:ascii="Times New Roman" w:hAnsi="Times New Roman" w:cs="Times New Roman" w:eastAsia="Times New Roman"/>
                <w:sz w:val="24"/>
              </w:rPr>
              <w:t>5 (5o,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20.</w:t>
            </w:r>
          </w:p>
        </w:tc>
        <w:tc>
          <w:tcPr>
            <w:vAlign w:val="top"/>
          </w:tcPr>
          <w:p>
            <w:pPr>
              <w:spacing w:after="0"/>
              <w:jc w:val="start"/>
            </w:pPr>
            <w:r>
              <w:rPr>
                <w:b w:val="on"/>
                <w:color w:val="000000"/>
                <w:rFonts w:ascii="Times New Roman" w:hAnsi="Times New Roman" w:cs="Times New Roman" w:eastAsia="Times New Roman"/>
                <w:sz w:val="24"/>
              </w:rPr>
              <w:t>MPRVSR</w:t>
            </w:r>
            <w:r>
              <w:rPr>
                <w:b w:val="off"/>
                <w:color w:val="000000"/>
                <w:rFonts w:ascii="Times New Roman" w:hAnsi="Times New Roman" w:cs="Times New Roman" w:eastAsia="Times New Roman"/>
                <w:sz w:val="24"/>
              </w:rPr>
              <w:t xml:space="preserve"> – Ministerstvo pôdohospodárstva a rozvoja vidieka Slovenskej republiky</w:t>
            </w:r>
          </w:p>
        </w:tc>
        <w:tc>
          <w:tcPr>
            <w:vAlign w:val="top"/>
          </w:tcPr>
          <w:p>
            <w:pPr>
              <w:spacing w:after="0"/>
              <w:jc w:val="center"/>
            </w:pPr>
            <w:r>
              <w:rPr>
                <w:b w:val="off"/>
                <w:color w:val="000000"/>
                <w:rFonts w:ascii="Times New Roman" w:hAnsi="Times New Roman" w:cs="Times New Roman" w:eastAsia="Times New Roman"/>
                <w:sz w:val="24"/>
              </w:rPr>
              <w:t>9 (9o,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21.</w:t>
            </w:r>
          </w:p>
        </w:tc>
        <w:tc>
          <w:tcPr>
            <w:vAlign w:val="top"/>
          </w:tcPr>
          <w:p>
            <w:pPr>
              <w:spacing w:after="0"/>
              <w:jc w:val="start"/>
            </w:pPr>
            <w:r>
              <w:rPr>
                <w:b w:val="on"/>
                <w:color w:val="000000"/>
                <w:rFonts w:ascii="Times New Roman" w:hAnsi="Times New Roman" w:cs="Times New Roman" w:eastAsia="Times New Roman"/>
                <w:sz w:val="24"/>
              </w:rPr>
              <w:t>MPSVRSR</w:t>
            </w:r>
            <w:r>
              <w:rPr>
                <w:b w:val="off"/>
                <w:color w:val="000000"/>
                <w:rFonts w:ascii="Times New Roman" w:hAnsi="Times New Roman" w:cs="Times New Roman" w:eastAsia="Times New Roman"/>
                <w:sz w:val="24"/>
              </w:rPr>
              <w:t xml:space="preserve"> – Ministerstvo práce, sociálnych vecí a rodiny Slovenskej republiky</w:t>
            </w:r>
          </w:p>
        </w:tc>
        <w:tc>
          <w:tcPr>
            <w:vAlign w:val="top"/>
          </w:tcPr>
          <w:p>
            <w:pPr>
              <w:spacing w:after="0"/>
              <w:jc w:val="center"/>
            </w:pPr>
            <w:r>
              <w:rPr>
                <w:b w:val="off"/>
                <w:color w:val="000000"/>
                <w:rFonts w:ascii="Times New Roman" w:hAnsi="Times New Roman" w:cs="Times New Roman" w:eastAsia="Times New Roman"/>
                <w:sz w:val="24"/>
              </w:rPr>
              <w:t>4 (4o,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22.</w:t>
            </w:r>
          </w:p>
        </w:tc>
        <w:tc>
          <w:tcPr>
            <w:vAlign w:val="top"/>
          </w:tcPr>
          <w:p>
            <w:pPr>
              <w:spacing w:after="0"/>
              <w:jc w:val="start"/>
            </w:pPr>
            <w:r>
              <w:rPr>
                <w:b w:val="on"/>
                <w:color w:val="000000"/>
                <w:rFonts w:ascii="Times New Roman" w:hAnsi="Times New Roman" w:cs="Times New Roman" w:eastAsia="Times New Roman"/>
                <w:sz w:val="24"/>
              </w:rPr>
              <w:t>MSSR</w:t>
            </w:r>
            <w:r>
              <w:rPr>
                <w:b w:val="off"/>
                <w:color w:val="000000"/>
                <w:rFonts w:ascii="Times New Roman" w:hAnsi="Times New Roman" w:cs="Times New Roman" w:eastAsia="Times New Roman"/>
                <w:sz w:val="24"/>
              </w:rPr>
              <w:t xml:space="preserve"> – Ministerstvo spravodlivosti Slovenskej republiky</w:t>
            </w:r>
          </w:p>
        </w:tc>
        <w:tc>
          <w:tcPr>
            <w:vAlign w:val="top"/>
          </w:tcPr>
          <w:p>
            <w:pPr>
              <w:spacing w:after="0"/>
              <w:jc w:val="center"/>
            </w:pPr>
            <w:r>
              <w:rPr>
                <w:b w:val="off"/>
                <w:color w:val="000000"/>
                <w:rFonts w:ascii="Times New Roman" w:hAnsi="Times New Roman" w:cs="Times New Roman" w:eastAsia="Times New Roman"/>
                <w:sz w:val="24"/>
              </w:rPr>
              <w:t>10 (7o, 3z)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23.</w:t>
            </w:r>
          </w:p>
        </w:tc>
        <w:tc>
          <w:tcPr>
            <w:vAlign w:val="top"/>
          </w:tcPr>
          <w:p>
            <w:pPr>
              <w:spacing w:after="0"/>
              <w:jc w:val="start"/>
            </w:pPr>
            <w:r>
              <w:rPr>
                <w:b w:val="on"/>
                <w:color w:val="000000"/>
                <w:rFonts w:ascii="Times New Roman" w:hAnsi="Times New Roman" w:cs="Times New Roman" w:eastAsia="Times New Roman"/>
                <w:sz w:val="24"/>
              </w:rPr>
              <w:t>MVSR</w:t>
            </w:r>
            <w:r>
              <w:rPr>
                <w:b w:val="off"/>
                <w:color w:val="000000"/>
                <w:rFonts w:ascii="Times New Roman" w:hAnsi="Times New Roman" w:cs="Times New Roman" w:eastAsia="Times New Roman"/>
                <w:sz w:val="24"/>
              </w:rPr>
              <w:t xml:space="preserve"> – Ministerstvo vnútra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24.</w:t>
            </w:r>
          </w:p>
        </w:tc>
        <w:tc>
          <w:tcPr>
            <w:vAlign w:val="top"/>
          </w:tcPr>
          <w:p>
            <w:pPr>
              <w:spacing w:after="0"/>
              <w:jc w:val="start"/>
            </w:pPr>
            <w:r>
              <w:rPr>
                <w:b w:val="on"/>
                <w:color w:val="000000"/>
                <w:rFonts w:ascii="Times New Roman" w:hAnsi="Times New Roman" w:cs="Times New Roman" w:eastAsia="Times New Roman"/>
                <w:sz w:val="24"/>
              </w:rPr>
              <w:t>MZSR</w:t>
            </w:r>
            <w:r>
              <w:rPr>
                <w:b w:val="off"/>
                <w:color w:val="000000"/>
                <w:rFonts w:ascii="Times New Roman" w:hAnsi="Times New Roman" w:cs="Times New Roman" w:eastAsia="Times New Roman"/>
                <w:sz w:val="24"/>
              </w:rPr>
              <w:t xml:space="preserve"> – Ministerstvo zdravotníctva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25.</w:t>
            </w:r>
          </w:p>
        </w:tc>
        <w:tc>
          <w:tcPr>
            <w:vAlign w:val="top"/>
          </w:tcPr>
          <w:p>
            <w:pPr>
              <w:spacing w:after="0"/>
              <w:jc w:val="start"/>
            </w:pPr>
            <w:r>
              <w:rPr>
                <w:b w:val="on"/>
                <w:color w:val="000000"/>
                <w:rFonts w:ascii="Times New Roman" w:hAnsi="Times New Roman" w:cs="Times New Roman" w:eastAsia="Times New Roman"/>
                <w:sz w:val="24"/>
              </w:rPr>
              <w:t>MZVEZ SR</w:t>
            </w:r>
            <w:r>
              <w:rPr>
                <w:b w:val="off"/>
                <w:color w:val="000000"/>
                <w:rFonts w:ascii="Times New Roman" w:hAnsi="Times New Roman" w:cs="Times New Roman" w:eastAsia="Times New Roman"/>
                <w:sz w:val="24"/>
              </w:rPr>
              <w:t xml:space="preserve"> – Ministerstvo zahraničných vecí a európskych záležitostí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26.</w:t>
            </w:r>
          </w:p>
        </w:tc>
        <w:tc>
          <w:tcPr>
            <w:vAlign w:val="top"/>
          </w:tcPr>
          <w:p>
            <w:pPr>
              <w:spacing w:after="0"/>
              <w:jc w:val="start"/>
            </w:pPr>
            <w:r>
              <w:rPr>
                <w:b w:val="on"/>
                <w:color w:val="000000"/>
                <w:rFonts w:ascii="Times New Roman" w:hAnsi="Times New Roman" w:cs="Times New Roman" w:eastAsia="Times New Roman"/>
                <w:sz w:val="24"/>
              </w:rPr>
              <w:t>MŠVVaMSR</w:t>
            </w:r>
            <w:r>
              <w:rPr>
                <w:b w:val="off"/>
                <w:color w:val="000000"/>
                <w:rFonts w:ascii="Times New Roman" w:hAnsi="Times New Roman" w:cs="Times New Roman" w:eastAsia="Times New Roman"/>
                <w:sz w:val="24"/>
              </w:rPr>
              <w:t xml:space="preserve"> – Ministerstvo školstva,výskumu,vývoja a mládeže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27.</w:t>
            </w:r>
          </w:p>
        </w:tc>
        <w:tc>
          <w:tcPr>
            <w:vAlign w:val="top"/>
          </w:tcPr>
          <w:p>
            <w:pPr>
              <w:spacing w:after="0"/>
              <w:jc w:val="start"/>
            </w:pPr>
            <w:r>
              <w:rPr>
                <w:b w:val="on"/>
                <w:color w:val="000000"/>
                <w:rFonts w:ascii="Times New Roman" w:hAnsi="Times New Roman" w:cs="Times New Roman" w:eastAsia="Times New Roman"/>
                <w:sz w:val="24"/>
              </w:rPr>
              <w:t>MŽPSR</w:t>
            </w:r>
            <w:r>
              <w:rPr>
                <w:b w:val="off"/>
                <w:color w:val="000000"/>
                <w:rFonts w:ascii="Times New Roman" w:hAnsi="Times New Roman" w:cs="Times New Roman" w:eastAsia="Times New Roman"/>
                <w:sz w:val="24"/>
              </w:rPr>
              <w:t xml:space="preserve"> – Ministerstvo životného prostredia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28.</w:t>
            </w:r>
          </w:p>
        </w:tc>
        <w:tc>
          <w:tcPr>
            <w:vAlign w:val="top"/>
          </w:tcPr>
          <w:p>
            <w:pPr>
              <w:spacing w:after="0"/>
              <w:jc w:val="start"/>
            </w:pPr>
            <w:r>
              <w:rPr>
                <w:b w:val="on"/>
                <w:color w:val="000000"/>
                <w:rFonts w:ascii="Times New Roman" w:hAnsi="Times New Roman" w:cs="Times New Roman" w:eastAsia="Times New Roman"/>
                <w:sz w:val="24"/>
              </w:rPr>
              <w:t>NBS</w:t>
            </w:r>
            <w:r>
              <w:rPr>
                <w:b w:val="off"/>
                <w:color w:val="000000"/>
                <w:rFonts w:ascii="Times New Roman" w:hAnsi="Times New Roman" w:cs="Times New Roman" w:eastAsia="Times New Roman"/>
                <w:sz w:val="24"/>
              </w:rPr>
              <w:t xml:space="preserve"> – Národná banka Slovenska</w:t>
            </w:r>
          </w:p>
        </w:tc>
        <w:tc>
          <w:tcPr>
            <w:vAlign w:val="top"/>
          </w:tcPr>
          <w:p>
            <w:pPr>
              <w:spacing w:after="0"/>
              <w:jc w:val="center"/>
            </w:pPr>
            <w:r>
              <w:rPr>
                <w:b w:val="off"/>
                <w:color w:val="000000"/>
                <w:rFonts w:ascii="Times New Roman" w:hAnsi="Times New Roman" w:cs="Times New Roman" w:eastAsia="Times New Roman"/>
                <w:sz w:val="24"/>
              </w:rPr>
              <w:t>4 (3o, 1z)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29.</w:t>
            </w:r>
          </w:p>
        </w:tc>
        <w:tc>
          <w:tcPr>
            <w:vAlign w:val="top"/>
          </w:tcPr>
          <w:p>
            <w:pPr>
              <w:spacing w:after="0"/>
              <w:jc w:val="start"/>
            </w:pPr>
            <w:r>
              <w:rPr>
                <w:b w:val="on"/>
                <w:color w:val="000000"/>
                <w:rFonts w:ascii="Times New Roman" w:hAnsi="Times New Roman" w:cs="Times New Roman" w:eastAsia="Times New Roman"/>
                <w:sz w:val="24"/>
              </w:rPr>
              <w:t>NBÚ</w:t>
            </w:r>
            <w:r>
              <w:rPr>
                <w:b w:val="off"/>
                <w:color w:val="000000"/>
                <w:rFonts w:ascii="Times New Roman" w:hAnsi="Times New Roman" w:cs="Times New Roman" w:eastAsia="Times New Roman"/>
                <w:sz w:val="24"/>
              </w:rPr>
              <w:t xml:space="preserve"> – Národný bezpečnostný úrad</w:t>
            </w:r>
          </w:p>
        </w:tc>
        <w:tc>
          <w:tcPr>
            <w:vAlign w:val="top"/>
          </w:tcPr>
          <w:p>
            <w:pPr>
              <w:spacing w:after="0"/>
              <w:jc w:val="center"/>
            </w:pPr>
            <w:r>
              <w:rPr>
                <w:b w:val="off"/>
                <w:color w:val="000000"/>
                <w:rFonts w:ascii="Times New Roman" w:hAnsi="Times New Roman" w:cs="Times New Roman" w:eastAsia="Times New Roman"/>
                <w:sz w:val="24"/>
              </w:rPr>
              <w:t>1 (0o, 1z)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30.</w:t>
            </w:r>
          </w:p>
        </w:tc>
        <w:tc>
          <w:tcPr>
            <w:vAlign w:val="top"/>
          </w:tcPr>
          <w:p>
            <w:pPr>
              <w:spacing w:after="0"/>
              <w:jc w:val="start"/>
            </w:pPr>
            <w:r>
              <w:rPr>
                <w:b w:val="on"/>
                <w:color w:val="000000"/>
                <w:rFonts w:ascii="Times New Roman" w:hAnsi="Times New Roman" w:cs="Times New Roman" w:eastAsia="Times New Roman"/>
                <w:sz w:val="24"/>
              </w:rPr>
              <w:t>NKÚSR</w:t>
            </w:r>
            <w:r>
              <w:rPr>
                <w:b w:val="off"/>
                <w:color w:val="000000"/>
                <w:rFonts w:ascii="Times New Roman" w:hAnsi="Times New Roman" w:cs="Times New Roman" w:eastAsia="Times New Roman"/>
                <w:sz w:val="24"/>
              </w:rPr>
              <w:t xml:space="preserve"> – Najvyšší kontrolný úrad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31.</w:t>
            </w:r>
          </w:p>
        </w:tc>
        <w:tc>
          <w:tcPr>
            <w:vAlign w:val="top"/>
          </w:tcPr>
          <w:p>
            <w:pPr>
              <w:spacing w:after="0"/>
              <w:jc w:val="start"/>
            </w:pPr>
            <w:r>
              <w:rPr>
                <w:b w:val="on"/>
                <w:color w:val="000000"/>
                <w:rFonts w:ascii="Times New Roman" w:hAnsi="Times New Roman" w:cs="Times New Roman" w:eastAsia="Times New Roman"/>
                <w:sz w:val="24"/>
              </w:rPr>
              <w:t>NSK</w:t>
            </w:r>
            <w:r>
              <w:rPr>
                <w:b w:val="off"/>
                <w:color w:val="000000"/>
                <w:rFonts w:ascii="Times New Roman" w:hAnsi="Times New Roman" w:cs="Times New Roman" w:eastAsia="Times New Roman"/>
                <w:sz w:val="24"/>
              </w:rPr>
              <w:t xml:space="preserve"> – Nitriansky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32.</w:t>
            </w:r>
          </w:p>
        </w:tc>
        <w:tc>
          <w:tcPr>
            <w:vAlign w:val="top"/>
          </w:tcPr>
          <w:p>
            <w:pPr>
              <w:spacing w:after="0"/>
              <w:jc w:val="start"/>
            </w:pPr>
            <w:r>
              <w:rPr>
                <w:b w:val="on"/>
                <w:color w:val="000000"/>
                <w:rFonts w:ascii="Times New Roman" w:hAnsi="Times New Roman" w:cs="Times New Roman" w:eastAsia="Times New Roman"/>
                <w:sz w:val="24"/>
              </w:rPr>
              <w:t>NSSR</w:t>
            </w:r>
            <w:r>
              <w:rPr>
                <w:b w:val="off"/>
                <w:color w:val="000000"/>
                <w:rFonts w:ascii="Times New Roman" w:hAnsi="Times New Roman" w:cs="Times New Roman" w:eastAsia="Times New Roman"/>
                <w:sz w:val="24"/>
              </w:rPr>
              <w:t xml:space="preserve"> – Najvyšší súd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33.</w:t>
            </w:r>
          </w:p>
        </w:tc>
        <w:tc>
          <w:tcPr>
            <w:vAlign w:val="top"/>
          </w:tcPr>
          <w:p>
            <w:pPr>
              <w:spacing w:after="0"/>
              <w:jc w:val="start"/>
            </w:pPr>
            <w:r>
              <w:rPr>
                <w:b w:val="on"/>
                <w:color w:val="000000"/>
                <w:rFonts w:ascii="Times New Roman" w:hAnsi="Times New Roman" w:cs="Times New Roman" w:eastAsia="Times New Roman"/>
                <w:sz w:val="24"/>
              </w:rPr>
              <w:t>OAPSVLÚVSR</w:t>
            </w:r>
            <w:r>
              <w:rPr>
                <w:b w:val="off"/>
                <w:color w:val="000000"/>
                <w:rFonts w:ascii="Times New Roman" w:hAnsi="Times New Roman" w:cs="Times New Roman" w:eastAsia="Times New Roman"/>
                <w:sz w:val="24"/>
              </w:rPr>
              <w:t xml:space="preserve"> – Odbor aproximácie práva sekcie vládnej legislatívy Úradu vlády SR</w:t>
            </w:r>
          </w:p>
        </w:tc>
        <w:tc>
          <w:tcPr>
            <w:vAlign w:val="top"/>
          </w:tcPr>
          <w:p>
            <w:pPr>
              <w:spacing w:after="0"/>
              <w:jc w:val="center"/>
            </w:pPr>
            <w:r>
              <w:rPr>
                <w:b w:val="off"/>
                <w:color w:val="000000"/>
                <w:rFonts w:ascii="Times New Roman" w:hAnsi="Times New Roman" w:cs="Times New Roman" w:eastAsia="Times New Roman"/>
                <w:sz w:val="24"/>
              </w:rPr>
              <w:t>52 (52o,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34.</w:t>
            </w:r>
          </w:p>
        </w:tc>
        <w:tc>
          <w:tcPr>
            <w:vAlign w:val="top"/>
          </w:tcPr>
          <w:p>
            <w:pPr>
              <w:spacing w:after="0"/>
              <w:jc w:val="start"/>
            </w:pPr>
            <w:r>
              <w:rPr>
                <w:b w:val="on"/>
                <w:color w:val="000000"/>
                <w:rFonts w:ascii="Times New Roman" w:hAnsi="Times New Roman" w:cs="Times New Roman" w:eastAsia="Times New Roman"/>
                <w:sz w:val="24"/>
              </w:rPr>
              <w:t>PMÚSR</w:t>
            </w:r>
            <w:r>
              <w:rPr>
                <w:b w:val="off"/>
                <w:color w:val="000000"/>
                <w:rFonts w:ascii="Times New Roman" w:hAnsi="Times New Roman" w:cs="Times New Roman" w:eastAsia="Times New Roman"/>
                <w:sz w:val="24"/>
              </w:rPr>
              <w:t xml:space="preserve"> – Protimonopolný úrad Slovenskej republiky</w:t>
            </w:r>
          </w:p>
        </w:tc>
        <w:tc>
          <w:tcPr>
            <w:vAlign w:val="top"/>
          </w:tcPr>
          <w:p>
            <w:pPr>
              <w:spacing w:after="0"/>
              <w:jc w:val="center"/>
            </w:pPr>
            <w:r>
              <w:rPr>
                <w:b w:val="off"/>
                <w:color w:val="000000"/>
                <w:rFonts w:ascii="Times New Roman" w:hAnsi="Times New Roman" w:cs="Times New Roman" w:eastAsia="Times New Roman"/>
                <w:sz w:val="24"/>
              </w:rPr>
              <w:t>2 (2o,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35.</w:t>
            </w:r>
          </w:p>
        </w:tc>
        <w:tc>
          <w:tcPr>
            <w:vAlign w:val="top"/>
          </w:tcPr>
          <w:p>
            <w:pPr>
              <w:spacing w:after="0"/>
              <w:jc w:val="start"/>
            </w:pPr>
            <w:r>
              <w:rPr>
                <w:b w:val="on"/>
                <w:color w:val="000000"/>
                <w:rFonts w:ascii="Times New Roman" w:hAnsi="Times New Roman" w:cs="Times New Roman" w:eastAsia="Times New Roman"/>
                <w:sz w:val="24"/>
              </w:rPr>
              <w:t>PSK</w:t>
            </w:r>
            <w:r>
              <w:rPr>
                <w:b w:val="off"/>
                <w:color w:val="000000"/>
                <w:rFonts w:ascii="Times New Roman" w:hAnsi="Times New Roman" w:cs="Times New Roman" w:eastAsia="Times New Roman"/>
                <w:sz w:val="24"/>
              </w:rPr>
              <w:t xml:space="preserve"> – Prešovský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36.</w:t>
            </w:r>
          </w:p>
        </w:tc>
        <w:tc>
          <w:tcPr>
            <w:vAlign w:val="top"/>
          </w:tcPr>
          <w:p>
            <w:pPr>
              <w:spacing w:after="0"/>
              <w:jc w:val="start"/>
            </w:pPr>
            <w:r>
              <w:rPr>
                <w:b w:val="on"/>
                <w:color w:val="000000"/>
                <w:rFonts w:ascii="Times New Roman" w:hAnsi="Times New Roman" w:cs="Times New Roman" w:eastAsia="Times New Roman"/>
                <w:sz w:val="24"/>
              </w:rPr>
              <w:t>RÚZSR</w:t>
            </w:r>
            <w:r>
              <w:rPr>
                <w:b w:val="off"/>
                <w:color w:val="000000"/>
                <w:rFonts w:ascii="Times New Roman" w:hAnsi="Times New Roman" w:cs="Times New Roman" w:eastAsia="Times New Roman"/>
                <w:sz w:val="24"/>
              </w:rPr>
              <w:t xml:space="preserve"> – Republiková únia zamestnávateľov</w:t>
            </w:r>
          </w:p>
        </w:tc>
        <w:tc>
          <w:tcPr>
            <w:vAlign w:val="top"/>
          </w:tcPr>
          <w:p>
            <w:pPr>
              <w:spacing w:after="0"/>
              <w:jc w:val="center"/>
            </w:pPr>
            <w:r>
              <w:rPr>
                <w:b w:val="off"/>
                <w:color w:val="000000"/>
                <w:rFonts w:ascii="Times New Roman" w:hAnsi="Times New Roman" w:cs="Times New Roman" w:eastAsia="Times New Roman"/>
                <w:sz w:val="24"/>
              </w:rPr>
              <w:t>4 (0o, 4z)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37.</w:t>
            </w:r>
          </w:p>
        </w:tc>
        <w:tc>
          <w:tcPr>
            <w:vAlign w:val="top"/>
          </w:tcPr>
          <w:p>
            <w:pPr>
              <w:spacing w:after="0"/>
              <w:jc w:val="start"/>
            </w:pPr>
            <w:r>
              <w:rPr>
                <w:b w:val="on"/>
                <w:color w:val="000000"/>
                <w:rFonts w:ascii="Times New Roman" w:hAnsi="Times New Roman" w:cs="Times New Roman" w:eastAsia="Times New Roman"/>
                <w:sz w:val="24"/>
              </w:rPr>
              <w:t>SACKA</w:t>
            </w:r>
            <w:r>
              <w:rPr>
                <w:b w:val="off"/>
                <w:color w:val="000000"/>
                <w:rFonts w:ascii="Times New Roman" w:hAnsi="Times New Roman" w:cs="Times New Roman" w:eastAsia="Times New Roman"/>
                <w:sz w:val="24"/>
              </w:rPr>
              <w:t xml:space="preserve"> – Slovenská asociácia cestovných kancelárií a cestovných agentúr</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38.</w:t>
            </w:r>
          </w:p>
        </w:tc>
        <w:tc>
          <w:tcPr>
            <w:vAlign w:val="top"/>
          </w:tcPr>
          <w:p>
            <w:pPr>
              <w:spacing w:after="0"/>
              <w:jc w:val="start"/>
            </w:pPr>
            <w:r>
              <w:rPr>
                <w:b w:val="on"/>
                <w:color w:val="000000"/>
                <w:rFonts w:ascii="Times New Roman" w:hAnsi="Times New Roman" w:cs="Times New Roman" w:eastAsia="Times New Roman"/>
                <w:sz w:val="24"/>
              </w:rPr>
              <w:t>SBA</w:t>
            </w:r>
            <w:r>
              <w:rPr>
                <w:b w:val="off"/>
                <w:color w:val="000000"/>
                <w:rFonts w:ascii="Times New Roman" w:hAnsi="Times New Roman" w:cs="Times New Roman" w:eastAsia="Times New Roman"/>
                <w:sz w:val="24"/>
              </w:rPr>
              <w:t xml:space="preserve"> – Slovenská banková asociácia</w:t>
            </w:r>
          </w:p>
        </w:tc>
        <w:tc>
          <w:tcPr>
            <w:vAlign w:val="top"/>
          </w:tcPr>
          <w:p>
            <w:pPr>
              <w:spacing w:after="0"/>
              <w:jc w:val="center"/>
            </w:pPr>
            <w:r>
              <w:rPr>
                <w:b w:val="off"/>
                <w:color w:val="000000"/>
                <w:rFonts w:ascii="Times New Roman" w:hAnsi="Times New Roman" w:cs="Times New Roman" w:eastAsia="Times New Roman"/>
                <w:sz w:val="24"/>
              </w:rPr>
              <w:t>1 (1o,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39.</w:t>
            </w:r>
          </w:p>
        </w:tc>
        <w:tc>
          <w:tcPr>
            <w:vAlign w:val="top"/>
          </w:tcPr>
          <w:p>
            <w:pPr>
              <w:spacing w:after="0"/>
              <w:jc w:val="start"/>
            </w:pPr>
            <w:r>
              <w:rPr>
                <w:b w:val="on"/>
                <w:color w:val="000000"/>
                <w:rFonts w:ascii="Times New Roman" w:hAnsi="Times New Roman" w:cs="Times New Roman" w:eastAsia="Times New Roman"/>
                <w:sz w:val="24"/>
              </w:rPr>
              <w:t>SIS</w:t>
            </w:r>
            <w:r>
              <w:rPr>
                <w:b w:val="off"/>
                <w:color w:val="000000"/>
                <w:rFonts w:ascii="Times New Roman" w:hAnsi="Times New Roman" w:cs="Times New Roman" w:eastAsia="Times New Roman"/>
                <w:sz w:val="24"/>
              </w:rPr>
              <w:t xml:space="preserve"> – Slovenská informačná služba</w:t>
            </w:r>
          </w:p>
        </w:tc>
        <w:tc>
          <w:tcPr>
            <w:vAlign w:val="top"/>
          </w:tcPr>
          <w:p>
            <w:pPr>
              <w:spacing w:after="0"/>
              <w:jc w:val="center"/>
            </w:pPr>
            <w:r>
              <w:rPr>
                <w:b w:val="off"/>
                <w:color w:val="000000"/>
                <w:rFonts w:ascii="Times New Roman" w:hAnsi="Times New Roman" w:cs="Times New Roman" w:eastAsia="Times New Roman"/>
                <w:sz w:val="24"/>
              </w:rPr>
              <w:t>7 (7o,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40.</w:t>
            </w:r>
          </w:p>
        </w:tc>
        <w:tc>
          <w:tcPr>
            <w:vAlign w:val="top"/>
          </w:tcPr>
          <w:p>
            <w:pPr>
              <w:spacing w:after="0"/>
              <w:jc w:val="start"/>
            </w:pPr>
            <w:r>
              <w:rPr>
                <w:b w:val="on"/>
                <w:color w:val="000000"/>
                <w:rFonts w:ascii="Times New Roman" w:hAnsi="Times New Roman" w:cs="Times New Roman" w:eastAsia="Times New Roman"/>
                <w:sz w:val="24"/>
              </w:rPr>
              <w:t>SK8</w:t>
            </w:r>
            <w:r>
              <w:rPr>
                <w:b w:val="off"/>
                <w:color w:val="000000"/>
                <w:rFonts w:ascii="Times New Roman" w:hAnsi="Times New Roman" w:cs="Times New Roman" w:eastAsia="Times New Roman"/>
                <w:sz w:val="24"/>
              </w:rPr>
              <w:t xml:space="preserve"> – Samosprávne kraje Slovenska</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41.</w:t>
            </w:r>
          </w:p>
        </w:tc>
        <w:tc>
          <w:tcPr>
            <w:vAlign w:val="top"/>
          </w:tcPr>
          <w:p>
            <w:pPr>
              <w:spacing w:after="0"/>
              <w:jc w:val="start"/>
            </w:pPr>
            <w:r>
              <w:rPr>
                <w:b w:val="on"/>
                <w:color w:val="000000"/>
                <w:rFonts w:ascii="Times New Roman" w:hAnsi="Times New Roman" w:cs="Times New Roman" w:eastAsia="Times New Roman"/>
                <w:sz w:val="24"/>
              </w:rPr>
              <w:t>SPPK</w:t>
            </w:r>
            <w:r>
              <w:rPr>
                <w:b w:val="off"/>
                <w:color w:val="000000"/>
                <w:rFonts w:ascii="Times New Roman" w:hAnsi="Times New Roman" w:cs="Times New Roman" w:eastAsia="Times New Roman"/>
                <w:sz w:val="24"/>
              </w:rPr>
              <w:t xml:space="preserve"> – Slovenská poľnohospodárska a potravinárska komora</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42.</w:t>
            </w:r>
          </w:p>
        </w:tc>
        <w:tc>
          <w:tcPr>
            <w:vAlign w:val="top"/>
          </w:tcPr>
          <w:p>
            <w:pPr>
              <w:spacing w:after="0"/>
              <w:jc w:val="start"/>
            </w:pPr>
            <w:r>
              <w:rPr>
                <w:b w:val="on"/>
                <w:color w:val="000000"/>
                <w:rFonts w:ascii="Times New Roman" w:hAnsi="Times New Roman" w:cs="Times New Roman" w:eastAsia="Times New Roman"/>
                <w:sz w:val="24"/>
              </w:rPr>
              <w:t>SVSLPRK</w:t>
            </w:r>
            <w:r>
              <w:rPr>
                <w:b w:val="off"/>
                <w:color w:val="000000"/>
                <w:rFonts w:ascii="Times New Roman" w:hAnsi="Times New Roman" w:cs="Times New Roman" w:eastAsia="Times New Roman"/>
                <w:sz w:val="24"/>
              </w:rPr>
              <w:t xml:space="preserve"> – Splnomocnenec vlády Slovenskej republiky pre rómske komunity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43.</w:t>
            </w:r>
          </w:p>
        </w:tc>
        <w:tc>
          <w:tcPr>
            <w:vAlign w:val="top"/>
          </w:tcPr>
          <w:p>
            <w:pPr>
              <w:spacing w:after="0"/>
              <w:jc w:val="start"/>
            </w:pPr>
            <w:r>
              <w:rPr>
                <w:b w:val="on"/>
                <w:color w:val="000000"/>
                <w:rFonts w:ascii="Times New Roman" w:hAnsi="Times New Roman" w:cs="Times New Roman" w:eastAsia="Times New Roman"/>
                <w:sz w:val="24"/>
              </w:rPr>
              <w:t>Slovenská advokátska komora</w:t>
            </w:r>
            <w:r>
              <w:rPr>
                <w:b w:val="off"/>
                <w:color w:val="000000"/>
                <w:rFonts w:ascii="Times New Roman" w:hAnsi="Times New Roman" w:cs="Times New Roman" w:eastAsia="Times New Roman"/>
                <w:sz w:val="24"/>
              </w:rPr>
              <w:t xml:space="preserve"> – Slovenská advokátska komora</w:t>
            </w:r>
          </w:p>
        </w:tc>
        <w:tc>
          <w:tcPr>
            <w:vAlign w:val="top"/>
          </w:tcPr>
          <w:p>
            <w:pPr>
              <w:spacing w:after="0"/>
              <w:jc w:val="center"/>
            </w:pPr>
            <w:r>
              <w:rPr>
                <w:b w:val="off"/>
                <w:color w:val="000000"/>
                <w:rFonts w:ascii="Times New Roman" w:hAnsi="Times New Roman" w:cs="Times New Roman" w:eastAsia="Times New Roman"/>
                <w:sz w:val="24"/>
              </w:rPr>
              <w:t>4 (4o,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44.</w:t>
            </w:r>
          </w:p>
        </w:tc>
        <w:tc>
          <w:tcPr>
            <w:vAlign w:val="top"/>
          </w:tcPr>
          <w:p>
            <w:pPr>
              <w:spacing w:after="0"/>
              <w:jc w:val="start"/>
            </w:pPr>
            <w:r>
              <w:rPr>
                <w:b w:val="on"/>
                <w:color w:val="000000"/>
                <w:rFonts w:ascii="Times New Roman" w:hAnsi="Times New Roman" w:cs="Times New Roman" w:eastAsia="Times New Roman"/>
                <w:sz w:val="24"/>
              </w:rPr>
              <w:t>SŠHRSR</w:t>
            </w:r>
            <w:r>
              <w:rPr>
                <w:b w:val="off"/>
                <w:color w:val="000000"/>
                <w:rFonts w:ascii="Times New Roman" w:hAnsi="Times New Roman" w:cs="Times New Roman" w:eastAsia="Times New Roman"/>
                <w:sz w:val="24"/>
              </w:rPr>
              <w:t xml:space="preserve"> – Správa štátnych hmotných rezerv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45.</w:t>
            </w:r>
          </w:p>
        </w:tc>
        <w:tc>
          <w:tcPr>
            <w:vAlign w:val="top"/>
          </w:tcPr>
          <w:p>
            <w:pPr>
              <w:spacing w:after="0"/>
              <w:jc w:val="start"/>
            </w:pPr>
            <w:r>
              <w:rPr>
                <w:b w:val="on"/>
                <w:color w:val="000000"/>
                <w:rFonts w:ascii="Times New Roman" w:hAnsi="Times New Roman" w:cs="Times New Roman" w:eastAsia="Times New Roman"/>
                <w:sz w:val="24"/>
              </w:rPr>
              <w:t>TSK</w:t>
            </w:r>
            <w:r>
              <w:rPr>
                <w:b w:val="off"/>
                <w:color w:val="000000"/>
                <w:rFonts w:ascii="Times New Roman" w:hAnsi="Times New Roman" w:cs="Times New Roman" w:eastAsia="Times New Roman"/>
                <w:sz w:val="24"/>
              </w:rPr>
              <w:t xml:space="preserve"> – Trenčiansky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46.</w:t>
            </w:r>
          </w:p>
        </w:tc>
        <w:tc>
          <w:tcPr>
            <w:vAlign w:val="top"/>
          </w:tcPr>
          <w:p>
            <w:pPr>
              <w:spacing w:after="0"/>
              <w:jc w:val="start"/>
            </w:pPr>
            <w:r>
              <w:rPr>
                <w:b w:val="on"/>
                <w:color w:val="000000"/>
                <w:rFonts w:ascii="Times New Roman" w:hAnsi="Times New Roman" w:cs="Times New Roman" w:eastAsia="Times New Roman"/>
                <w:sz w:val="24"/>
              </w:rPr>
              <w:t>TTSK</w:t>
            </w:r>
            <w:r>
              <w:rPr>
                <w:b w:val="off"/>
                <w:color w:val="000000"/>
                <w:rFonts w:ascii="Times New Roman" w:hAnsi="Times New Roman" w:cs="Times New Roman" w:eastAsia="Times New Roman"/>
                <w:sz w:val="24"/>
              </w:rPr>
              <w:t xml:space="preserve"> – Trnavský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47.</w:t>
            </w:r>
          </w:p>
        </w:tc>
        <w:tc>
          <w:tcPr>
            <w:vAlign w:val="top"/>
          </w:tcPr>
          <w:p>
            <w:pPr>
              <w:spacing w:after="0"/>
              <w:jc w:val="start"/>
            </w:pPr>
            <w:r>
              <w:rPr>
                <w:b w:val="on"/>
                <w:color w:val="000000"/>
                <w:rFonts w:ascii="Times New Roman" w:hAnsi="Times New Roman" w:cs="Times New Roman" w:eastAsia="Times New Roman"/>
                <w:sz w:val="24"/>
              </w:rPr>
              <w:t>UOOU SR</w:t>
            </w:r>
            <w:r>
              <w:rPr>
                <w:b w:val="off"/>
                <w:color w:val="000000"/>
                <w:rFonts w:ascii="Times New Roman" w:hAnsi="Times New Roman" w:cs="Times New Roman" w:eastAsia="Times New Roman"/>
                <w:sz w:val="24"/>
              </w:rPr>
              <w:t xml:space="preserve"> – Úrad na ochranu osobných údajov Slovenskej republiky</w:t>
            </w:r>
          </w:p>
        </w:tc>
        <w:tc>
          <w:tcPr>
            <w:vAlign w:val="top"/>
          </w:tcPr>
          <w:p>
            <w:pPr>
              <w:spacing w:after="0"/>
              <w:jc w:val="center"/>
            </w:pPr>
            <w:r>
              <w:rPr>
                <w:b w:val="off"/>
                <w:color w:val="000000"/>
                <w:rFonts w:ascii="Times New Roman" w:hAnsi="Times New Roman" w:cs="Times New Roman" w:eastAsia="Times New Roman"/>
                <w:sz w:val="24"/>
              </w:rPr>
              <w:t>6 (0o, 6z)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48.</w:t>
            </w:r>
          </w:p>
        </w:tc>
        <w:tc>
          <w:tcPr>
            <w:vAlign w:val="top"/>
          </w:tcPr>
          <w:p>
            <w:pPr>
              <w:spacing w:after="0"/>
              <w:jc w:val="start"/>
            </w:pPr>
            <w:r>
              <w:rPr>
                <w:b w:val="on"/>
                <w:color w:val="000000"/>
                <w:rFonts w:ascii="Times New Roman" w:hAnsi="Times New Roman" w:cs="Times New Roman" w:eastAsia="Times New Roman"/>
                <w:sz w:val="24"/>
              </w:rPr>
              <w:t>UPVSR POaZE</w:t>
            </w:r>
            <w:r>
              <w:rPr>
                <w:b w:val="off"/>
                <w:color w:val="000000"/>
                <w:rFonts w:ascii="Times New Roman" w:hAnsi="Times New Roman" w:cs="Times New Roman" w:eastAsia="Times New Roman"/>
                <w:sz w:val="24"/>
              </w:rPr>
              <w:t xml:space="preserve"> – Úrad podpredsedu vlády Slovenskej republiky pre Plán obnovy a znalostnú ekonomiku</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49.</w:t>
            </w:r>
          </w:p>
        </w:tc>
        <w:tc>
          <w:tcPr>
            <w:vAlign w:val="top"/>
          </w:tcPr>
          <w:p>
            <w:pPr>
              <w:spacing w:after="0"/>
              <w:jc w:val="start"/>
            </w:pPr>
            <w:r>
              <w:rPr>
                <w:b w:val="on"/>
                <w:color w:val="000000"/>
                <w:rFonts w:ascii="Times New Roman" w:hAnsi="Times New Roman" w:cs="Times New Roman" w:eastAsia="Times New Roman"/>
                <w:sz w:val="24"/>
              </w:rPr>
              <w:t>URSO</w:t>
            </w:r>
            <w:r>
              <w:rPr>
                <w:b w:val="off"/>
                <w:color w:val="000000"/>
                <w:rFonts w:ascii="Times New Roman" w:hAnsi="Times New Roman" w:cs="Times New Roman" w:eastAsia="Times New Roman"/>
                <w:sz w:val="24"/>
              </w:rPr>
              <w:t xml:space="preserve"> – Úrad pre reguláciu sieťových odvetví</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50.</w:t>
            </w:r>
          </w:p>
        </w:tc>
        <w:tc>
          <w:tcPr>
            <w:vAlign w:val="top"/>
          </w:tcPr>
          <w:p>
            <w:pPr>
              <w:spacing w:after="0"/>
              <w:jc w:val="start"/>
            </w:pPr>
            <w:r>
              <w:rPr>
                <w:b w:val="on"/>
                <w:color w:val="000000"/>
                <w:rFonts w:ascii="Times New Roman" w:hAnsi="Times New Roman" w:cs="Times New Roman" w:eastAsia="Times New Roman"/>
                <w:sz w:val="24"/>
              </w:rPr>
              <w:t>UpUPaVSR</w:t>
            </w:r>
            <w:r>
              <w:rPr>
                <w:b w:val="off"/>
                <w:color w:val="000000"/>
                <w:rFonts w:ascii="Times New Roman" w:hAnsi="Times New Roman" w:cs="Times New Roman" w:eastAsia="Times New Roman"/>
                <w:sz w:val="24"/>
              </w:rPr>
              <w:t xml:space="preserve"> – Úrad pre územné plánovanie a výstavbu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51.</w:t>
            </w:r>
          </w:p>
        </w:tc>
        <w:tc>
          <w:tcPr>
            <w:vAlign w:val="top"/>
          </w:tcPr>
          <w:p>
            <w:pPr>
              <w:spacing w:after="0"/>
              <w:jc w:val="start"/>
            </w:pPr>
            <w:r>
              <w:rPr>
                <w:b w:val="on"/>
                <w:color w:val="000000"/>
                <w:rFonts w:ascii="Times New Roman" w:hAnsi="Times New Roman" w:cs="Times New Roman" w:eastAsia="Times New Roman"/>
                <w:sz w:val="24"/>
              </w:rPr>
              <w:t>Verejnosť</w:t>
            </w:r>
            <w:r>
              <w:rPr>
                <w:b w:val="off"/>
                <w:color w:val="000000"/>
                <w:rFonts w:ascii="Times New Roman" w:hAnsi="Times New Roman" w:cs="Times New Roman" w:eastAsia="Times New Roman"/>
                <w:sz w:val="24"/>
              </w:rPr>
              <w:t xml:space="preserve"> – Verejnosť</w:t>
            </w:r>
          </w:p>
        </w:tc>
        <w:tc>
          <w:tcPr>
            <w:vAlign w:val="top"/>
          </w:tcPr>
          <w:p>
            <w:pPr>
              <w:spacing w:after="0"/>
              <w:jc w:val="center"/>
            </w:pPr>
            <w:r>
              <w:rPr>
                <w:b w:val="off"/>
                <w:color w:val="000000"/>
                <w:rFonts w:ascii="Times New Roman" w:hAnsi="Times New Roman" w:cs="Times New Roman" w:eastAsia="Times New Roman"/>
                <w:sz w:val="24"/>
              </w:rPr>
              <w:t>1 (1o,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52.</w:t>
            </w:r>
          </w:p>
        </w:tc>
        <w:tc>
          <w:tcPr>
            <w:vAlign w:val="top"/>
          </w:tcPr>
          <w:p>
            <w:pPr>
              <w:spacing w:after="0"/>
              <w:jc w:val="start"/>
            </w:pPr>
            <w:r>
              <w:rPr>
                <w:b w:val="on"/>
                <w:color w:val="000000"/>
                <w:rFonts w:ascii="Times New Roman" w:hAnsi="Times New Roman" w:cs="Times New Roman" w:eastAsia="Times New Roman"/>
                <w:sz w:val="24"/>
              </w:rPr>
              <w:t>ZMOS</w:t>
            </w:r>
            <w:r>
              <w:rPr>
                <w:b w:val="off"/>
                <w:color w:val="000000"/>
                <w:rFonts w:ascii="Times New Roman" w:hAnsi="Times New Roman" w:cs="Times New Roman" w:eastAsia="Times New Roman"/>
                <w:sz w:val="24"/>
              </w:rPr>
              <w:t xml:space="preserve"> – Združenie miest a obcí Slovenska</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53.</w:t>
            </w:r>
          </w:p>
        </w:tc>
        <w:tc>
          <w:tcPr>
            <w:vAlign w:val="top"/>
          </w:tcPr>
          <w:p>
            <w:pPr>
              <w:spacing w:after="0"/>
              <w:jc w:val="start"/>
            </w:pPr>
            <w:r>
              <w:rPr>
                <w:b w:val="on"/>
                <w:color w:val="000000"/>
                <w:rFonts w:ascii="Times New Roman" w:hAnsi="Times New Roman" w:cs="Times New Roman" w:eastAsia="Times New Roman"/>
                <w:sz w:val="24"/>
              </w:rPr>
              <w:t>hlavné mesto</w:t>
            </w:r>
            <w:r>
              <w:rPr>
                <w:b w:val="off"/>
                <w:color w:val="000000"/>
                <w:rFonts w:ascii="Times New Roman" w:hAnsi="Times New Roman" w:cs="Times New Roman" w:eastAsia="Times New Roman"/>
                <w:sz w:val="24"/>
              </w:rPr>
              <w:t xml:space="preserve"> – Hlavné mesto Slovenskej republiky Bratislava</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54.</w:t>
            </w:r>
          </w:p>
        </w:tc>
        <w:tc>
          <w:tcPr>
            <w:vAlign w:val="top"/>
          </w:tcPr>
          <w:p>
            <w:pPr>
              <w:spacing w:after="0"/>
              <w:jc w:val="start"/>
            </w:pPr>
            <w:r>
              <w:rPr>
                <w:b w:val="on"/>
                <w:color w:val="000000"/>
                <w:rFonts w:ascii="Times New Roman" w:hAnsi="Times New Roman" w:cs="Times New Roman" w:eastAsia="Times New Roman"/>
                <w:sz w:val="24"/>
              </w:rPr>
              <w:t>ÚDZS</w:t>
            </w:r>
            <w:r>
              <w:rPr>
                <w:b w:val="off"/>
                <w:color w:val="000000"/>
                <w:rFonts w:ascii="Times New Roman" w:hAnsi="Times New Roman" w:cs="Times New Roman" w:eastAsia="Times New Roman"/>
                <w:sz w:val="24"/>
              </w:rPr>
              <w:t xml:space="preserve"> – Úrad pre dohľad nad zdravotnou starostlivosťou</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55.</w:t>
            </w:r>
          </w:p>
        </w:tc>
        <w:tc>
          <w:tcPr>
            <w:vAlign w:val="top"/>
          </w:tcPr>
          <w:p>
            <w:pPr>
              <w:spacing w:after="0"/>
              <w:jc w:val="start"/>
            </w:pPr>
            <w:r>
              <w:rPr>
                <w:b w:val="on"/>
                <w:color w:val="000000"/>
                <w:rFonts w:ascii="Times New Roman" w:hAnsi="Times New Roman" w:cs="Times New Roman" w:eastAsia="Times New Roman"/>
                <w:sz w:val="24"/>
              </w:rPr>
              <w:t>ÚGKKSR</w:t>
            </w:r>
            <w:r>
              <w:rPr>
                <w:b w:val="off"/>
                <w:color w:val="000000"/>
                <w:rFonts w:ascii="Times New Roman" w:hAnsi="Times New Roman" w:cs="Times New Roman" w:eastAsia="Times New Roman"/>
                <w:sz w:val="24"/>
              </w:rPr>
              <w:t xml:space="preserve"> – Úrad geodézie, kartografie a katastra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56.</w:t>
            </w:r>
          </w:p>
        </w:tc>
        <w:tc>
          <w:tcPr>
            <w:vAlign w:val="top"/>
          </w:tcPr>
          <w:p>
            <w:pPr>
              <w:spacing w:after="0"/>
              <w:jc w:val="start"/>
            </w:pPr>
            <w:r>
              <w:rPr>
                <w:b w:val="on"/>
                <w:color w:val="000000"/>
                <w:rFonts w:ascii="Times New Roman" w:hAnsi="Times New Roman" w:cs="Times New Roman" w:eastAsia="Times New Roman"/>
                <w:sz w:val="24"/>
              </w:rPr>
              <w:t>ÚJDSR</w:t>
            </w:r>
            <w:r>
              <w:rPr>
                <w:b w:val="off"/>
                <w:color w:val="000000"/>
                <w:rFonts w:ascii="Times New Roman" w:hAnsi="Times New Roman" w:cs="Times New Roman" w:eastAsia="Times New Roman"/>
                <w:sz w:val="24"/>
              </w:rPr>
              <w:t xml:space="preserve"> – Úrad jadrového dozoru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57.</w:t>
            </w:r>
          </w:p>
        </w:tc>
        <w:tc>
          <w:tcPr>
            <w:vAlign w:val="top"/>
          </w:tcPr>
          <w:p>
            <w:pPr>
              <w:spacing w:after="0"/>
              <w:jc w:val="start"/>
            </w:pPr>
            <w:r>
              <w:rPr>
                <w:b w:val="on"/>
                <w:color w:val="000000"/>
                <w:rFonts w:ascii="Times New Roman" w:hAnsi="Times New Roman" w:cs="Times New Roman" w:eastAsia="Times New Roman"/>
                <w:sz w:val="24"/>
              </w:rPr>
              <w:t>ÚMS</w:t>
            </w:r>
            <w:r>
              <w:rPr>
                <w:b w:val="off"/>
                <w:color w:val="000000"/>
                <w:rFonts w:ascii="Times New Roman" w:hAnsi="Times New Roman" w:cs="Times New Roman" w:eastAsia="Times New Roman"/>
                <w:sz w:val="24"/>
              </w:rPr>
              <w:t xml:space="preserve"> – Únia miest Slovenska</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58.</w:t>
            </w:r>
          </w:p>
        </w:tc>
        <w:tc>
          <w:tcPr>
            <w:vAlign w:val="top"/>
          </w:tcPr>
          <w:p>
            <w:pPr>
              <w:spacing w:after="0"/>
              <w:jc w:val="start"/>
            </w:pPr>
            <w:r>
              <w:rPr>
                <w:b w:val="on"/>
                <w:color w:val="000000"/>
                <w:rFonts w:ascii="Times New Roman" w:hAnsi="Times New Roman" w:cs="Times New Roman" w:eastAsia="Times New Roman"/>
                <w:sz w:val="24"/>
              </w:rPr>
              <w:t>ÚNMSSR</w:t>
            </w:r>
            <w:r>
              <w:rPr>
                <w:b w:val="off"/>
                <w:color w:val="000000"/>
                <w:rFonts w:ascii="Times New Roman" w:hAnsi="Times New Roman" w:cs="Times New Roman" w:eastAsia="Times New Roman"/>
                <w:sz w:val="24"/>
              </w:rPr>
              <w:t xml:space="preserve"> – Úrad pre normalizáciu,  metrológiu a skúšobníctvo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59.</w:t>
            </w:r>
          </w:p>
        </w:tc>
        <w:tc>
          <w:tcPr>
            <w:vAlign w:val="top"/>
          </w:tcPr>
          <w:p>
            <w:pPr>
              <w:spacing w:after="0"/>
              <w:jc w:val="start"/>
            </w:pPr>
            <w:r>
              <w:rPr>
                <w:b w:val="on"/>
                <w:color w:val="000000"/>
                <w:rFonts w:ascii="Times New Roman" w:hAnsi="Times New Roman" w:cs="Times New Roman" w:eastAsia="Times New Roman"/>
                <w:sz w:val="24"/>
              </w:rPr>
              <w:t>ÚPVSR</w:t>
            </w:r>
            <w:r>
              <w:rPr>
                <w:b w:val="off"/>
                <w:color w:val="000000"/>
                <w:rFonts w:ascii="Times New Roman" w:hAnsi="Times New Roman" w:cs="Times New Roman" w:eastAsia="Times New Roman"/>
                <w:sz w:val="24"/>
              </w:rPr>
              <w:t xml:space="preserve"> – Úrad priemyselného vlastníctva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60.</w:t>
            </w:r>
          </w:p>
        </w:tc>
        <w:tc>
          <w:tcPr>
            <w:vAlign w:val="top"/>
          </w:tcPr>
          <w:p>
            <w:pPr>
              <w:spacing w:after="0"/>
              <w:jc w:val="start"/>
            </w:pPr>
            <w:r>
              <w:rPr>
                <w:b w:val="on"/>
                <w:color w:val="000000"/>
                <w:rFonts w:ascii="Times New Roman" w:hAnsi="Times New Roman" w:cs="Times New Roman" w:eastAsia="Times New Roman"/>
                <w:sz w:val="24"/>
              </w:rPr>
              <w:t>ÚVO</w:t>
            </w:r>
            <w:r>
              <w:rPr>
                <w:b w:val="off"/>
                <w:color w:val="000000"/>
                <w:rFonts w:ascii="Times New Roman" w:hAnsi="Times New Roman" w:cs="Times New Roman" w:eastAsia="Times New Roman"/>
                <w:sz w:val="24"/>
              </w:rPr>
              <w:t xml:space="preserve"> – Úrad pre verejné obstarávanie</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61.</w:t>
            </w:r>
          </w:p>
        </w:tc>
        <w:tc>
          <w:tcPr>
            <w:vAlign w:val="top"/>
          </w:tcPr>
          <w:p>
            <w:pPr>
              <w:spacing w:after="0"/>
              <w:jc w:val="start"/>
            </w:pPr>
            <w:r>
              <w:rPr>
                <w:b w:val="on"/>
                <w:color w:val="000000"/>
                <w:rFonts w:ascii="Times New Roman" w:hAnsi="Times New Roman" w:cs="Times New Roman" w:eastAsia="Times New Roman"/>
                <w:sz w:val="24"/>
              </w:rPr>
              <w:t>ÚVSR</w:t>
            </w:r>
            <w:r>
              <w:rPr>
                <w:b w:val="off"/>
                <w:color w:val="000000"/>
                <w:rFonts w:ascii="Times New Roman" w:hAnsi="Times New Roman" w:cs="Times New Roman" w:eastAsia="Times New Roman"/>
                <w:sz w:val="24"/>
              </w:rPr>
              <w:t xml:space="preserve"> – Úrad vlády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62.</w:t>
            </w:r>
          </w:p>
        </w:tc>
        <w:tc>
          <w:tcPr>
            <w:vAlign w:val="top"/>
          </w:tcPr>
          <w:p>
            <w:pPr>
              <w:spacing w:after="0"/>
              <w:jc w:val="start"/>
            </w:pPr>
            <w:r>
              <w:rPr>
                <w:b w:val="on"/>
                <w:color w:val="000000"/>
                <w:rFonts w:ascii="Times New Roman" w:hAnsi="Times New Roman" w:cs="Times New Roman" w:eastAsia="Times New Roman"/>
                <w:sz w:val="24"/>
              </w:rPr>
              <w:t>Ústavný súd SR</w:t>
            </w:r>
            <w:r>
              <w:rPr>
                <w:b w:val="off"/>
                <w:color w:val="000000"/>
                <w:rFonts w:ascii="Times New Roman" w:hAnsi="Times New Roman" w:cs="Times New Roman" w:eastAsia="Times New Roman"/>
                <w:sz w:val="24"/>
              </w:rPr>
              <w:t xml:space="preserve"> – Kancelária Ústavného súdu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63.</w:t>
            </w:r>
          </w:p>
        </w:tc>
        <w:tc>
          <w:tcPr>
            <w:vAlign w:val="top"/>
          </w:tcPr>
          <w:p>
            <w:pPr>
              <w:spacing w:after="0"/>
              <w:jc w:val="start"/>
            </w:pPr>
            <w:r>
              <w:rPr>
                <w:b w:val="on"/>
                <w:color w:val="000000"/>
                <w:rFonts w:ascii="Times New Roman" w:hAnsi="Times New Roman" w:cs="Times New Roman" w:eastAsia="Times New Roman"/>
                <w:sz w:val="24"/>
              </w:rPr>
              <w:t>ŠÚSR</w:t>
            </w:r>
            <w:r>
              <w:rPr>
                <w:b w:val="off"/>
                <w:color w:val="000000"/>
                <w:rFonts w:ascii="Times New Roman" w:hAnsi="Times New Roman" w:cs="Times New Roman" w:eastAsia="Times New Roman"/>
                <w:sz w:val="24"/>
              </w:rPr>
              <w:t xml:space="preserve"> – Štatistický úrad Slovenskej republiky</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X</w:t>
            </w:r>
          </w:p>
        </w:tc>
        <w:tc>
          <w:tcPr>
            <w:vAlign w:val="top"/>
          </w:tcPr>
          <w:p>
            <w:pPr>
              <w:spacing w:after="0"/>
              <w:jc w:val="center"/>
            </w:pPr>
            <w:r>
              <w:rPr>
                <w:b w:val="off"/>
                <w:color w:val="000000"/>
                <w:rFonts w:ascii="Times New Roman" w:hAnsi="Times New Roman" w:cs="Times New Roman" w:eastAsia="Times New Roman"/>
                <w:sz w:val="24"/>
              </w:rPr>
              <w:t/>
            </w:r>
          </w:p>
        </w:tc>
      </w:tr>
      <w:tr>
        <w:trPr>
          <w:trHeight w:val="648"/>
        </w:trPr>
        <w:tc>
          <w:tcPr>
            <w:vAlign w:val="top"/>
          </w:tcPr>
          <w:p>
            <w:pPr>
              <w:spacing w:after="0"/>
              <w:jc w:val="center"/>
            </w:pPr>
            <w:r>
              <w:rPr>
                <w:b w:val="off"/>
                <w:color w:val="000000"/>
                <w:rFonts w:ascii="Times New Roman" w:hAnsi="Times New Roman" w:cs="Times New Roman" w:eastAsia="Times New Roman"/>
                <w:sz w:val="24"/>
              </w:rPr>
              <w:t>64.</w:t>
            </w:r>
          </w:p>
        </w:tc>
        <w:tc>
          <w:tcPr>
            <w:vAlign w:val="top"/>
          </w:tcPr>
          <w:p>
            <w:pPr>
              <w:spacing w:after="0"/>
              <w:jc w:val="start"/>
            </w:pPr>
            <w:r>
              <w:rPr>
                <w:b w:val="on"/>
                <w:color w:val="000000"/>
                <w:rFonts w:ascii="Times New Roman" w:hAnsi="Times New Roman" w:cs="Times New Roman" w:eastAsia="Times New Roman"/>
                <w:sz w:val="24"/>
              </w:rPr>
              <w:t>ŽSK</w:t>
            </w:r>
            <w:r>
              <w:rPr>
                <w:b w:val="off"/>
                <w:color w:val="000000"/>
                <w:rFonts w:ascii="Times New Roman" w:hAnsi="Times New Roman" w:cs="Times New Roman" w:eastAsia="Times New Roman"/>
                <w:sz w:val="24"/>
              </w:rPr>
              <w:t xml:space="preserve"> – Žilinský samosprávny kraj</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0 (0o, 0z)</w:t>
            </w:r>
          </w:p>
        </w:tc>
        <w:tc>
          <w:tcPr>
            <w:vAlign w:val="top"/>
          </w:tcPr>
          <w:p>
            <w:pPr>
              <w:spacing w:after="0"/>
              <w:jc w:val="center"/>
            </w:pPr>
            <w:r>
              <w:rPr>
                <w:b w:val="off"/>
                <w:color w:val="000000"/>
                <w:rFonts w:ascii="Times New Roman" w:hAnsi="Times New Roman" w:cs="Times New Roman" w:eastAsia="Times New Roman"/>
                <w:sz w:val="24"/>
              </w:rPr>
              <w:t/>
            </w:r>
          </w:p>
        </w:tc>
        <w:tc>
          <w:tcPr>
            <w:vAlign w:val="top"/>
          </w:tcPr>
          <w:p>
            <w:pPr>
              <w:spacing w:after="0"/>
              <w:jc w:val="center"/>
            </w:pPr>
            <w:r>
              <w:rPr>
                <w:b w:val="off"/>
                <w:color w:val="000000"/>
                <w:rFonts w:ascii="Times New Roman" w:hAnsi="Times New Roman" w:cs="Times New Roman" w:eastAsia="Times New Roman"/>
                <w:sz w:val="24"/>
              </w:rPr>
              <w:t>X</w:t>
            </w:r>
          </w:p>
        </w:tc>
      </w:tr>
      <w:tr>
        <w:trPr>
          <w:trHeight w:val="648"/>
        </w:trPr>
        <w:tc>
          <w:tcPr>
            <w:vAlign w:val="top"/>
          </w:tcPr>
          <w:p>
            <w:pPr>
              <w:spacing w:after="0"/>
              <w:jc w:val="center"/>
            </w:pPr>
            <w:r>
              <w:rPr>
                <w:b w:val="off"/>
                <w:color w:val="000000"/>
                <w:rFonts w:ascii="Times New Roman" w:hAnsi="Times New Roman" w:cs="Times New Roman" w:eastAsia="Times New Roman"/>
                <w:sz w:val="24"/>
              </w:rPr>
              <w:t/>
            </w:r>
          </w:p>
        </w:tc>
        <w:tc>
          <w:tcPr>
            <w:vAlign w:val="center"/>
          </w:tcPr>
          <w:p>
            <w:pPr>
              <w:spacing w:after="0"/>
              <w:jc w:val="start"/>
            </w:pPr>
            <w:r>
              <w:rPr>
                <w:b w:val="on"/>
                <w:color w:val="000000"/>
                <w:rFonts w:ascii="Times New Roman" w:hAnsi="Times New Roman" w:cs="Times New Roman" w:eastAsia="Times New Roman"/>
                <w:sz w:val="24"/>
              </w:rPr>
              <w:t>Spolu</w:t>
            </w:r>
          </w:p>
        </w:tc>
        <w:tc>
          <w:tcPr>
            <w:vAlign w:val="center"/>
          </w:tcPr>
          <w:p>
            <w:pPr>
              <w:spacing w:after="0"/>
              <w:jc w:val="center"/>
            </w:pPr>
            <w:r>
              <w:rPr>
                <w:b w:val="on"/>
                <w:color w:val="000000"/>
                <w:rFonts w:ascii="Times New Roman" w:hAnsi="Times New Roman" w:cs="Times New Roman" w:eastAsia="Times New Roman"/>
                <w:sz w:val="24"/>
              </w:rPr>
              <w:t>184 (155o, 29z)</w:t>
            </w:r>
          </w:p>
        </w:tc>
        <w:tc>
          <w:tcPr>
            <w:vAlign w:val="center"/>
          </w:tcPr>
          <w:p>
            <w:pPr>
              <w:spacing w:after="0"/>
              <w:jc w:val="center"/>
            </w:pPr>
            <w:r>
              <w:rPr>
                <w:b w:val="on"/>
                <w:color w:val="000000"/>
                <w:rFonts w:ascii="Times New Roman" w:hAnsi="Times New Roman" w:cs="Times New Roman" w:eastAsia="Times New Roman"/>
                <w:sz w:val="24"/>
              </w:rPr>
              <w:t>0 (0o, 0z)</w:t>
            </w:r>
          </w:p>
        </w:tc>
        <w:tc>
          <w:tcPr>
            <w:vAlign w:val="center"/>
          </w:tcPr>
          <w:p>
            <w:pPr>
              <w:spacing w:after="0"/>
              <w:jc w:val="center"/>
            </w:pPr>
            <w:r>
              <w:rPr>
                <w:b w:val="on"/>
                <w:color w:val="000000"/>
                <w:rFonts w:ascii="Times New Roman" w:hAnsi="Times New Roman" w:cs="Times New Roman" w:eastAsia="Times New Roman"/>
                <w:sz w:val="24"/>
              </w:rPr>
              <w:t>9</w:t>
            </w:r>
          </w:p>
        </w:tc>
        <w:tc>
          <w:tcPr>
            <w:vAlign w:val="center"/>
          </w:tcPr>
          <w:p>
            <w:pPr>
              <w:spacing w:after="0"/>
              <w:jc w:val="center"/>
            </w:pPr>
            <w:r>
              <w:rPr>
                <w:b w:val="on"/>
                <w:color w:val="000000"/>
                <w:rFonts w:ascii="Times New Roman" w:hAnsi="Times New Roman" w:cs="Times New Roman" w:eastAsia="Times New Roman"/>
                <w:sz w:val="24"/>
              </w:rPr>
              <w:t>31</w:t>
            </w:r>
          </w:p>
        </w:tc>
      </w:tr>
    </w:tbl>
    <w:p w14:paraId="1D280440" w14:textId="77777777" w:rsidR="008960F8" w:rsidRPr="00677591" w:rsidRDefault="008960F8" w:rsidP="00C00CF3">
      <w:pPr>
        <w:spacing w:after="0"/>
        <w:rPr>
          <w:rFonts w:ascii="Times New Roman" w:hAnsi="Times New Roman" w:cs="Times New Roman"/>
          <w:sz w:val="24"/>
          <w:szCs w:val="24"/>
          <w:lang w:val="en-US"/>
        </w:rPr>
      </w:pPr>
    </w:p>
    <w:sectPr w:rsidR="008960F8" w:rsidRPr="00677591" w:rsidSect="00362D69">
      <w:headerReference w:type="first" r:id="rId8"/>
      <w:footerReference w:type="firs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92465" w14:textId="77777777" w:rsidR="006D051F" w:rsidRPr="00785E8D" w:rsidRDefault="006D051F" w:rsidP="00E66622">
      <w:pPr>
        <w:spacing w:after="0" w:line="240" w:lineRule="auto"/>
      </w:pPr>
      <w:r w:rsidRPr="00785E8D">
        <w:separator/>
      </w:r>
    </w:p>
  </w:endnote>
  <w:endnote w:type="continuationSeparator" w:id="0">
    <w:p w14:paraId="72C637E6" w14:textId="77777777" w:rsidR="006D051F" w:rsidRPr="00785E8D" w:rsidRDefault="006D051F"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74362024"/>
      <w:docPartObj>
        <w:docPartGallery w:val="Page Numbers (Bottom of Page)"/>
        <w:docPartUnique/>
      </w:docPartObj>
    </w:sdtPr>
    <w:sdtEndPr>
      <w:rPr>
        <w:rFonts w:ascii="Times New Roman" w:hAnsi="Times New Roman"/>
        <w:noProof/>
      </w:rPr>
    </w:sdtEndPr>
    <w:sdtContent>
      <w:p w14:paraId="45945688" w14:textId="3489CFEE" w:rsidR="00362D69" w:rsidRPr="00362D69" w:rsidRDefault="00362D69">
        <w:pPr>
          <w:pStyle w:val="Footer"/>
          <w:jc w:val="center"/>
          <w:rPr>
            <w:rFonts w:ascii="Times New Roman" w:hAnsi="Times New Roman"/>
          </w:rPr>
        </w:pPr>
        <w:r w:rsidRPr="00362D69">
          <w:rPr>
            <w:rFonts w:ascii="Times New Roman" w:hAnsi="Times New Roman"/>
            <w:noProof w:val="0"/>
          </w:rPr>
          <w:fldChar w:fldCharType="begin"/>
        </w:r>
        <w:r w:rsidRPr="00362D69">
          <w:rPr>
            <w:rFonts w:ascii="Times New Roman" w:hAnsi="Times New Roman"/>
          </w:rPr>
          <w:instrText xml:space="preserve"> PAGE   \* MERGEFORMAT </w:instrText>
        </w:r>
        <w:r w:rsidRPr="00362D69">
          <w:rPr>
            <w:rFonts w:ascii="Times New Roman" w:hAnsi="Times New Roman"/>
            <w:noProof w:val="0"/>
          </w:rPr>
          <w:fldChar w:fldCharType="separate"/>
        </w:r>
        <w:r w:rsidRPr="00362D69">
          <w:rPr>
            <w:rFonts w:ascii="Times New Roman" w:hAnsi="Times New Roman"/>
          </w:rPr>
          <w:t>2</w:t>
        </w:r>
        <w:r w:rsidRPr="00362D69">
          <w:rPr>
            <w:rFonts w:ascii="Times New Roman" w:hAnsi="Times New Roman"/>
          </w:rPr>
          <w:fldChar w:fldCharType="end"/>
        </w:r>
      </w:p>
    </w:sdtContent>
  </w:sdt>
  <w:p w14:paraId="1A536CAE" w14:textId="77777777" w:rsidR="00362D69" w:rsidRDefault="00362D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487DCFBA" w14:textId="77777777" w:rsidR="00362D69" w:rsidRPr="003E3F51" w:rsidRDefault="00362D69">
        <w:pPr>
          <w:pStyle w:val="Footer"/>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1D96E3B8" w14:textId="77777777" w:rsidR="00362D69" w:rsidRDefault="00362D69" w:rsidP="00FD3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C60E1" w14:textId="77777777" w:rsidR="006D051F" w:rsidRPr="00785E8D" w:rsidRDefault="006D051F" w:rsidP="00E66622">
      <w:pPr>
        <w:spacing w:after="0" w:line="240" w:lineRule="auto"/>
      </w:pPr>
      <w:r w:rsidRPr="00785E8D">
        <w:separator/>
      </w:r>
    </w:p>
  </w:footnote>
  <w:footnote w:type="continuationSeparator" w:id="0">
    <w:p w14:paraId="1ED6E918" w14:textId="77777777" w:rsidR="006D051F" w:rsidRPr="00785E8D" w:rsidRDefault="006D051F" w:rsidP="00E66622">
      <w:pPr>
        <w:spacing w:after="0" w:line="240" w:lineRule="auto"/>
      </w:pPr>
      <w:r w:rsidRPr="00785E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8A22" w14:textId="77777777" w:rsidR="00362D69" w:rsidRDefault="00362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93"/>
    <w:rsid w:val="00011D51"/>
    <w:rsid w:val="0001352E"/>
    <w:rsid w:val="00047E84"/>
    <w:rsid w:val="00050137"/>
    <w:rsid w:val="0006133B"/>
    <w:rsid w:val="000A2F5F"/>
    <w:rsid w:val="000B16EA"/>
    <w:rsid w:val="000B2D78"/>
    <w:rsid w:val="000C172E"/>
    <w:rsid w:val="000D3CA3"/>
    <w:rsid w:val="000D5402"/>
    <w:rsid w:val="001228AD"/>
    <w:rsid w:val="00131490"/>
    <w:rsid w:val="00131742"/>
    <w:rsid w:val="001433FA"/>
    <w:rsid w:val="00146A7D"/>
    <w:rsid w:val="00176679"/>
    <w:rsid w:val="0019276A"/>
    <w:rsid w:val="001B1BE3"/>
    <w:rsid w:val="001D2B4E"/>
    <w:rsid w:val="001E50FA"/>
    <w:rsid w:val="001E6254"/>
    <w:rsid w:val="001F2C94"/>
    <w:rsid w:val="001F5D28"/>
    <w:rsid w:val="001F777F"/>
    <w:rsid w:val="00215E64"/>
    <w:rsid w:val="00231554"/>
    <w:rsid w:val="00237490"/>
    <w:rsid w:val="00245F36"/>
    <w:rsid w:val="0026614F"/>
    <w:rsid w:val="002715E0"/>
    <w:rsid w:val="00273DAE"/>
    <w:rsid w:val="0029170C"/>
    <w:rsid w:val="00295E6A"/>
    <w:rsid w:val="002A0A58"/>
    <w:rsid w:val="002A4482"/>
    <w:rsid w:val="002D3B5E"/>
    <w:rsid w:val="002E17D6"/>
    <w:rsid w:val="002F4660"/>
    <w:rsid w:val="002F717D"/>
    <w:rsid w:val="003034A4"/>
    <w:rsid w:val="00303CA7"/>
    <w:rsid w:val="00335FFB"/>
    <w:rsid w:val="00343965"/>
    <w:rsid w:val="00362D69"/>
    <w:rsid w:val="003640A5"/>
    <w:rsid w:val="003A59FA"/>
    <w:rsid w:val="003C31D4"/>
    <w:rsid w:val="003E3F51"/>
    <w:rsid w:val="003E641E"/>
    <w:rsid w:val="003E7146"/>
    <w:rsid w:val="003F1216"/>
    <w:rsid w:val="003F37C1"/>
    <w:rsid w:val="004050CF"/>
    <w:rsid w:val="00405348"/>
    <w:rsid w:val="00434080"/>
    <w:rsid w:val="00461B69"/>
    <w:rsid w:val="0048545F"/>
    <w:rsid w:val="004A12EE"/>
    <w:rsid w:val="004A48F0"/>
    <w:rsid w:val="004A62B8"/>
    <w:rsid w:val="004B4188"/>
    <w:rsid w:val="004C6C3C"/>
    <w:rsid w:val="004E0BF7"/>
    <w:rsid w:val="004F10FF"/>
    <w:rsid w:val="004F4092"/>
    <w:rsid w:val="00500EBD"/>
    <w:rsid w:val="00506E0B"/>
    <w:rsid w:val="00511A3C"/>
    <w:rsid w:val="00513767"/>
    <w:rsid w:val="005146CA"/>
    <w:rsid w:val="005259A1"/>
    <w:rsid w:val="0053699B"/>
    <w:rsid w:val="00550D13"/>
    <w:rsid w:val="00583F11"/>
    <w:rsid w:val="0059287B"/>
    <w:rsid w:val="005B618C"/>
    <w:rsid w:val="005C0A7E"/>
    <w:rsid w:val="005C4CF5"/>
    <w:rsid w:val="005E6A45"/>
    <w:rsid w:val="005F3B1C"/>
    <w:rsid w:val="005F3E6F"/>
    <w:rsid w:val="005F5908"/>
    <w:rsid w:val="00602231"/>
    <w:rsid w:val="006031E3"/>
    <w:rsid w:val="00634468"/>
    <w:rsid w:val="006371D1"/>
    <w:rsid w:val="00641DD8"/>
    <w:rsid w:val="006434AC"/>
    <w:rsid w:val="00664F3B"/>
    <w:rsid w:val="00677591"/>
    <w:rsid w:val="00695857"/>
    <w:rsid w:val="006C2D6E"/>
    <w:rsid w:val="006D051F"/>
    <w:rsid w:val="0070694E"/>
    <w:rsid w:val="00707B3A"/>
    <w:rsid w:val="0072062B"/>
    <w:rsid w:val="00724A0E"/>
    <w:rsid w:val="00726A34"/>
    <w:rsid w:val="00727704"/>
    <w:rsid w:val="00745443"/>
    <w:rsid w:val="00754CB0"/>
    <w:rsid w:val="0077472A"/>
    <w:rsid w:val="00774ED8"/>
    <w:rsid w:val="00776E62"/>
    <w:rsid w:val="00784062"/>
    <w:rsid w:val="00785E8D"/>
    <w:rsid w:val="00796E02"/>
    <w:rsid w:val="00796EBE"/>
    <w:rsid w:val="007C1A93"/>
    <w:rsid w:val="007C678D"/>
    <w:rsid w:val="007E7C38"/>
    <w:rsid w:val="007E7E01"/>
    <w:rsid w:val="007F53D4"/>
    <w:rsid w:val="0084532B"/>
    <w:rsid w:val="0087153C"/>
    <w:rsid w:val="008741FE"/>
    <w:rsid w:val="00876D47"/>
    <w:rsid w:val="008960F8"/>
    <w:rsid w:val="008C2612"/>
    <w:rsid w:val="008C63F3"/>
    <w:rsid w:val="008D299D"/>
    <w:rsid w:val="008E0404"/>
    <w:rsid w:val="008F1FF3"/>
    <w:rsid w:val="00913D14"/>
    <w:rsid w:val="00917A99"/>
    <w:rsid w:val="00925ABD"/>
    <w:rsid w:val="009275DB"/>
    <w:rsid w:val="00932936"/>
    <w:rsid w:val="00947810"/>
    <w:rsid w:val="00980D7A"/>
    <w:rsid w:val="009912BF"/>
    <w:rsid w:val="00995007"/>
    <w:rsid w:val="009B0C1F"/>
    <w:rsid w:val="009B1491"/>
    <w:rsid w:val="009D152C"/>
    <w:rsid w:val="009D32B4"/>
    <w:rsid w:val="009D3FBE"/>
    <w:rsid w:val="009F35D2"/>
    <w:rsid w:val="00A070EB"/>
    <w:rsid w:val="00A6034C"/>
    <w:rsid w:val="00A61348"/>
    <w:rsid w:val="00A80C4C"/>
    <w:rsid w:val="00A81039"/>
    <w:rsid w:val="00AD6CAE"/>
    <w:rsid w:val="00AE09D4"/>
    <w:rsid w:val="00AF678C"/>
    <w:rsid w:val="00B02EF2"/>
    <w:rsid w:val="00B0310C"/>
    <w:rsid w:val="00B11932"/>
    <w:rsid w:val="00B13C0C"/>
    <w:rsid w:val="00B41FEA"/>
    <w:rsid w:val="00B60148"/>
    <w:rsid w:val="00B74B69"/>
    <w:rsid w:val="00B8742A"/>
    <w:rsid w:val="00B946A0"/>
    <w:rsid w:val="00BD7F55"/>
    <w:rsid w:val="00BE323C"/>
    <w:rsid w:val="00BF207A"/>
    <w:rsid w:val="00C00CF3"/>
    <w:rsid w:val="00C42676"/>
    <w:rsid w:val="00C43D79"/>
    <w:rsid w:val="00C53F43"/>
    <w:rsid w:val="00C62C70"/>
    <w:rsid w:val="00C84A5B"/>
    <w:rsid w:val="00CD7313"/>
    <w:rsid w:val="00D40591"/>
    <w:rsid w:val="00D44E47"/>
    <w:rsid w:val="00D466F6"/>
    <w:rsid w:val="00D50310"/>
    <w:rsid w:val="00D610D0"/>
    <w:rsid w:val="00D91683"/>
    <w:rsid w:val="00DA267A"/>
    <w:rsid w:val="00DD2850"/>
    <w:rsid w:val="00DD302E"/>
    <w:rsid w:val="00DD7CB5"/>
    <w:rsid w:val="00DE3F5A"/>
    <w:rsid w:val="00E06854"/>
    <w:rsid w:val="00E07639"/>
    <w:rsid w:val="00E078E8"/>
    <w:rsid w:val="00E11D16"/>
    <w:rsid w:val="00E245BC"/>
    <w:rsid w:val="00E37A37"/>
    <w:rsid w:val="00E41A2D"/>
    <w:rsid w:val="00E66622"/>
    <w:rsid w:val="00E741B6"/>
    <w:rsid w:val="00E92A50"/>
    <w:rsid w:val="00EA23A2"/>
    <w:rsid w:val="00EB4CEF"/>
    <w:rsid w:val="00ED6E83"/>
    <w:rsid w:val="00EE00C6"/>
    <w:rsid w:val="00F23986"/>
    <w:rsid w:val="00F273EE"/>
    <w:rsid w:val="00F456DC"/>
    <w:rsid w:val="00F727C3"/>
    <w:rsid w:val="00F758C6"/>
    <w:rsid w:val="00F8431B"/>
    <w:rsid w:val="00F85AB8"/>
    <w:rsid w:val="00F907A2"/>
    <w:rsid w:val="00FA016F"/>
    <w:rsid w:val="00FA0A5A"/>
    <w:rsid w:val="00FA40AE"/>
    <w:rsid w:val="00FC0831"/>
    <w:rsid w:val="00FD38D1"/>
    <w:rsid w:val="00FE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2CD4F"/>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0F8"/>
    <w:rPr>
      <w:noProof/>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622"/>
  </w:style>
  <w:style w:type="paragraph" w:styleId="Footer">
    <w:name w:val="footer"/>
    <w:basedOn w:val="Normal"/>
    <w:link w:val="FooterChar"/>
    <w:uiPriority w:val="99"/>
    <w:unhideWhenUsed/>
    <w:rsid w:val="00E66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header1.xml" Type="http://schemas.openxmlformats.org/officeDocument/2006/relationships/head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3904B-5DF0-4166-8157-7EF183BD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2024-12-11T14:15:00Z</dcterms:created>
  <dc:creator>Apache POI</dc:creator>
  <cp:lastModifiedBy>Mark M</cp:lastModifiedBy>
  <dcterms:modified xsi:type="dcterms:W3CDTF">2025-01-21T10:34:00Z</dcterms:modified>
  <cp:revision>80</cp:revision>
</cp:coreProperties>
</file>