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D8" w:rsidRDefault="00CA67D8" w:rsidP="00CA67D8">
      <w:pPr>
        <w:keepNext/>
        <w:spacing w:after="120" w:line="240" w:lineRule="auto"/>
        <w:ind w:left="1276" w:hanging="1276"/>
        <w:contextualSpacing/>
        <w:jc w:val="both"/>
        <w:outlineLvl w:val="1"/>
        <w:rPr>
          <w:rFonts w:ascii="Franklin Gothic Book" w:hAnsi="Franklin Gothic Book" w:cs="Arial"/>
          <w:b/>
          <w:color w:val="990000"/>
          <w:sz w:val="24"/>
          <w:szCs w:val="24"/>
          <w:lang w:eastAsia="cs-CZ"/>
        </w:rPr>
      </w:pPr>
      <w:r>
        <w:rPr>
          <w:rFonts w:ascii="Franklin Gothic Book" w:hAnsi="Franklin Gothic Book" w:cs="Arial"/>
          <w:b/>
          <w:color w:val="990000"/>
          <w:sz w:val="24"/>
          <w:szCs w:val="24"/>
          <w:lang w:eastAsia="cs-CZ"/>
        </w:rPr>
        <w:t xml:space="preserve">Príloha č. 6 OP </w:t>
      </w:r>
      <w:proofErr w:type="spellStart"/>
      <w:r>
        <w:rPr>
          <w:rFonts w:ascii="Franklin Gothic Book" w:hAnsi="Franklin Gothic Book" w:cs="Arial"/>
          <w:b/>
          <w:color w:val="990000"/>
          <w:sz w:val="24"/>
          <w:szCs w:val="24"/>
          <w:lang w:eastAsia="cs-CZ"/>
        </w:rPr>
        <w:t>VaI</w:t>
      </w:r>
      <w:proofErr w:type="spellEnd"/>
      <w:r>
        <w:rPr>
          <w:rFonts w:ascii="Franklin Gothic Book" w:hAnsi="Franklin Gothic Book" w:cs="Arial"/>
          <w:b/>
          <w:color w:val="990000"/>
          <w:sz w:val="24"/>
          <w:szCs w:val="24"/>
          <w:lang w:eastAsia="cs-CZ"/>
        </w:rPr>
        <w:t xml:space="preserve"> - </w:t>
      </w:r>
      <w:bookmarkStart w:id="0" w:name="_GoBack"/>
      <w:bookmarkEnd w:id="0"/>
      <w:r>
        <w:rPr>
          <w:rFonts w:ascii="Franklin Gothic Book" w:hAnsi="Franklin Gothic Book" w:cs="Arial"/>
          <w:b/>
          <w:color w:val="990000"/>
          <w:sz w:val="24"/>
          <w:szCs w:val="24"/>
          <w:lang w:eastAsia="cs-CZ"/>
        </w:rPr>
        <w:t xml:space="preserve"> Skúsenosti z programového obdobia 2007 – 2013</w:t>
      </w:r>
    </w:p>
    <w:p w:rsidR="00CA67D8" w:rsidRDefault="00CA67D8" w:rsidP="00CA67D8">
      <w:pPr>
        <w:rPr>
          <w:rFonts w:ascii="Franklin Gothic Book" w:hAnsi="Franklin Gothic Book"/>
        </w:rPr>
      </w:pPr>
    </w:p>
    <w:p w:rsidR="00CA67D8" w:rsidRDefault="00CA67D8" w:rsidP="00CA67D8">
      <w:pPr>
        <w:numPr>
          <w:ilvl w:val="0"/>
          <w:numId w:val="2"/>
        </w:numPr>
        <w:tabs>
          <w:tab w:val="center" w:pos="4536"/>
          <w:tab w:val="right" w:pos="9072"/>
        </w:tabs>
        <w:spacing w:after="240" w:line="240" w:lineRule="auto"/>
        <w:ind w:left="284" w:hanging="284"/>
        <w:jc w:val="both"/>
        <w:rPr>
          <w:rFonts w:ascii="Franklin Gothic Book" w:hAnsi="Franklin Gothic Book"/>
          <w:b/>
          <w:szCs w:val="24"/>
        </w:rPr>
      </w:pPr>
      <w:r>
        <w:rPr>
          <w:rFonts w:ascii="Franklin Gothic Book" w:hAnsi="Franklin Gothic Book"/>
          <w:b/>
          <w:szCs w:val="24"/>
        </w:rPr>
        <w:t>Skúsenosti z programového obdobia 2007 – 2013</w:t>
      </w:r>
    </w:p>
    <w:p w:rsidR="00CA67D8" w:rsidRDefault="00CA67D8" w:rsidP="00CA67D8">
      <w:pPr>
        <w:pStyle w:val="Odsekzoznamu"/>
        <w:numPr>
          <w:ilvl w:val="0"/>
          <w:numId w:val="3"/>
        </w:numPr>
        <w:spacing w:after="0" w:line="240" w:lineRule="auto"/>
        <w:ind w:left="426" w:hanging="426"/>
        <w:jc w:val="both"/>
        <w:rPr>
          <w:rFonts w:ascii="Franklin Gothic Book" w:hAnsi="Franklin Gothic Book"/>
          <w:b/>
          <w:color w:val="auto"/>
          <w:u w:val="single"/>
        </w:rPr>
      </w:pPr>
      <w:r>
        <w:rPr>
          <w:rFonts w:ascii="Franklin Gothic Book" w:hAnsi="Franklin Gothic Book"/>
          <w:b/>
          <w:color w:val="auto"/>
          <w:u w:val="single"/>
        </w:rPr>
        <w:t>Operačný program Výskum a vývoj</w:t>
      </w:r>
    </w:p>
    <w:p w:rsidR="00CA67D8" w:rsidRDefault="00CA67D8" w:rsidP="00CA67D8">
      <w:pPr>
        <w:spacing w:after="0" w:line="240" w:lineRule="auto"/>
        <w:ind w:left="360"/>
        <w:jc w:val="both"/>
        <w:rPr>
          <w:rFonts w:ascii="Franklin Gothic Book" w:eastAsiaTheme="minorHAnsi" w:hAnsi="Franklin Gothic Book" w:cstheme="minorBidi"/>
          <w:b/>
          <w:color w:val="auto"/>
        </w:rPr>
      </w:pPr>
    </w:p>
    <w:p w:rsidR="00CA67D8" w:rsidRDefault="00CA67D8" w:rsidP="00CA67D8">
      <w:pPr>
        <w:spacing w:after="0" w:line="240" w:lineRule="auto"/>
        <w:jc w:val="both"/>
        <w:rPr>
          <w:rFonts w:ascii="Franklin Gothic Book" w:eastAsiaTheme="minorHAnsi" w:hAnsi="Franklin Gothic Book" w:cstheme="minorBidi"/>
          <w:b/>
          <w:color w:val="auto"/>
        </w:rPr>
      </w:pPr>
      <w:r>
        <w:rPr>
          <w:rFonts w:ascii="Franklin Gothic Book" w:eastAsiaTheme="minorHAnsi" w:hAnsi="Franklin Gothic Book" w:cstheme="minorBidi"/>
          <w:b/>
          <w:color w:val="auto"/>
        </w:rPr>
        <w:t>Implementáciu OP Výskum a vývoj, negatívne ovplyvnili nasledovné zásadné faktory:</w:t>
      </w:r>
    </w:p>
    <w:p w:rsidR="00CA67D8" w:rsidRDefault="00CA67D8" w:rsidP="00CA67D8">
      <w:pPr>
        <w:spacing w:after="0" w:line="240" w:lineRule="auto"/>
        <w:jc w:val="both"/>
        <w:rPr>
          <w:rFonts w:ascii="Franklin Gothic Book" w:eastAsiaTheme="minorHAnsi" w:hAnsi="Franklin Gothic Book" w:cstheme="minorBidi"/>
          <w:b/>
          <w:color w:val="auto"/>
        </w:rPr>
      </w:pPr>
    </w:p>
    <w:p w:rsidR="00CA67D8" w:rsidRDefault="00CA67D8" w:rsidP="00CA67D8">
      <w:pPr>
        <w:numPr>
          <w:ilvl w:val="0"/>
          <w:numId w:val="4"/>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Chýbajúca stratégia implementácie pre celé programové obdobie, ktorá by zabezpečila predvídateľné a stabilné financovanie výskumu a vývoja z OP Výskum a vývoj</w:t>
      </w:r>
    </w:p>
    <w:p w:rsidR="00CA67D8" w:rsidRDefault="00CA67D8" w:rsidP="00CA67D8">
      <w:pPr>
        <w:spacing w:after="0" w:line="240" w:lineRule="auto"/>
        <w:ind w:left="360"/>
        <w:contextualSpacing/>
        <w:jc w:val="both"/>
        <w:rPr>
          <w:rFonts w:ascii="Franklin Gothic Book" w:eastAsiaTheme="minorHAnsi" w:hAnsi="Franklin Gothic Book" w:cstheme="minorBidi"/>
          <w:color w:val="auto"/>
        </w:rPr>
      </w:pPr>
    </w:p>
    <w:p w:rsidR="00CA67D8" w:rsidRDefault="00CA67D8" w:rsidP="00CA67D8">
      <w:pPr>
        <w:numPr>
          <w:ilvl w:val="0"/>
          <w:numId w:val="4"/>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Nedostatočné prepojenie na politiky výskumu, vývoja a inovácií a relatívna izolovanosť implementácie OP Výskum a vývoj od týchto politík</w:t>
      </w:r>
    </w:p>
    <w:p w:rsidR="00CA67D8" w:rsidRDefault="00CA67D8" w:rsidP="00CA67D8">
      <w:pPr>
        <w:spacing w:after="0" w:line="240" w:lineRule="auto"/>
        <w:contextualSpacing/>
        <w:jc w:val="both"/>
        <w:rPr>
          <w:rFonts w:ascii="Franklin Gothic Book" w:eastAsiaTheme="minorHAnsi" w:hAnsi="Franklin Gothic Book" w:cstheme="minorBidi"/>
          <w:color w:val="auto"/>
        </w:rPr>
      </w:pPr>
    </w:p>
    <w:p w:rsidR="00CA67D8" w:rsidRDefault="00CA67D8" w:rsidP="00CA67D8">
      <w:pPr>
        <w:numPr>
          <w:ilvl w:val="0"/>
          <w:numId w:val="4"/>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Neúmerné administratívne zaťaženie žiadateľov, vrátane nevhodne nastaveného procesu verejného obstarávania (proces vypracovávania žiadosti o NFP) a prijímateľov (proces implementácie projektov) - čo v praxi znamenalo presun dôrazu od obsahovej stránky projektov a ich možných reálnych prínosov pre hospodárstvo a spoločnosť a absolutizovanie formálnej stránky projektov</w:t>
      </w:r>
    </w:p>
    <w:p w:rsidR="00CA67D8" w:rsidRDefault="00CA67D8" w:rsidP="00CA67D8">
      <w:pPr>
        <w:spacing w:after="0" w:line="240" w:lineRule="auto"/>
        <w:contextualSpacing/>
        <w:jc w:val="both"/>
        <w:rPr>
          <w:rFonts w:ascii="Franklin Gothic Book" w:eastAsiaTheme="minorHAnsi" w:hAnsi="Franklin Gothic Book" w:cstheme="minorBidi"/>
          <w:color w:val="auto"/>
        </w:rPr>
      </w:pPr>
    </w:p>
    <w:p w:rsidR="00CA67D8" w:rsidRDefault="00CA67D8" w:rsidP="00CA67D8">
      <w:pPr>
        <w:numPr>
          <w:ilvl w:val="0"/>
          <w:numId w:val="4"/>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Nevhodne nastavený systém hodnotenia obsahovej kvality a pridanej hodnoty projektov (nevhodne nastavené indikátory; slabý dôraz na obsahovú stránku implementácie projektu a zvýšený dôraz na administratívnu stránku projektov)</w:t>
      </w:r>
    </w:p>
    <w:p w:rsidR="00CA67D8" w:rsidRDefault="00CA67D8" w:rsidP="00CA67D8">
      <w:pPr>
        <w:spacing w:after="0" w:line="240" w:lineRule="auto"/>
        <w:contextualSpacing/>
        <w:jc w:val="both"/>
        <w:rPr>
          <w:rFonts w:ascii="Franklin Gothic Book" w:eastAsiaTheme="minorHAnsi" w:hAnsi="Franklin Gothic Book" w:cstheme="minorBidi"/>
          <w:color w:val="auto"/>
        </w:rPr>
      </w:pPr>
    </w:p>
    <w:p w:rsidR="00CA67D8" w:rsidRDefault="00CA67D8" w:rsidP="00CA67D8">
      <w:pPr>
        <w:numPr>
          <w:ilvl w:val="0"/>
          <w:numId w:val="4"/>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Neexistencia </w:t>
      </w:r>
      <w:proofErr w:type="spellStart"/>
      <w:r>
        <w:rPr>
          <w:rFonts w:ascii="Franklin Gothic Book" w:eastAsiaTheme="minorHAnsi" w:hAnsi="Franklin Gothic Book" w:cstheme="minorBidi"/>
          <w:color w:val="auto"/>
        </w:rPr>
        <w:t>komplementarity</w:t>
      </w:r>
      <w:proofErr w:type="spellEnd"/>
      <w:r>
        <w:rPr>
          <w:rFonts w:ascii="Franklin Gothic Book" w:eastAsiaTheme="minorHAnsi" w:hAnsi="Franklin Gothic Book" w:cstheme="minorBidi"/>
          <w:color w:val="auto"/>
        </w:rPr>
        <w:t xml:space="preserve"> medzi Operačným programom Výskum a vývoj a ostatnými zdrojmi financovania výskumu a vývoja (Agentúra na podporu výskumu a vývoja; 7. Rámcový program EÚ pre výskum a vývoj - Európsky výskumný priestor) </w:t>
      </w:r>
    </w:p>
    <w:p w:rsidR="00CA67D8" w:rsidRDefault="00CA67D8" w:rsidP="00CA67D8">
      <w:pPr>
        <w:spacing w:after="0" w:line="240" w:lineRule="auto"/>
        <w:rPr>
          <w:rFonts w:ascii="Franklin Gothic Book" w:eastAsiaTheme="minorHAnsi" w:hAnsi="Franklin Gothic Book" w:cstheme="minorBidi"/>
          <w:color w:val="auto"/>
        </w:rPr>
      </w:pPr>
    </w:p>
    <w:p w:rsidR="00CA67D8" w:rsidRDefault="00CA67D8" w:rsidP="00CA67D8">
      <w:pPr>
        <w:spacing w:after="0"/>
        <w:jc w:val="both"/>
        <w:rPr>
          <w:rFonts w:ascii="Franklin Gothic Book" w:eastAsiaTheme="minorHAnsi" w:hAnsi="Franklin Gothic Book" w:cstheme="minorBidi"/>
          <w:b/>
          <w:color w:val="auto"/>
        </w:rPr>
      </w:pPr>
      <w:r>
        <w:rPr>
          <w:rFonts w:ascii="Franklin Gothic Book" w:eastAsiaTheme="minorHAnsi" w:hAnsi="Franklin Gothic Book" w:cstheme="minorBidi"/>
          <w:b/>
          <w:color w:val="auto"/>
        </w:rPr>
        <w:t xml:space="preserve">Implementácia OP Výskum a vývoj ukázala, že absorpčná schopnosť </w:t>
      </w:r>
      <w:proofErr w:type="spellStart"/>
      <w:r>
        <w:rPr>
          <w:rFonts w:ascii="Franklin Gothic Book" w:eastAsiaTheme="minorHAnsi" w:hAnsi="Franklin Gothic Book" w:cstheme="minorBidi"/>
          <w:b/>
          <w:color w:val="auto"/>
        </w:rPr>
        <w:t>VaV</w:t>
      </w:r>
      <w:proofErr w:type="spellEnd"/>
      <w:r>
        <w:rPr>
          <w:rFonts w:ascii="Franklin Gothic Book" w:eastAsiaTheme="minorHAnsi" w:hAnsi="Franklin Gothic Book" w:cstheme="minorBidi"/>
          <w:b/>
          <w:color w:val="auto"/>
        </w:rPr>
        <w:t xml:space="preserve"> prostredia na Slovensku, je niekoľkonásobne vyššia, ako bola alokácia Operačného programu Výskum a vývoj pre roky 2017 - 2013. V jednotlivých výzvach na predkladanie projektov bolo stále predložených 3-5x viac projektov, ako mohlo byť vzhľadom na alokáciu určenú pre konkrétnu výzvu, podporených.</w:t>
      </w:r>
    </w:p>
    <w:p w:rsidR="00CA67D8" w:rsidRDefault="00CA67D8" w:rsidP="00CA67D8">
      <w:pPr>
        <w:spacing w:after="0" w:line="240" w:lineRule="auto"/>
        <w:rPr>
          <w:rFonts w:ascii="Franklin Gothic Book" w:eastAsiaTheme="minorHAnsi" w:hAnsi="Franklin Gothic Book" w:cstheme="minorBidi"/>
          <w:color w:val="auto"/>
        </w:rPr>
      </w:pPr>
    </w:p>
    <w:p w:rsidR="00CA67D8" w:rsidRDefault="00CA67D8" w:rsidP="00CA67D8">
      <w:pPr>
        <w:spacing w:after="0" w:line="240" w:lineRule="auto"/>
        <w:jc w:val="both"/>
        <w:rPr>
          <w:rFonts w:ascii="Franklin Gothic Book" w:eastAsiaTheme="minorHAnsi" w:hAnsi="Franklin Gothic Book" w:cstheme="minorBidi"/>
          <w:b/>
          <w:color w:val="auto"/>
        </w:rPr>
      </w:pPr>
      <w:r>
        <w:rPr>
          <w:rFonts w:ascii="Franklin Gothic Book" w:eastAsiaTheme="minorHAnsi" w:hAnsi="Franklin Gothic Book" w:cstheme="minorBidi"/>
          <w:b/>
          <w:color w:val="auto"/>
        </w:rPr>
        <w:t>Pozitívne efekty projektov financovaných prostredníctvom OP Výskum a vývoj:</w:t>
      </w:r>
    </w:p>
    <w:p w:rsidR="00CA67D8" w:rsidRDefault="00CA67D8" w:rsidP="00CA67D8">
      <w:pPr>
        <w:spacing w:after="0" w:line="240" w:lineRule="auto"/>
        <w:jc w:val="both"/>
        <w:rPr>
          <w:rFonts w:ascii="Franklin Gothic Book" w:eastAsiaTheme="minorHAnsi" w:hAnsi="Franklin Gothic Book" w:cstheme="minorBidi"/>
          <w:b/>
          <w:color w:val="auto"/>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t>umožnili po prvý krát v histórii Slovenskej republiky vytvárať partnerstvá medzi jednotlivými výskumnými inštitúciami, v rámci ktorých sa kreovali špičkové výskumné tímy pre jednotlivé oblasti - pričom práve chýbajúca kryštalizácia slovenskej vedy na konkrétne výskumné tímy, ktoré by boli medzinárodne atraktívne pre partnerstvá, vybavené aspoň základnou infraštruktúrou, patrila medzi kľúčové slabé stránky slovenského systému vedy a techniky,</w:t>
      </w:r>
    </w:p>
    <w:p w:rsidR="00CA67D8" w:rsidRDefault="00CA67D8" w:rsidP="00CA67D8">
      <w:pPr>
        <w:spacing w:after="0" w:line="240" w:lineRule="auto"/>
        <w:jc w:val="both"/>
        <w:rPr>
          <w:rFonts w:ascii="Franklin Gothic Book" w:hAnsi="Franklin Gothic Book" w:cstheme="minorBidi"/>
          <w:bCs/>
          <w:color w:val="auto"/>
          <w:lang w:eastAsia="sk-SK"/>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t xml:space="preserve">umožnili postupne vstupovať do medzinárodných projektov výskumu a vývoja - vďaka jednak lepšej organizácii výskumu prostredníctvom </w:t>
      </w:r>
      <w:proofErr w:type="spellStart"/>
      <w:r>
        <w:rPr>
          <w:rFonts w:ascii="Franklin Gothic Book" w:hAnsi="Franklin Gothic Book" w:cstheme="minorBidi"/>
          <w:bCs/>
          <w:color w:val="auto"/>
          <w:lang w:eastAsia="sk-SK"/>
        </w:rPr>
        <w:t>vykreovaných</w:t>
      </w:r>
      <w:proofErr w:type="spellEnd"/>
      <w:r>
        <w:rPr>
          <w:rFonts w:ascii="Franklin Gothic Book" w:hAnsi="Franklin Gothic Book" w:cstheme="minorBidi"/>
          <w:bCs/>
          <w:color w:val="auto"/>
          <w:lang w:eastAsia="sk-SK"/>
        </w:rPr>
        <w:t xml:space="preserve"> výskumných tímov, ako aj modernejšej infraštruktúre, ktorá umožnila zatraktívniť slovenské výskumné inštitúcie ako rovnocenného partnera aj pre špičkové výskumné inštitúcie zo zahraničia</w:t>
      </w:r>
    </w:p>
    <w:p w:rsidR="00CA67D8" w:rsidRDefault="00CA67D8" w:rsidP="00CA67D8">
      <w:pPr>
        <w:spacing w:after="0" w:line="240" w:lineRule="auto"/>
        <w:jc w:val="both"/>
        <w:rPr>
          <w:rFonts w:ascii="Franklin Gothic Book" w:hAnsi="Franklin Gothic Book" w:cstheme="minorBidi"/>
          <w:bCs/>
          <w:color w:val="auto"/>
          <w:lang w:eastAsia="sk-SK"/>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t>umožnili systémom zdola nahor identifikovať silné tematické smery slovenskej vedy a techniky, ktoré momentálne tvoria základ pripravovanej Stratégie inteligentnej špecializácie Slovenskej republiky do roku 2020 - podporené výskumné centrá jasne ukázali, v ktorých témach na Slovensku existuje kumulácia kritickej masy výskumníkov, ako aj infraštruktúry</w:t>
      </w:r>
    </w:p>
    <w:p w:rsidR="00CA67D8" w:rsidRDefault="00CA67D8" w:rsidP="00CA67D8">
      <w:pPr>
        <w:spacing w:after="0" w:line="240" w:lineRule="auto"/>
        <w:jc w:val="both"/>
        <w:rPr>
          <w:rFonts w:ascii="Franklin Gothic Book" w:hAnsi="Franklin Gothic Book" w:cstheme="minorBidi"/>
          <w:bCs/>
          <w:color w:val="auto"/>
          <w:lang w:eastAsia="sk-SK"/>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lastRenderedPageBreak/>
        <w:t xml:space="preserve">umožnili vznik kvalitných a pre hospodárstvo Slovenska a kľúčové priemyselné odvetvia partnerstiev s priemyslom vo forme priemyselných výskumno-vývojových centier a kompetenčných centier - existuje jasná korelácia medzi vznikom akademicko-priemyselných partnerstiev a centier </w:t>
      </w:r>
      <w:proofErr w:type="spellStart"/>
      <w:r>
        <w:rPr>
          <w:rFonts w:ascii="Franklin Gothic Book" w:hAnsi="Franklin Gothic Book" w:cstheme="minorBidi"/>
          <w:bCs/>
          <w:color w:val="auto"/>
          <w:lang w:eastAsia="sk-SK"/>
        </w:rPr>
        <w:t>excelentnosti</w:t>
      </w:r>
      <w:proofErr w:type="spellEnd"/>
      <w:r>
        <w:rPr>
          <w:rFonts w:ascii="Franklin Gothic Book" w:hAnsi="Franklin Gothic Book" w:cstheme="minorBidi"/>
          <w:bCs/>
          <w:color w:val="auto"/>
          <w:lang w:eastAsia="sk-SK"/>
        </w:rPr>
        <w:t xml:space="preserve"> podporených v rámci Operačného programu Výskum a vývoj</w:t>
      </w:r>
    </w:p>
    <w:p w:rsidR="00CA67D8" w:rsidRDefault="00CA67D8" w:rsidP="00CA67D8">
      <w:pPr>
        <w:spacing w:after="0" w:line="240" w:lineRule="auto"/>
        <w:jc w:val="both"/>
        <w:rPr>
          <w:rFonts w:ascii="Franklin Gothic Book" w:hAnsi="Franklin Gothic Book" w:cstheme="minorBidi"/>
          <w:bCs/>
          <w:color w:val="auto"/>
          <w:lang w:eastAsia="sk-SK"/>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t>vykryštalizovaním priorít a špičkových vedeckých tímov umožnili univerzitám a Slovenskej akadémii vied začať proces budovania vedeckých parkov a výskumných centier národného významu</w:t>
      </w:r>
      <w:r>
        <w:rPr>
          <w:rFonts w:ascii="Franklin Gothic Book" w:hAnsi="Franklin Gothic Book" w:cstheme="minorBidi"/>
          <w:bCs/>
          <w:color w:val="auto"/>
          <w:vertAlign w:val="superscript"/>
          <w:lang w:eastAsia="sk-SK"/>
        </w:rPr>
        <w:footnoteReference w:id="1"/>
      </w:r>
      <w:r>
        <w:rPr>
          <w:rFonts w:ascii="Franklin Gothic Book" w:hAnsi="Franklin Gothic Book" w:cstheme="minorBidi"/>
          <w:bCs/>
          <w:color w:val="auto"/>
          <w:lang w:eastAsia="sk-SK"/>
        </w:rPr>
        <w:t xml:space="preserve"> - práve tie tímy, ktoré začali s realizáciou centier </w:t>
      </w:r>
      <w:proofErr w:type="spellStart"/>
      <w:r>
        <w:rPr>
          <w:rFonts w:ascii="Franklin Gothic Book" w:hAnsi="Franklin Gothic Book" w:cstheme="minorBidi"/>
          <w:bCs/>
          <w:color w:val="auto"/>
          <w:lang w:eastAsia="sk-SK"/>
        </w:rPr>
        <w:t>excelentnosti</w:t>
      </w:r>
      <w:proofErr w:type="spellEnd"/>
      <w:r>
        <w:rPr>
          <w:rFonts w:ascii="Franklin Gothic Book" w:hAnsi="Franklin Gothic Book" w:cstheme="minorBidi"/>
          <w:bCs/>
          <w:color w:val="auto"/>
          <w:lang w:eastAsia="sk-SK"/>
        </w:rPr>
        <w:t>, tvoria základné stavebné piliere univerzitných parkov a výskumných centier národného významu</w:t>
      </w:r>
    </w:p>
    <w:p w:rsidR="00CA67D8" w:rsidRDefault="00CA67D8" w:rsidP="00CA67D8">
      <w:pPr>
        <w:spacing w:after="0" w:line="240" w:lineRule="auto"/>
        <w:jc w:val="both"/>
        <w:rPr>
          <w:rFonts w:ascii="Franklin Gothic Book" w:hAnsi="Franklin Gothic Book" w:cstheme="minorBidi"/>
          <w:bCs/>
          <w:color w:val="auto"/>
          <w:lang w:eastAsia="sk-SK"/>
        </w:rPr>
      </w:pPr>
    </w:p>
    <w:p w:rsidR="00CA67D8" w:rsidRDefault="00CA67D8" w:rsidP="00CA67D8">
      <w:pPr>
        <w:numPr>
          <w:ilvl w:val="0"/>
          <w:numId w:val="5"/>
        </w:numPr>
        <w:spacing w:after="0" w:line="240" w:lineRule="auto"/>
        <w:jc w:val="both"/>
        <w:rPr>
          <w:rFonts w:ascii="Franklin Gothic Book" w:hAnsi="Franklin Gothic Book" w:cstheme="minorBidi"/>
          <w:bCs/>
          <w:color w:val="auto"/>
          <w:lang w:eastAsia="sk-SK"/>
        </w:rPr>
      </w:pPr>
      <w:r>
        <w:rPr>
          <w:rFonts w:ascii="Franklin Gothic Book" w:hAnsi="Franklin Gothic Book" w:cstheme="minorBidi"/>
          <w:bCs/>
          <w:color w:val="auto"/>
          <w:lang w:eastAsia="sk-SK"/>
        </w:rPr>
        <w:t>ako pozitívum je potrebné hodnotiť aj tzv. Bratislavskú výnimku, ktorá v programovom období 2007 - 2013 umožnila znižovať výrazné technologické zaostávania Bratislavského kraja voči okolitým regiónom.</w:t>
      </w:r>
    </w:p>
    <w:p w:rsidR="00CA67D8" w:rsidRDefault="00CA67D8" w:rsidP="00CA67D8">
      <w:pPr>
        <w:spacing w:after="0" w:line="240" w:lineRule="auto"/>
        <w:rPr>
          <w:rFonts w:ascii="Franklin Gothic Book" w:eastAsiaTheme="minorHAnsi" w:hAnsi="Franklin Gothic Book" w:cstheme="minorBidi"/>
          <w:color w:val="auto"/>
        </w:rPr>
      </w:pPr>
    </w:p>
    <w:p w:rsidR="00CA67D8" w:rsidRDefault="00CA67D8" w:rsidP="00CA67D8">
      <w:p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b/>
          <w:color w:val="auto"/>
        </w:rPr>
        <w:t>Vychádzajúc zo skúseností z programového obdobia 2007 - 2013 bude nutné sa pri podpore výskumu a vývoja z EŠIF pre roky 2014 - 2020 riadiť nasledovnými zásadami</w:t>
      </w:r>
      <w:r>
        <w:rPr>
          <w:rFonts w:ascii="Franklin Gothic Book" w:eastAsiaTheme="minorHAnsi" w:hAnsi="Franklin Gothic Book" w:cstheme="minorBidi"/>
          <w:color w:val="auto"/>
        </w:rPr>
        <w:t xml:space="preserve"> (vrátane princípov synergie, ktoré sú popísané v kapitole 8 OP </w:t>
      </w:r>
      <w:proofErr w:type="spellStart"/>
      <w:r>
        <w:rPr>
          <w:rFonts w:ascii="Franklin Gothic Book" w:eastAsiaTheme="minorHAnsi" w:hAnsi="Franklin Gothic Book" w:cstheme="minorBidi"/>
          <w:color w:val="auto"/>
        </w:rPr>
        <w:t>VaI</w:t>
      </w:r>
      <w:proofErr w:type="spellEnd"/>
      <w:r>
        <w:rPr>
          <w:rFonts w:ascii="Franklin Gothic Book" w:eastAsiaTheme="minorHAnsi" w:hAnsi="Franklin Gothic Book" w:cstheme="minorBidi"/>
          <w:color w:val="auto"/>
        </w:rPr>
        <w:t>):</w:t>
      </w:r>
    </w:p>
    <w:p w:rsidR="00CA67D8" w:rsidRDefault="00CA67D8" w:rsidP="00CA67D8">
      <w:pPr>
        <w:spacing w:after="0" w:line="240" w:lineRule="auto"/>
        <w:contextualSpacing/>
        <w:jc w:val="both"/>
        <w:rPr>
          <w:rFonts w:ascii="Franklin Gothic Book" w:eastAsiaTheme="minorHAnsi" w:hAnsi="Franklin Gothic Book" w:cstheme="minorBidi"/>
          <w:b/>
          <w:i/>
          <w:color w:val="auto"/>
        </w:rPr>
      </w:pPr>
    </w:p>
    <w:p w:rsidR="00CA67D8" w:rsidRDefault="00CA67D8" w:rsidP="00CA67D8">
      <w:pPr>
        <w:spacing w:after="0" w:line="240" w:lineRule="auto"/>
        <w:contextualSpacing/>
        <w:jc w:val="both"/>
        <w:rPr>
          <w:rFonts w:ascii="Franklin Gothic Book" w:eastAsiaTheme="minorHAnsi" w:hAnsi="Franklin Gothic Book" w:cstheme="minorBidi"/>
          <w:b/>
          <w:color w:val="auto"/>
          <w:u w:val="single"/>
        </w:rPr>
      </w:pPr>
      <w:r>
        <w:rPr>
          <w:rFonts w:ascii="Franklin Gothic Book" w:eastAsiaTheme="minorHAnsi" w:hAnsi="Franklin Gothic Book" w:cstheme="minorBidi"/>
          <w:b/>
          <w:color w:val="auto"/>
          <w:u w:val="single"/>
        </w:rPr>
        <w:t>Strategické obsahové zásady, ktoré reflektujú identifikované disparity a potreby</w:t>
      </w:r>
      <w:r>
        <w:rPr>
          <w:rStyle w:val="Odkaznapoznmkupodiarou"/>
          <w:rFonts w:ascii="Franklin Gothic Book" w:eastAsiaTheme="minorHAnsi" w:hAnsi="Franklin Gothic Book"/>
          <w:b/>
          <w:color w:val="auto"/>
          <w:u w:val="single"/>
        </w:rPr>
        <w:footnoteReference w:id="2"/>
      </w:r>
    </w:p>
    <w:p w:rsidR="00CA67D8" w:rsidRDefault="00CA67D8" w:rsidP="00CA67D8">
      <w:pPr>
        <w:spacing w:after="0" w:line="240" w:lineRule="auto"/>
        <w:contextualSpacing/>
        <w:jc w:val="both"/>
        <w:rPr>
          <w:rFonts w:ascii="Franklin Gothic Book" w:eastAsiaTheme="minorHAnsi" w:hAnsi="Franklin Gothic Book" w:cstheme="minorBidi"/>
          <w:b/>
          <w:i/>
          <w:color w:val="auto"/>
        </w:rPr>
      </w:pPr>
    </w:p>
    <w:p w:rsidR="00CA67D8" w:rsidRDefault="00CA67D8" w:rsidP="00CA67D8">
      <w:pPr>
        <w:numPr>
          <w:ilvl w:val="0"/>
          <w:numId w:val="6"/>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b/>
          <w:color w:val="auto"/>
        </w:rPr>
        <w:t>Opatrenia v oblasti budovania a obnovy infraštruktúry výskumu a vývoja budú sledovať zabezpečenie zamestnanosti</w:t>
      </w:r>
      <w:r>
        <w:rPr>
          <w:rFonts w:ascii="Franklin Gothic Book" w:eastAsiaTheme="minorHAnsi" w:hAnsi="Franklin Gothic Book" w:cstheme="minorBidi"/>
          <w:color w:val="auto"/>
        </w:rPr>
        <w:t xml:space="preserve">, nielen priamej prostredníctvom projektov financovaných zo štrukturálnych fondov Európskej únie, ale najmä budovaním inovačnej kapacity SR tak, aby sa posilňovala konkurencieschopnosť podnikov pôsobiacich na Slovensku, a aby sa zlepšoval potenciál vzniku a rozvoja nových podnikov s dobrým konkurenčným potenciálom. </w:t>
      </w:r>
    </w:p>
    <w:p w:rsidR="00CA67D8" w:rsidRDefault="00CA67D8" w:rsidP="00CA67D8">
      <w:pPr>
        <w:spacing w:after="0" w:line="240" w:lineRule="auto"/>
        <w:ind w:left="360"/>
        <w:contextualSpacing/>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Na rozdiel od programového obdobia 2007 - 2013 (veľký počet relatívne malých projektov) sa v nasledujúcom programovom období bude potrebné sústrediť na </w:t>
      </w:r>
      <w:r>
        <w:rPr>
          <w:rFonts w:ascii="Franklin Gothic Book" w:eastAsiaTheme="minorHAnsi" w:hAnsi="Franklin Gothic Book" w:cstheme="minorBidi"/>
          <w:b/>
          <w:color w:val="auto"/>
        </w:rPr>
        <w:t>financovania väčších interdisciplinárnych projektov v oblastiach špecializácie Stratégie inteligentnej špecializácie Slovenska do roku 2020</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Prioritné oblasti podpory budú oproti programovému obdobiu 2007 - 2013 zúžené a budú identifikované Stratégiou inteligentnej špecializácie SR. Na úrovni jej implementačných mechanizmov bude zabezpečené prostredníctvom participácie priemyslu na obsahovom vymedzení konkrétnych výziev to, aby boli financované oblasti, o ktoré má reálne priemysel záujem.</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V programovom období 2014 - 2020 sa bude v súlade so Stratégiou inteligentnej špecializácie pokračovať v</w:t>
      </w:r>
      <w:r>
        <w:rPr>
          <w:rFonts w:ascii="Franklin Gothic Book" w:eastAsiaTheme="minorHAnsi" w:hAnsi="Franklin Gothic Book" w:cstheme="minorBidi"/>
          <w:b/>
          <w:color w:val="auto"/>
        </w:rPr>
        <w:t xml:space="preserve"> podpore väčších celkov (univerzitné vedecké parky, výskumné centrá národného významu) a spoluprác akademickej sféry a priemyslu (kompetenčné centrá; priemyselné výskumno-vývojové centrá aj s účasťou nadnárodných korporácií pôsobiacich na území Slovenskej republiky)</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Technické kapacity výskumu a vývoja okrem funkčnej stránky musia zabezpečiť aj dostatočne dôstojné pracovné podmienky pre výskumníkov. Tieto stále vo viacerých oblastiach nie sú na zodpovedajúcej úrovni. </w:t>
      </w:r>
      <w:r>
        <w:rPr>
          <w:rFonts w:ascii="Franklin Gothic Book" w:eastAsiaTheme="minorHAnsi" w:hAnsi="Franklin Gothic Book" w:cstheme="minorBidi"/>
          <w:b/>
          <w:color w:val="auto"/>
        </w:rPr>
        <w:t>Napriek čiastočnému zlepšeniu technickej infraštruktúry vysokých škôl vďaka využívaniu štrukturálnych fondov v predchádzajúcich rokoch nie je možné jej stav považovať za uspokojivý.</w:t>
      </w:r>
    </w:p>
    <w:p w:rsidR="00CA67D8" w:rsidRDefault="00CA67D8" w:rsidP="00CA67D8">
      <w:pPr>
        <w:spacing w:after="0" w:line="240" w:lineRule="auto"/>
        <w:contextualSpacing/>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lastRenderedPageBreak/>
        <w:t xml:space="preserve">Výrazným spôsobom bude potrebné riešiť aj prostredníctvom Európskeho sociálneho fondu (pri zabezpečení </w:t>
      </w:r>
      <w:proofErr w:type="spellStart"/>
      <w:r>
        <w:rPr>
          <w:rFonts w:ascii="Franklin Gothic Book" w:eastAsiaTheme="minorHAnsi" w:hAnsi="Franklin Gothic Book" w:cstheme="minorBidi"/>
          <w:color w:val="auto"/>
        </w:rPr>
        <w:t>komplementarity</w:t>
      </w:r>
      <w:proofErr w:type="spellEnd"/>
      <w:r>
        <w:rPr>
          <w:rFonts w:ascii="Franklin Gothic Book" w:eastAsiaTheme="minorHAnsi" w:hAnsi="Franklin Gothic Book" w:cstheme="minorBidi"/>
          <w:color w:val="auto"/>
        </w:rPr>
        <w:t xml:space="preserve"> s opatreniami financovanými z Európskeho fondu regionálneho rozvoja) problematiku ľudských zdrojov a to v rámci nasledovných zásad:</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1"/>
          <w:numId w:val="6"/>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Slovenská republika pociťuje nedostatok kvalitných ľudských zdrojov v oblasti VVI. Z uvedeného dôvodu je potrebné, aby podporené projekty túto skutočnosť reflektovali a aby boli projekty zamerané jednak priamo na zvyšovanie záujmu mladej generácie o oblasť VVI a pôsobenie v nej prostredníctvom cielených aktivít, ako aj vytváranie nových pracovných miest pre mladých výskumníkov tak v akademickom, ako priemyselnom sektore. Súčasťou podpory rozvoja ľudských zdrojov bude aj podpora mobilít medzi jednotlivými sektormi. </w:t>
      </w:r>
    </w:p>
    <w:p w:rsidR="00CA67D8" w:rsidRDefault="00CA67D8" w:rsidP="00CA67D8">
      <w:pPr>
        <w:spacing w:after="0" w:line="240" w:lineRule="auto"/>
        <w:ind w:left="1080"/>
        <w:contextualSpacing/>
        <w:jc w:val="both"/>
        <w:rPr>
          <w:rFonts w:ascii="Franklin Gothic Book" w:eastAsiaTheme="minorHAnsi" w:hAnsi="Franklin Gothic Book" w:cstheme="minorBidi"/>
          <w:color w:val="auto"/>
        </w:rPr>
      </w:pPr>
    </w:p>
    <w:p w:rsidR="00CA67D8" w:rsidRDefault="00CA67D8" w:rsidP="00CA67D8">
      <w:pPr>
        <w:numPr>
          <w:ilvl w:val="1"/>
          <w:numId w:val="6"/>
        </w:numPr>
        <w:spacing w:after="0" w:line="240" w:lineRule="auto"/>
        <w:contextualSpacing/>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Súčasne je potrebné si uvedomiť, že investície do infraštruktúrnych projektov OP Výskum a vývoj (univerzitné vedecké parky a pod.), ktoré sa budú dobudovávať v zmysle priorít RIS3 SK aj v nasledujúcom programovom období, budú generovať veľkú dodatočnú potrebu vysoko vzdelanej pracovnej sily - najmä v prírodovedných a technických smeroch. Z uvedeného dôvodu bude treba zabezpečiť dostatočnú kvalitu, ale aj kvantitu absolventov výskumne orientovaných študijných programov, ktorí budú schopní sa zapojiť do aktivít v systéme výskumu, vývoja a inovácií v rámci moderných výskumných centier.</w:t>
      </w:r>
    </w:p>
    <w:p w:rsidR="00CA67D8" w:rsidRDefault="00CA67D8" w:rsidP="00CA67D8">
      <w:pPr>
        <w:spacing w:after="0" w:line="240" w:lineRule="auto"/>
        <w:ind w:left="720"/>
        <w:contextualSpacing/>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Za prioritu, ktorej riešenie ovplyvní aktivity v oblasti vzdelávania, výskumu, vývoja a inovácií v rámci celého územia Slovenska, považujeme vyriešenie financovania Bratislavského kraja v oblasti výskumno-vývojovej infraštruktúry pre roky 2014 - 2020. </w:t>
      </w:r>
      <w:r>
        <w:rPr>
          <w:rFonts w:ascii="Franklin Gothic Book" w:eastAsiaTheme="minorHAnsi" w:hAnsi="Franklin Gothic Book" w:cstheme="minorBidi"/>
          <w:b/>
          <w:color w:val="auto"/>
        </w:rPr>
        <w:t>Zodpovedajúca podpora</w:t>
      </w:r>
      <w:r>
        <w:rPr>
          <w:rFonts w:ascii="Franklin Gothic Book" w:eastAsiaTheme="minorHAnsi" w:hAnsi="Franklin Gothic Book" w:cstheme="minorBidi"/>
          <w:b/>
          <w:color w:val="auto"/>
          <w:vertAlign w:val="superscript"/>
        </w:rPr>
        <w:footnoteReference w:id="3"/>
      </w:r>
      <w:r>
        <w:rPr>
          <w:rFonts w:ascii="Franklin Gothic Book" w:eastAsiaTheme="minorHAnsi" w:hAnsi="Franklin Gothic Book" w:cstheme="minorBidi"/>
          <w:b/>
          <w:color w:val="auto"/>
        </w:rPr>
        <w:t xml:space="preserve"> spomínaných oblastí v Bratislavskom kraji má zásadný a kľúčový význam pre rozvoj Slovenskej republiky, tvorbu nových pracovných miest a rozvoj kľúčových oblastí priemyslu na celom území Slovenska.</w:t>
      </w:r>
      <w:r>
        <w:rPr>
          <w:rFonts w:ascii="Franklin Gothic Book" w:eastAsiaTheme="minorHAnsi" w:hAnsi="Franklin Gothic Book" w:cstheme="minorBidi"/>
          <w:color w:val="auto"/>
        </w:rPr>
        <w:t xml:space="preserve"> Z pohľadu výskumno-vývojového potenciálu Bratislavský kraj disponuje viac ako 50% celoslovenských kapacít, dosahuje viac ako 60% výkonov v oblasti medzinárodnej výskumno-vývojovej angažovanosti Slovenska a 75% všetkých vedeckých výstupov Slovenska sa produkuje práve v Bratislavskom regióne.</w:t>
      </w:r>
    </w:p>
    <w:p w:rsidR="00CA67D8" w:rsidRDefault="00CA67D8" w:rsidP="00CA67D8">
      <w:pPr>
        <w:spacing w:after="0" w:line="240" w:lineRule="auto"/>
        <w:ind w:left="360"/>
        <w:jc w:val="both"/>
        <w:rPr>
          <w:rFonts w:ascii="Franklin Gothic Book" w:eastAsiaTheme="minorHAnsi" w:hAnsi="Franklin Gothic Book" w:cstheme="minorBidi"/>
          <w:color w:val="auto"/>
        </w:rPr>
      </w:pPr>
    </w:p>
    <w:p w:rsidR="00CA67D8" w:rsidRDefault="00CA67D8" w:rsidP="00CA67D8">
      <w:pPr>
        <w:spacing w:after="0" w:line="240" w:lineRule="auto"/>
        <w:jc w:val="both"/>
        <w:rPr>
          <w:rFonts w:ascii="Franklin Gothic Book" w:eastAsiaTheme="minorHAnsi" w:hAnsi="Franklin Gothic Book" w:cstheme="minorBidi"/>
          <w:b/>
          <w:color w:val="auto"/>
          <w:u w:val="single"/>
        </w:rPr>
      </w:pPr>
      <w:r>
        <w:rPr>
          <w:rFonts w:ascii="Franklin Gothic Book" w:eastAsiaTheme="minorHAnsi" w:hAnsi="Franklin Gothic Book" w:cstheme="minorBidi"/>
          <w:b/>
          <w:color w:val="auto"/>
          <w:u w:val="single"/>
        </w:rPr>
        <w:t>Technické zásady, týkajúce sa konkrétnych pravidiel</w:t>
      </w:r>
    </w:p>
    <w:p w:rsidR="00CA67D8" w:rsidRDefault="00CA67D8" w:rsidP="00CA67D8">
      <w:pPr>
        <w:spacing w:after="0" w:line="240" w:lineRule="auto"/>
        <w:ind w:left="360"/>
        <w:jc w:val="both"/>
        <w:rPr>
          <w:rFonts w:ascii="Franklin Gothic Book" w:eastAsiaTheme="minorHAnsi" w:hAnsi="Franklin Gothic Book" w:cstheme="minorBidi"/>
          <w:b/>
          <w:i/>
          <w:color w:val="auto"/>
        </w:rPr>
      </w:pPr>
      <w:r>
        <w:rPr>
          <w:rFonts w:ascii="Franklin Gothic Book" w:eastAsiaTheme="minorHAnsi" w:hAnsi="Franklin Gothic Book" w:cstheme="minorBidi"/>
          <w:b/>
          <w:i/>
          <w:color w:val="auto"/>
        </w:rPr>
        <w:t xml:space="preserve"> </w:t>
      </w: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pri projektoch, ktorých trvanie je dlhšie, ako 3 roky, realizovať aj priebežné a záverečnú obsahovú oponentúru, pri veľkých projektoch aj vstupnú verejnú oponentúru, resp. pre veľké centra medzinárodný panel tak, ako to je súčasťou najlepšej praxe v zahraničí,</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pri hodnotení projektov využívať typ kritérií platných pre Horizont 2020 (vedecká </w:t>
      </w:r>
      <w:proofErr w:type="spellStart"/>
      <w:r>
        <w:rPr>
          <w:rFonts w:ascii="Franklin Gothic Book" w:eastAsiaTheme="minorHAnsi" w:hAnsi="Franklin Gothic Book" w:cstheme="minorBidi"/>
          <w:color w:val="auto"/>
        </w:rPr>
        <w:t>excelentnosť</w:t>
      </w:r>
      <w:proofErr w:type="spellEnd"/>
      <w:r>
        <w:rPr>
          <w:rFonts w:ascii="Franklin Gothic Book" w:eastAsiaTheme="minorHAnsi" w:hAnsi="Franklin Gothic Book" w:cstheme="minorBidi"/>
          <w:color w:val="auto"/>
        </w:rPr>
        <w:t>; kvalita manažmentu; potenciálny dopad podporeného projektu)</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vo zvýšenej miere využívať rôzny typy hodnotenia pre rôzne typy projektov </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zaviesť </w:t>
      </w:r>
      <w:proofErr w:type="spellStart"/>
      <w:r>
        <w:rPr>
          <w:rFonts w:ascii="Franklin Gothic Book" w:eastAsiaTheme="minorHAnsi" w:hAnsi="Franklin Gothic Book" w:cstheme="minorBidi"/>
          <w:color w:val="auto"/>
        </w:rPr>
        <w:t>peer</w:t>
      </w:r>
      <w:proofErr w:type="spellEnd"/>
      <w:r>
        <w:rPr>
          <w:rFonts w:ascii="Franklin Gothic Book" w:eastAsiaTheme="minorHAnsi" w:hAnsi="Franklin Gothic Book" w:cstheme="minorBidi"/>
          <w:color w:val="auto"/>
        </w:rPr>
        <w:t xml:space="preserve"> </w:t>
      </w:r>
      <w:proofErr w:type="spellStart"/>
      <w:r>
        <w:rPr>
          <w:rFonts w:ascii="Franklin Gothic Book" w:eastAsiaTheme="minorHAnsi" w:hAnsi="Franklin Gothic Book" w:cstheme="minorBidi"/>
          <w:color w:val="auto"/>
        </w:rPr>
        <w:t>review</w:t>
      </w:r>
      <w:proofErr w:type="spellEnd"/>
      <w:r>
        <w:rPr>
          <w:rFonts w:ascii="Franklin Gothic Book" w:eastAsiaTheme="minorHAnsi" w:hAnsi="Franklin Gothic Book" w:cstheme="minorBidi"/>
          <w:color w:val="auto"/>
        </w:rPr>
        <w:t xml:space="preserve"> hodnotenie oblastí špecializácie RIS3 SK zahraničnými expertmi</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zjednodušenie pravidiel verejného obstarávania tak, aby zohľadňovali špecifiká výskumných projektov,</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zamedzenie duplicitám v rámci obstarávania infraštruktúry v zmysle inteligentnej špecializácie a efektívneho využívania obstarávanej infraštruktúry podporou integrácie výskumných centier do </w:t>
      </w:r>
      <w:proofErr w:type="spellStart"/>
      <w:r>
        <w:rPr>
          <w:rFonts w:ascii="Franklin Gothic Book" w:eastAsiaTheme="minorHAnsi" w:hAnsi="Franklin Gothic Book" w:cstheme="minorBidi"/>
          <w:color w:val="auto"/>
        </w:rPr>
        <w:t>intedisciplinárnych</w:t>
      </w:r>
      <w:proofErr w:type="spellEnd"/>
      <w:r>
        <w:rPr>
          <w:rFonts w:ascii="Franklin Gothic Book" w:eastAsiaTheme="minorHAnsi" w:hAnsi="Franklin Gothic Book" w:cstheme="minorBidi"/>
          <w:color w:val="auto"/>
        </w:rPr>
        <w:t xml:space="preserve"> celkov a strategických výskumných programov</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lastRenderedPageBreak/>
        <w:t>zjednodušenie administrácie projektov počas celého životného cyklu projektu - od procesu podania žiadosti o NFP až po ukončenie implementácie projektu,</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sústrediť sa na podporu väčších integrovaných interdisciplinárnych výskumných centier a spoločných </w:t>
      </w:r>
      <w:proofErr w:type="spellStart"/>
      <w:r>
        <w:rPr>
          <w:rFonts w:ascii="Franklin Gothic Book" w:eastAsiaTheme="minorHAnsi" w:hAnsi="Franklin Gothic Book" w:cstheme="minorBidi"/>
          <w:color w:val="auto"/>
        </w:rPr>
        <w:t>kolaboratívnych</w:t>
      </w:r>
      <w:proofErr w:type="spellEnd"/>
      <w:r>
        <w:rPr>
          <w:rFonts w:ascii="Franklin Gothic Book" w:eastAsiaTheme="minorHAnsi" w:hAnsi="Franklin Gothic Book" w:cstheme="minorBidi"/>
          <w:color w:val="auto"/>
        </w:rPr>
        <w:t xml:space="preserve"> projektov medzi akademickou sférou a priemyslom,</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odstrániť bariéry medzi jednotlivými projektmi a nebrániť využívaniu infraštruktúry obstaranej v rámci jedného projektu v ostatných výskumných aktivitách žiadateľa, vrátane ich využívania v medzinárodných projektoch,</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jasne upraviť pravidlá štátnej pomoci pre oblasť univerzitných výskumných parkov, inkubátorov, technologických centier, prototypových centier a pod. - t.j. aplikovanej výskumno-vývojovej infraštruktúry a vyriešiť spôsob prístupu priemyselných subjektov k tomuto typu infraštruktúry, ktorá je určená na výskumu a vývoj pre potreby priemyslu a praxe,</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v prípade podpory priemyselných výskumných centier podporovať aj tzv. </w:t>
      </w:r>
      <w:proofErr w:type="spellStart"/>
      <w:r>
        <w:rPr>
          <w:rFonts w:ascii="Franklin Gothic Book" w:eastAsiaTheme="minorHAnsi" w:hAnsi="Franklin Gothic Book" w:cstheme="minorBidi"/>
          <w:color w:val="auto"/>
        </w:rPr>
        <w:t>pred-súťažný</w:t>
      </w:r>
      <w:proofErr w:type="spellEnd"/>
      <w:r>
        <w:rPr>
          <w:rFonts w:ascii="Franklin Gothic Book" w:eastAsiaTheme="minorHAnsi" w:hAnsi="Franklin Gothic Book" w:cstheme="minorBidi"/>
          <w:color w:val="auto"/>
        </w:rPr>
        <w:t xml:space="preserve"> výskum (</w:t>
      </w:r>
      <w:proofErr w:type="spellStart"/>
      <w:r>
        <w:rPr>
          <w:rFonts w:ascii="Franklin Gothic Book" w:eastAsiaTheme="minorHAnsi" w:hAnsi="Franklin Gothic Book" w:cstheme="minorBidi"/>
          <w:color w:val="auto"/>
        </w:rPr>
        <w:t>pre-competitive</w:t>
      </w:r>
      <w:proofErr w:type="spellEnd"/>
      <w:r>
        <w:rPr>
          <w:rFonts w:ascii="Franklin Gothic Book" w:eastAsiaTheme="minorHAnsi" w:hAnsi="Franklin Gothic Book" w:cstheme="minorBidi"/>
          <w:color w:val="auto"/>
        </w:rPr>
        <w:t xml:space="preserve"> </w:t>
      </w:r>
      <w:proofErr w:type="spellStart"/>
      <w:r>
        <w:rPr>
          <w:rFonts w:ascii="Franklin Gothic Book" w:eastAsiaTheme="minorHAnsi" w:hAnsi="Franklin Gothic Book" w:cstheme="minorBidi"/>
          <w:color w:val="auto"/>
        </w:rPr>
        <w:t>research</w:t>
      </w:r>
      <w:proofErr w:type="spellEnd"/>
      <w:r>
        <w:rPr>
          <w:rFonts w:ascii="Franklin Gothic Book" w:eastAsiaTheme="minorHAnsi" w:hAnsi="Franklin Gothic Book" w:cstheme="minorBidi"/>
          <w:color w:val="auto"/>
        </w:rPr>
        <w:t>), ktorý umožňuje financovať aj výskum v priemysle v rovnakom pomere, ako základný výskum v akademickej sfére,</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umožniť v jednom projekte realizáciu vhodného "mixu" základného výskumu, aplikovaného výskumu a experimentálneho vývoja,</w:t>
      </w:r>
    </w:p>
    <w:p w:rsidR="00CA67D8" w:rsidRDefault="00CA67D8" w:rsidP="00CA67D8">
      <w:pPr>
        <w:spacing w:after="0" w:line="240" w:lineRule="auto"/>
        <w:jc w:val="both"/>
        <w:rPr>
          <w:rFonts w:ascii="Franklin Gothic Book" w:eastAsiaTheme="minorHAnsi" w:hAnsi="Franklin Gothic Book" w:cstheme="minorBidi"/>
          <w:color w:val="auto"/>
        </w:rPr>
      </w:pPr>
    </w:p>
    <w:p w:rsidR="00CA67D8" w:rsidRDefault="00CA67D8" w:rsidP="00CA67D8">
      <w:pPr>
        <w:numPr>
          <w:ilvl w:val="0"/>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riešiť problematiku financovania/</w:t>
      </w:r>
      <w:proofErr w:type="spellStart"/>
      <w:r>
        <w:rPr>
          <w:rFonts w:ascii="Franklin Gothic Book" w:eastAsiaTheme="minorHAnsi" w:hAnsi="Franklin Gothic Book" w:cstheme="minorBidi"/>
          <w:color w:val="auto"/>
        </w:rPr>
        <w:t>kofinancovania</w:t>
      </w:r>
      <w:proofErr w:type="spellEnd"/>
      <w:r>
        <w:rPr>
          <w:rFonts w:ascii="Franklin Gothic Book" w:eastAsiaTheme="minorHAnsi" w:hAnsi="Franklin Gothic Book" w:cstheme="minorBidi"/>
          <w:color w:val="auto"/>
        </w:rPr>
        <w:t xml:space="preserve"> projektov nasledovným spôsobom:</w:t>
      </w:r>
    </w:p>
    <w:p w:rsidR="00CA67D8" w:rsidRDefault="00CA67D8" w:rsidP="00CA67D8">
      <w:pPr>
        <w:numPr>
          <w:ilvl w:val="1"/>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zaviesť možnosť </w:t>
      </w:r>
      <w:proofErr w:type="spellStart"/>
      <w:r>
        <w:rPr>
          <w:rFonts w:ascii="Franklin Gothic Book" w:eastAsiaTheme="minorHAnsi" w:hAnsi="Franklin Gothic Book" w:cstheme="minorBidi"/>
          <w:color w:val="auto"/>
        </w:rPr>
        <w:t>kofinancovania</w:t>
      </w:r>
      <w:proofErr w:type="spellEnd"/>
      <w:r>
        <w:rPr>
          <w:rFonts w:ascii="Franklin Gothic Book" w:eastAsiaTheme="minorHAnsi" w:hAnsi="Franklin Gothic Book" w:cstheme="minorBidi"/>
          <w:color w:val="auto"/>
        </w:rPr>
        <w:t xml:space="preserve"> účasti projektov spôsobom "</w:t>
      </w:r>
      <w:proofErr w:type="spellStart"/>
      <w:r>
        <w:rPr>
          <w:rFonts w:ascii="Franklin Gothic Book" w:eastAsiaTheme="minorHAnsi" w:hAnsi="Franklin Gothic Book" w:cstheme="minorBidi"/>
          <w:color w:val="auto"/>
        </w:rPr>
        <w:t>in-kind</w:t>
      </w:r>
      <w:proofErr w:type="spellEnd"/>
      <w:r>
        <w:rPr>
          <w:rFonts w:ascii="Franklin Gothic Book" w:eastAsiaTheme="minorHAnsi" w:hAnsi="Franklin Gothic Book" w:cstheme="minorBidi"/>
          <w:color w:val="auto"/>
        </w:rPr>
        <w:t>",</w:t>
      </w:r>
    </w:p>
    <w:p w:rsidR="00CA67D8" w:rsidRDefault="00CA67D8" w:rsidP="00CA67D8">
      <w:pPr>
        <w:numPr>
          <w:ilvl w:val="1"/>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 xml:space="preserve">v prípade verených výskumných inštitúcií (vysokoškolských inštitúcií), ktoré majú povinnosť </w:t>
      </w:r>
      <w:proofErr w:type="spellStart"/>
      <w:r>
        <w:rPr>
          <w:rFonts w:ascii="Franklin Gothic Book" w:eastAsiaTheme="minorHAnsi" w:hAnsi="Franklin Gothic Book" w:cstheme="minorBidi"/>
          <w:color w:val="auto"/>
        </w:rPr>
        <w:t>kofinancovať</w:t>
      </w:r>
      <w:proofErr w:type="spellEnd"/>
      <w:r>
        <w:rPr>
          <w:rFonts w:ascii="Franklin Gothic Book" w:eastAsiaTheme="minorHAnsi" w:hAnsi="Franklin Gothic Book" w:cstheme="minorBidi"/>
          <w:color w:val="auto"/>
        </w:rPr>
        <w:t xml:space="preserve"> svoju účasť na úrovni 5% neobmedzovať typ zdroja, </w:t>
      </w:r>
    </w:p>
    <w:p w:rsidR="00CA67D8" w:rsidRDefault="00CA67D8" w:rsidP="00CA67D8">
      <w:pPr>
        <w:numPr>
          <w:ilvl w:val="1"/>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využiť hornú hranicu "</w:t>
      </w:r>
      <w:proofErr w:type="spellStart"/>
      <w:r>
        <w:rPr>
          <w:rFonts w:ascii="Franklin Gothic Book" w:eastAsiaTheme="minorHAnsi" w:hAnsi="Franklin Gothic Book" w:cstheme="minorBidi"/>
          <w:color w:val="auto"/>
        </w:rPr>
        <w:t>funding</w:t>
      </w:r>
      <w:proofErr w:type="spellEnd"/>
      <w:r>
        <w:rPr>
          <w:rFonts w:ascii="Franklin Gothic Book" w:eastAsiaTheme="minorHAnsi" w:hAnsi="Franklin Gothic Book" w:cstheme="minorBidi"/>
          <w:color w:val="auto"/>
        </w:rPr>
        <w:t xml:space="preserve"> </w:t>
      </w:r>
      <w:proofErr w:type="spellStart"/>
      <w:r>
        <w:rPr>
          <w:rFonts w:ascii="Franklin Gothic Book" w:eastAsiaTheme="minorHAnsi" w:hAnsi="Franklin Gothic Book" w:cstheme="minorBidi"/>
          <w:color w:val="auto"/>
        </w:rPr>
        <w:t>rates</w:t>
      </w:r>
      <w:proofErr w:type="spellEnd"/>
      <w:r>
        <w:rPr>
          <w:rFonts w:ascii="Franklin Gothic Book" w:eastAsiaTheme="minorHAnsi" w:hAnsi="Franklin Gothic Book" w:cstheme="minorBidi"/>
          <w:color w:val="auto"/>
        </w:rPr>
        <w:t>" pre podporu podnikateľských subjektov pri účasti vo výskumných projektoch,</w:t>
      </w:r>
    </w:p>
    <w:p w:rsidR="00CA67D8" w:rsidRDefault="00CA67D8" w:rsidP="00CA67D8">
      <w:pPr>
        <w:numPr>
          <w:ilvl w:val="1"/>
          <w:numId w:val="6"/>
        </w:numPr>
        <w:spacing w:after="0" w:line="240" w:lineRule="auto"/>
        <w:jc w:val="both"/>
        <w:rPr>
          <w:rFonts w:ascii="Franklin Gothic Book" w:eastAsiaTheme="minorHAnsi" w:hAnsi="Franklin Gothic Book" w:cstheme="minorBidi"/>
          <w:color w:val="auto"/>
        </w:rPr>
      </w:pPr>
      <w:r>
        <w:rPr>
          <w:rFonts w:ascii="Franklin Gothic Book" w:eastAsiaTheme="minorHAnsi" w:hAnsi="Franklin Gothic Book" w:cstheme="minorBidi"/>
          <w:color w:val="auto"/>
        </w:rPr>
        <w:t>umožniť všetkým typom žiadateľov, resp. partnerov vo výskumných projektoch aj systém zálohového financovania projektov.</w:t>
      </w:r>
    </w:p>
    <w:p w:rsidR="00CA67D8" w:rsidRDefault="00CA67D8" w:rsidP="00CA67D8">
      <w:pPr>
        <w:spacing w:after="0" w:line="240" w:lineRule="auto"/>
        <w:rPr>
          <w:rFonts w:asciiTheme="minorHAnsi" w:eastAsiaTheme="minorHAnsi" w:hAnsiTheme="minorHAnsi" w:cstheme="minorBidi"/>
          <w:color w:val="auto"/>
        </w:rPr>
      </w:pPr>
    </w:p>
    <w:p w:rsidR="00CA67D8" w:rsidRDefault="00CA67D8" w:rsidP="00CA67D8">
      <w:pPr>
        <w:tabs>
          <w:tab w:val="center" w:pos="4536"/>
          <w:tab w:val="right" w:pos="9072"/>
        </w:tabs>
        <w:spacing w:after="240" w:line="240" w:lineRule="auto"/>
        <w:jc w:val="both"/>
        <w:rPr>
          <w:rFonts w:ascii="Franklin Gothic Book" w:hAnsi="Franklin Gothic Book"/>
          <w:b/>
          <w:szCs w:val="24"/>
        </w:rPr>
      </w:pPr>
    </w:p>
    <w:p w:rsidR="00CA67D8" w:rsidRDefault="00CA67D8" w:rsidP="00CA67D8">
      <w:pPr>
        <w:pStyle w:val="Odsekzoznamu"/>
        <w:numPr>
          <w:ilvl w:val="0"/>
          <w:numId w:val="3"/>
        </w:numPr>
        <w:tabs>
          <w:tab w:val="center" w:pos="4536"/>
          <w:tab w:val="right" w:pos="9072"/>
        </w:tabs>
        <w:spacing w:after="0" w:line="240" w:lineRule="auto"/>
        <w:ind w:left="426" w:hanging="426"/>
        <w:jc w:val="both"/>
        <w:rPr>
          <w:rFonts w:ascii="Franklin Gothic Book" w:hAnsi="Franklin Gothic Book"/>
          <w:b/>
          <w:szCs w:val="24"/>
        </w:rPr>
      </w:pPr>
      <w:r>
        <w:rPr>
          <w:rFonts w:ascii="Franklin Gothic Book" w:hAnsi="Franklin Gothic Book"/>
          <w:b/>
          <w:szCs w:val="24"/>
        </w:rPr>
        <w:t xml:space="preserve">Operačný program Konkurencieschopnosť a hospodársky rast </w:t>
      </w:r>
    </w:p>
    <w:p w:rsidR="00CA67D8" w:rsidRDefault="00CA67D8" w:rsidP="00CA67D8">
      <w:pPr>
        <w:tabs>
          <w:tab w:val="center" w:pos="4320"/>
          <w:tab w:val="right" w:pos="8640"/>
        </w:tabs>
        <w:spacing w:after="240"/>
        <w:ind w:left="360"/>
        <w:jc w:val="both"/>
        <w:rPr>
          <w:rFonts w:ascii="Franklin Gothic Book" w:hAnsi="Franklin Gothic Book"/>
          <w:b/>
          <w:szCs w:val="24"/>
        </w:rPr>
      </w:pPr>
    </w:p>
    <w:p w:rsidR="00CA67D8" w:rsidRDefault="00CA67D8" w:rsidP="00CA67D8">
      <w:pPr>
        <w:spacing w:before="240" w:after="200" w:line="240" w:lineRule="auto"/>
        <w:jc w:val="both"/>
        <w:rPr>
          <w:rFonts w:ascii="Franklin Gothic Book" w:hAnsi="Franklin Gothic Book"/>
          <w:b/>
          <w:bCs/>
          <w:szCs w:val="24"/>
          <w:u w:val="single"/>
        </w:rPr>
      </w:pPr>
      <w:r>
        <w:rPr>
          <w:rFonts w:ascii="Franklin Gothic Book" w:hAnsi="Franklin Gothic Book"/>
          <w:b/>
          <w:bCs/>
          <w:szCs w:val="24"/>
          <w:u w:val="single"/>
        </w:rPr>
        <w:t>Efektívnejšie nastavenie procesov monitorovania a merateľných ukazovateľov</w:t>
      </w:r>
    </w:p>
    <w:p w:rsidR="00CA67D8" w:rsidRDefault="00CA67D8" w:rsidP="00CA67D8">
      <w:pPr>
        <w:pStyle w:val="ListDash"/>
        <w:numPr>
          <w:ilvl w:val="0"/>
          <w:numId w:val="0"/>
        </w:numPr>
        <w:tabs>
          <w:tab w:val="left" w:pos="708"/>
        </w:tabs>
        <w:rPr>
          <w:rFonts w:ascii="Franklin Gothic Book" w:hAnsi="Franklin Gothic Book"/>
          <w:bCs/>
          <w:color w:val="000000"/>
          <w:sz w:val="22"/>
          <w:szCs w:val="24"/>
          <w:lang w:val="sk-SK"/>
        </w:rPr>
      </w:pPr>
      <w:r>
        <w:rPr>
          <w:rFonts w:ascii="Franklin Gothic Book" w:hAnsi="Franklin Gothic Book"/>
          <w:bCs/>
          <w:color w:val="000000"/>
          <w:sz w:val="22"/>
          <w:szCs w:val="24"/>
          <w:lang w:val="sk-SK"/>
        </w:rPr>
        <w:t xml:space="preserve">Skúsenosti s vykazovaním účinnosti intervencií v rámci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xml:space="preserve"> poukázali na potrebu vhodnejšieho nastavenia merateľných ukazovateľov na programové obdobie 2014 – 2020, ich jednoznačného prepojenia z projektovej úrovne na programovú úroveň, a to predovšetkým v súvislosti s previazanosťou na špecifické ciele jednotlivých opatrení a prioritných osí, ich relevancie k podporovaným aktivitám, efektívnosťou ich merania a vykazovania, zrozumiteľnosťou a v konečnom dôsledku ich záväznosťou pre prijímateľa. Nemenej dôležitým faktorom je potreba vyjasnenia definície, logiky a merania každého </w:t>
      </w:r>
      <w:proofErr w:type="spellStart"/>
      <w:r>
        <w:rPr>
          <w:rFonts w:ascii="Franklin Gothic Book" w:hAnsi="Franklin Gothic Book"/>
          <w:bCs/>
          <w:color w:val="000000"/>
          <w:sz w:val="22"/>
          <w:szCs w:val="24"/>
          <w:lang w:val="sk-SK"/>
        </w:rPr>
        <w:t>core</w:t>
      </w:r>
      <w:proofErr w:type="spellEnd"/>
      <w:r>
        <w:rPr>
          <w:rFonts w:ascii="Franklin Gothic Book" w:hAnsi="Franklin Gothic Book"/>
          <w:bCs/>
          <w:color w:val="000000"/>
          <w:sz w:val="22"/>
          <w:szCs w:val="24"/>
          <w:lang w:val="sk-SK"/>
        </w:rPr>
        <w:t xml:space="preserve"> / hlavného merateľného ukazovateľa z centrálnej úrovne tak, aby sa dal agregovať z úrovne projektu až na najvyššiu požadovanú úroveň. </w:t>
      </w:r>
    </w:p>
    <w:p w:rsidR="00CA67D8" w:rsidRDefault="00CA67D8" w:rsidP="00CA67D8">
      <w:pPr>
        <w:pStyle w:val="ListDash"/>
        <w:numPr>
          <w:ilvl w:val="0"/>
          <w:numId w:val="0"/>
        </w:numPr>
        <w:tabs>
          <w:tab w:val="left" w:pos="708"/>
        </w:tabs>
        <w:rPr>
          <w:rFonts w:ascii="Franklin Gothic Book" w:hAnsi="Franklin Gothic Book"/>
          <w:bCs/>
          <w:color w:val="000000"/>
          <w:sz w:val="22"/>
          <w:szCs w:val="24"/>
          <w:lang w:val="sk-SK"/>
        </w:rPr>
      </w:pPr>
      <w:r>
        <w:rPr>
          <w:rFonts w:ascii="Franklin Gothic Book" w:hAnsi="Franklin Gothic Book"/>
          <w:bCs/>
          <w:color w:val="000000"/>
          <w:sz w:val="22"/>
          <w:szCs w:val="24"/>
          <w:lang w:val="sk-SK"/>
        </w:rPr>
        <w:t xml:space="preserve">Podstatným ponaučením sú chýbajúce záznamy z procesu nastavenia kvantifikovaných </w:t>
      </w:r>
      <w:proofErr w:type="spellStart"/>
      <w:r>
        <w:rPr>
          <w:rFonts w:ascii="Franklin Gothic Book" w:hAnsi="Franklin Gothic Book"/>
          <w:bCs/>
          <w:color w:val="000000"/>
          <w:sz w:val="22"/>
          <w:szCs w:val="24"/>
          <w:lang w:val="sk-SK"/>
        </w:rPr>
        <w:t>cieľovoperačného</w:t>
      </w:r>
      <w:proofErr w:type="spellEnd"/>
      <w:r>
        <w:rPr>
          <w:rFonts w:ascii="Franklin Gothic Book" w:hAnsi="Franklin Gothic Book"/>
          <w:bCs/>
          <w:color w:val="000000"/>
          <w:sz w:val="22"/>
          <w:szCs w:val="24"/>
          <w:lang w:val="sk-SK"/>
        </w:rPr>
        <w:t xml:space="preserve"> programu, ktoré by v mnohých prípadoch priniesli zdôvodnenie odchýlky skutočných hodnôt od nastavených plánov. V rámci príslušnej časti OP Výskum a inovácie zabezpečí MH SR komplexné analytické podklady k nastaveniu cieľových hodnôt merateľných ukazovateľov, ako k celému systému monitorovania. Tento nedostatok bude v rámci OP Výskum a inovácie odstránený samostatným dokumentom, ktorý bude tvoriť ucelený záznam o priebehu nastavovania procesov monitorovania a hodnotenia.</w:t>
      </w:r>
    </w:p>
    <w:p w:rsidR="00CA67D8" w:rsidRDefault="00CA67D8" w:rsidP="00CA67D8">
      <w:pPr>
        <w:pStyle w:val="ListDash"/>
        <w:numPr>
          <w:ilvl w:val="0"/>
          <w:numId w:val="0"/>
        </w:numPr>
        <w:tabs>
          <w:tab w:val="left" w:pos="708"/>
        </w:tabs>
        <w:rPr>
          <w:rFonts w:ascii="Franklin Gothic Book" w:hAnsi="Franklin Gothic Book"/>
          <w:bCs/>
          <w:szCs w:val="24"/>
          <w:lang w:val="sk-SK"/>
        </w:rPr>
      </w:pPr>
      <w:r>
        <w:rPr>
          <w:rFonts w:ascii="Franklin Gothic Book" w:hAnsi="Franklin Gothic Book"/>
          <w:bCs/>
          <w:color w:val="000000"/>
          <w:sz w:val="22"/>
          <w:szCs w:val="24"/>
          <w:lang w:val="sk-SK"/>
        </w:rPr>
        <w:lastRenderedPageBreak/>
        <w:t xml:space="preserve">V rámci programového obdobia 2007 – 2013 sa vo výraznej miere spoliehalo na názov merateľných ukazovateľov, ktoré mali jednoznačne indikovať jeho podstatu. V rámci tohto obdobia sa nezaviedol od začiatku programového obdobia jednoznačný definičný rámec merateľných ukazovateľov, ktorý by prispel k zvýšeniu internej </w:t>
      </w:r>
      <w:proofErr w:type="spellStart"/>
      <w:r>
        <w:rPr>
          <w:rFonts w:ascii="Franklin Gothic Book" w:hAnsi="Franklin Gothic Book"/>
          <w:bCs/>
          <w:color w:val="000000"/>
          <w:sz w:val="22"/>
          <w:szCs w:val="24"/>
          <w:lang w:val="sk-SK"/>
        </w:rPr>
        <w:t>validity</w:t>
      </w:r>
      <w:proofErr w:type="spellEnd"/>
      <w:r>
        <w:rPr>
          <w:rFonts w:ascii="Franklin Gothic Book" w:hAnsi="Franklin Gothic Book"/>
          <w:bCs/>
          <w:color w:val="000000"/>
          <w:sz w:val="22"/>
          <w:szCs w:val="24"/>
          <w:lang w:val="sk-SK"/>
        </w:rPr>
        <w:t xml:space="preserve"> vykazovaných, ako aj analyzovaných hodnôt. Z uvedeného dôvodu MH SR intenzívne vníma potrebu vzniku jednoznačných </w:t>
      </w:r>
      <w:proofErr w:type="spellStart"/>
      <w:r>
        <w:rPr>
          <w:rFonts w:ascii="Franklin Gothic Book" w:hAnsi="Franklin Gothic Book"/>
          <w:bCs/>
          <w:color w:val="000000"/>
          <w:sz w:val="22"/>
          <w:szCs w:val="24"/>
          <w:lang w:val="sk-SK"/>
        </w:rPr>
        <w:t>trans-rezortných</w:t>
      </w:r>
      <w:proofErr w:type="spellEnd"/>
      <w:r>
        <w:rPr>
          <w:rFonts w:ascii="Franklin Gothic Book" w:hAnsi="Franklin Gothic Book"/>
          <w:bCs/>
          <w:color w:val="000000"/>
          <w:sz w:val="22"/>
          <w:szCs w:val="24"/>
          <w:lang w:val="sk-SK"/>
        </w:rPr>
        <w:t xml:space="preserve"> definícií merateľných ukazovateľov. Zavedením jednotného systému na úrovni všetkých rezortov vznikne transparentná štruktúra monitorovaných ukazovateľov, ktoré bude možné plnohodnotne analyzovať.</w:t>
      </w:r>
    </w:p>
    <w:p w:rsidR="00CA67D8" w:rsidRDefault="00CA67D8" w:rsidP="00CA67D8">
      <w:pPr>
        <w:spacing w:before="240" w:after="200" w:line="240" w:lineRule="auto"/>
        <w:jc w:val="both"/>
        <w:rPr>
          <w:rFonts w:ascii="Franklin Gothic Book" w:hAnsi="Franklin Gothic Book"/>
          <w:b/>
          <w:bCs/>
          <w:szCs w:val="24"/>
          <w:u w:val="single"/>
        </w:rPr>
      </w:pPr>
      <w:r>
        <w:rPr>
          <w:rFonts w:ascii="Franklin Gothic Book" w:hAnsi="Franklin Gothic Book"/>
          <w:b/>
          <w:bCs/>
          <w:szCs w:val="24"/>
          <w:u w:val="single"/>
        </w:rPr>
        <w:t>Časové oneskorenie implementácie finančného nástroja JEREMIE</w:t>
      </w:r>
    </w:p>
    <w:p w:rsidR="00CA67D8" w:rsidRDefault="00CA67D8" w:rsidP="00CA67D8">
      <w:pPr>
        <w:pStyle w:val="ListDash"/>
        <w:numPr>
          <w:ilvl w:val="0"/>
          <w:numId w:val="0"/>
        </w:numPr>
        <w:tabs>
          <w:tab w:val="left" w:pos="708"/>
        </w:tabs>
        <w:rPr>
          <w:rFonts w:ascii="Franklin Gothic Book" w:hAnsi="Franklin Gothic Book"/>
          <w:bCs/>
          <w:color w:val="000000"/>
          <w:sz w:val="22"/>
          <w:szCs w:val="24"/>
          <w:lang w:val="sk-SK"/>
        </w:rPr>
      </w:pPr>
      <w:r>
        <w:rPr>
          <w:rFonts w:ascii="Franklin Gothic Book" w:hAnsi="Franklin Gothic Book"/>
          <w:bCs/>
          <w:color w:val="000000"/>
          <w:sz w:val="22"/>
          <w:szCs w:val="24"/>
          <w:lang w:val="sk-SK"/>
        </w:rPr>
        <w:t xml:space="preserve">Využitie podpory finančných nástrojov sa realizuje v rámci prioritnej osi 1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xml:space="preserve">. Inovácie a rast konkurencieschopnosti. Napriek skutočnosti, že v roku 2009 bola podpísaná Zmluva o financovaní medzi MH SR a EIF, ktorá upravuje finančný rámec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xml:space="preserve"> pre implementáciu iniciatívy JEREMIE, k podpore prvých MSP prostredníctvom iniciatívy JEREMIE došlo až v roku 2013. </w:t>
      </w:r>
    </w:p>
    <w:p w:rsidR="00CA67D8" w:rsidRDefault="00CA67D8" w:rsidP="00CA67D8">
      <w:pPr>
        <w:pStyle w:val="ListDash"/>
        <w:numPr>
          <w:ilvl w:val="0"/>
          <w:numId w:val="0"/>
        </w:numPr>
        <w:tabs>
          <w:tab w:val="left" w:pos="708"/>
        </w:tabs>
        <w:rPr>
          <w:rFonts w:ascii="Franklin Gothic Book" w:hAnsi="Franklin Gothic Book"/>
          <w:bCs/>
          <w:color w:val="000000"/>
          <w:sz w:val="22"/>
          <w:szCs w:val="24"/>
          <w:lang w:val="sk-SK"/>
        </w:rPr>
      </w:pPr>
      <w:r>
        <w:rPr>
          <w:rFonts w:ascii="Franklin Gothic Book" w:hAnsi="Franklin Gothic Book"/>
          <w:bCs/>
          <w:color w:val="000000"/>
          <w:sz w:val="22"/>
          <w:szCs w:val="24"/>
          <w:lang w:val="sk-SK"/>
        </w:rPr>
        <w:t xml:space="preserve">Základnými dôvodmi pre ktoré došlo k časovému oneskoreniu implementácie finančných nástrojov v rámci implementácie iniciatívy JEREMIE je zložitejší spôsob riadenia iniciatívy JEREMIE v SR, vzhľadom na zvolenú štruktúru pre implementáciu iniciatívy JEREMIE, t.j. prostredníctvom účelovo zriadenej spoločnosti riadenej medzinárodnou finančnou inštitúciou. Prípravná fáza sa preto čiastočne predlžila aj z dôvodu prípravy potrebnej zmluvnej dokumentácie v predmetnej štruktúre. Ďalšie predlženie bolo spôsobené aj financovaním iniciatívy JEREMIE z troch operačných programov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xml:space="preserve">, OP Výskum a vývoj, OP Bratislavský kraj) pričom pravidlá jednotlivých OP vo vzťahu k dodržiavaniu pravidiel ŠF EÚ sú nastavené primárne pre nenávratnú pomoc, čo spôsobilo veľké obmedzenia pri príprave nástrojov v rámci JEREMIE. Pomoc v rámci JEREMIE je považovaná za pomoc návratnú, a nástroje majú komerčný charakter a riadia sa tak trhovými podmienkami. Ako hlavné obmedzenie možno uviesť napr. územnú oprávnenosť, tzn. vylúčenie Bratislavského samosprávneho kraja z podpory iniciatívy JEREMIE pri nástrojoch financovaných z prostriedkov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vzhľadom na pravidlá OP. Koncentrácia MSP v tomto kraji je jedna z najvyšších v SR.</w:t>
      </w:r>
    </w:p>
    <w:p w:rsidR="00CA67D8" w:rsidRDefault="00CA67D8" w:rsidP="00CA67D8">
      <w:pPr>
        <w:pStyle w:val="ListDash"/>
        <w:numPr>
          <w:ilvl w:val="0"/>
          <w:numId w:val="0"/>
        </w:numPr>
        <w:tabs>
          <w:tab w:val="left" w:pos="708"/>
        </w:tabs>
        <w:rPr>
          <w:rFonts w:ascii="Franklin Gothic Book" w:hAnsi="Franklin Gothic Book"/>
          <w:bCs/>
          <w:szCs w:val="24"/>
          <w:lang w:val="sk-SK"/>
        </w:rPr>
      </w:pPr>
    </w:p>
    <w:p w:rsidR="00CA67D8" w:rsidRDefault="00CA67D8" w:rsidP="00CA67D8">
      <w:pPr>
        <w:spacing w:before="240" w:after="200" w:line="240" w:lineRule="auto"/>
        <w:jc w:val="both"/>
        <w:rPr>
          <w:rFonts w:ascii="Franklin Gothic Book" w:hAnsi="Franklin Gothic Book"/>
          <w:b/>
          <w:bCs/>
          <w:szCs w:val="24"/>
          <w:u w:val="single"/>
        </w:rPr>
      </w:pPr>
      <w:r>
        <w:rPr>
          <w:rFonts w:ascii="Franklin Gothic Book" w:hAnsi="Franklin Gothic Book"/>
          <w:b/>
          <w:bCs/>
          <w:szCs w:val="24"/>
          <w:u w:val="single"/>
        </w:rPr>
        <w:t>Efektívnejšie nastavenie procesov overovania verejného obstarávania</w:t>
      </w:r>
    </w:p>
    <w:p w:rsidR="00CA67D8" w:rsidRDefault="00CA67D8" w:rsidP="00CA67D8">
      <w:pPr>
        <w:jc w:val="both"/>
        <w:rPr>
          <w:rFonts w:ascii="Franklin Gothic Book" w:hAnsi="Franklin Gothic Book"/>
          <w:bCs/>
          <w:szCs w:val="24"/>
        </w:rPr>
      </w:pPr>
      <w:r>
        <w:rPr>
          <w:rFonts w:ascii="Franklin Gothic Book" w:hAnsi="Franklin Gothic Book"/>
          <w:bCs/>
          <w:szCs w:val="24"/>
        </w:rPr>
        <w:t xml:space="preserve">Skúsenosti s overovaním procesu verejného obstarávania vykonávaných prijímateľmi sú charakterizované ich vysokou chybovosťou, čoho dôsledkom je potreba opakovania súťaže a odďaľovanie reálneho čerpania na úrovni projektov. Problematiku verejného obstarávania je možné považovať za najzávažnejší problém vo vzťahu k čerpaniu a realizácii aktivít projektov. Problém sa v dôsledku metodických nejasností ukázal aj v jednotlivých fázach realizácie projektov, ktorý si však vyžaduje prijatie efektívnych opatrení na národnej úrovni. V tejto súvislosti už boli prijaté opatrenia z úrovne Riadiaceho orgánu pre OP </w:t>
      </w:r>
      <w:proofErr w:type="spellStart"/>
      <w:r>
        <w:rPr>
          <w:rFonts w:ascii="Franklin Gothic Book" w:hAnsi="Franklin Gothic Book"/>
          <w:bCs/>
          <w:szCs w:val="24"/>
        </w:rPr>
        <w:t>KaHR</w:t>
      </w:r>
      <w:proofErr w:type="spellEnd"/>
      <w:r>
        <w:rPr>
          <w:rFonts w:ascii="Franklin Gothic Book" w:hAnsi="Franklin Gothic Book"/>
          <w:bCs/>
          <w:szCs w:val="24"/>
        </w:rPr>
        <w:t xml:space="preserve"> v podobe metodických usmernení prijímateľov na svojom webovom sídle </w:t>
      </w:r>
      <w:hyperlink r:id="rId8" w:history="1">
        <w:r>
          <w:rPr>
            <w:rStyle w:val="Hypertextovprepojenie"/>
            <w:rFonts w:ascii="Franklin Gothic Book" w:hAnsi="Franklin Gothic Book"/>
            <w:bCs/>
            <w:color w:val="6B9F25"/>
            <w:szCs w:val="24"/>
          </w:rPr>
          <w:t>www.mhsr.sk</w:t>
        </w:r>
      </w:hyperlink>
      <w:r>
        <w:rPr>
          <w:rFonts w:ascii="Franklin Gothic Book" w:hAnsi="Franklin Gothic Book"/>
          <w:bCs/>
          <w:szCs w:val="24"/>
        </w:rPr>
        <w:t xml:space="preserve">. </w:t>
      </w:r>
    </w:p>
    <w:p w:rsidR="00CA67D8" w:rsidRDefault="00CA67D8" w:rsidP="00CA67D8">
      <w:pPr>
        <w:spacing w:before="240" w:after="200" w:line="240" w:lineRule="auto"/>
        <w:jc w:val="both"/>
        <w:rPr>
          <w:rFonts w:ascii="Franklin Gothic Book" w:hAnsi="Franklin Gothic Book"/>
          <w:b/>
          <w:bCs/>
          <w:szCs w:val="24"/>
          <w:u w:val="single"/>
        </w:rPr>
      </w:pPr>
      <w:r>
        <w:rPr>
          <w:rFonts w:ascii="Franklin Gothic Book" w:hAnsi="Franklin Gothic Book"/>
          <w:b/>
          <w:bCs/>
          <w:szCs w:val="24"/>
          <w:u w:val="single"/>
        </w:rPr>
        <w:t>Vyšší dôraz na hodnotiace procesy</w:t>
      </w:r>
    </w:p>
    <w:p w:rsidR="00CA67D8" w:rsidRDefault="00CA67D8" w:rsidP="00CA67D8">
      <w:pPr>
        <w:pStyle w:val="ListDash"/>
        <w:numPr>
          <w:ilvl w:val="0"/>
          <w:numId w:val="0"/>
        </w:numPr>
        <w:tabs>
          <w:tab w:val="left" w:pos="708"/>
        </w:tabs>
        <w:rPr>
          <w:rFonts w:ascii="Franklin Gothic Book" w:hAnsi="Franklin Gothic Book"/>
          <w:bCs/>
          <w:color w:val="000000"/>
          <w:sz w:val="22"/>
          <w:szCs w:val="24"/>
          <w:lang w:val="sk-SK"/>
        </w:rPr>
      </w:pPr>
      <w:r>
        <w:rPr>
          <w:rFonts w:ascii="Franklin Gothic Book" w:hAnsi="Franklin Gothic Book"/>
          <w:bCs/>
          <w:color w:val="000000"/>
          <w:sz w:val="22"/>
          <w:szCs w:val="24"/>
          <w:lang w:val="sk-SK"/>
        </w:rPr>
        <w:t xml:space="preserve">V nadväznosti na slabé stránky systému monitorovania v súčasnom programovom období 2007 – 2013 je hodnotenie v rámci mnohých intervencií OP jediným prostriedkom pre odhalenie prínosu k pozitívnemu </w:t>
      </w:r>
      <w:proofErr w:type="spellStart"/>
      <w:r>
        <w:rPr>
          <w:rFonts w:ascii="Franklin Gothic Book" w:hAnsi="Franklin Gothic Book"/>
          <w:bCs/>
          <w:color w:val="000000"/>
          <w:sz w:val="22"/>
          <w:szCs w:val="24"/>
          <w:lang w:val="sk-SK"/>
        </w:rPr>
        <w:t>socio-ekonomickému</w:t>
      </w:r>
      <w:proofErr w:type="spellEnd"/>
      <w:r>
        <w:rPr>
          <w:rFonts w:ascii="Franklin Gothic Book" w:hAnsi="Franklin Gothic Book"/>
          <w:bCs/>
          <w:color w:val="000000"/>
          <w:sz w:val="22"/>
          <w:szCs w:val="24"/>
          <w:lang w:val="sk-SK"/>
        </w:rPr>
        <w:t xml:space="preserve"> vývoju na Slovensku. S ohľadom na minulosť a súčasný stav sa dá konštatovať, že pri koncipovaní OP </w:t>
      </w:r>
      <w:proofErr w:type="spellStart"/>
      <w:r>
        <w:rPr>
          <w:rFonts w:ascii="Franklin Gothic Book" w:hAnsi="Franklin Gothic Book"/>
          <w:bCs/>
          <w:color w:val="000000"/>
          <w:sz w:val="22"/>
          <w:szCs w:val="24"/>
          <w:lang w:val="sk-SK"/>
        </w:rPr>
        <w:t>KaHR</w:t>
      </w:r>
      <w:proofErr w:type="spellEnd"/>
      <w:r>
        <w:rPr>
          <w:rFonts w:ascii="Franklin Gothic Book" w:hAnsi="Franklin Gothic Book"/>
          <w:bCs/>
          <w:color w:val="000000"/>
          <w:sz w:val="22"/>
          <w:szCs w:val="24"/>
          <w:lang w:val="sk-SK"/>
        </w:rPr>
        <w:t xml:space="preserve"> sa nedostatočne stanovila údajová základňa a metodika pre odhad týchto prínosov. Konkrétne by k odhaleniu príčinných vzťahov, efektu a intervencií malo prispieť hodnotenie dopadov, ako jeden z kľúčových nástrojov na odhad kvalitatívnych zmien operačného programu. Keďže monitorovanie je nástroj najmä popisujúci len kvantitatívne výsledky intervencií, je v ďalšom programovom období potrebné venovať obom </w:t>
      </w:r>
      <w:r>
        <w:rPr>
          <w:rFonts w:ascii="Franklin Gothic Book" w:hAnsi="Franklin Gothic Book"/>
          <w:bCs/>
          <w:color w:val="000000"/>
          <w:sz w:val="22"/>
          <w:szCs w:val="24"/>
          <w:lang w:val="sk-SK"/>
        </w:rPr>
        <w:lastRenderedPageBreak/>
        <w:t>systémom zvýšenú pozornosť. Uvedenú potrebu navrhuje MH SR čiastkovo vyriešiť zadefinovaním skupiny merateľných ukazovateľov, ktoré budú najmä podkladom pre analýzy a hodnotenia. Pôjde o monitorovanie tak kvalitatívneho posunu programu v rámci textovej časti monitorovacej správy, ako aj veľmi pestrú kvantitatívnu časť monitorujúcu finančnú a hospodársku kondíciu podporeného subjektu, príspevok k znižovaniu miery zamestnanosti, zníženie energetickej náročnosti, nárast inštalovaných kapacít, využiteľnosť výrobných kapacít podporeného podniku, či podnety na zlepšenie procesu implementácie a podobne.</w:t>
      </w:r>
    </w:p>
    <w:p w:rsidR="00565E4D" w:rsidRDefault="00565E4D"/>
    <w:sectPr w:rsidR="00565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FC" w:rsidRDefault="00231AFC" w:rsidP="00CA67D8">
      <w:pPr>
        <w:spacing w:after="0" w:line="240" w:lineRule="auto"/>
      </w:pPr>
      <w:r>
        <w:separator/>
      </w:r>
    </w:p>
  </w:endnote>
  <w:endnote w:type="continuationSeparator" w:id="0">
    <w:p w:rsidR="00231AFC" w:rsidRDefault="00231AFC" w:rsidP="00C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FC" w:rsidRDefault="00231AFC" w:rsidP="00CA67D8">
      <w:pPr>
        <w:spacing w:after="0" w:line="240" w:lineRule="auto"/>
      </w:pPr>
      <w:r>
        <w:separator/>
      </w:r>
    </w:p>
  </w:footnote>
  <w:footnote w:type="continuationSeparator" w:id="0">
    <w:p w:rsidR="00231AFC" w:rsidRDefault="00231AFC" w:rsidP="00CA67D8">
      <w:pPr>
        <w:spacing w:after="0" w:line="240" w:lineRule="auto"/>
      </w:pPr>
      <w:r>
        <w:continuationSeparator/>
      </w:r>
    </w:p>
  </w:footnote>
  <w:footnote w:id="1">
    <w:p w:rsidR="00CA67D8" w:rsidRDefault="00CA67D8" w:rsidP="00CA67D8">
      <w:pPr>
        <w:pStyle w:val="Textpoznmkypodiarou"/>
        <w:jc w:val="both"/>
        <w:rPr>
          <w:rFonts w:ascii="Times New Roman" w:hAnsi="Times New Roman"/>
          <w:sz w:val="20"/>
          <w:szCs w:val="20"/>
        </w:rPr>
      </w:pPr>
      <w:r>
        <w:rPr>
          <w:rStyle w:val="Odkaznapoznmkupodiarou"/>
        </w:rPr>
        <w:footnoteRef/>
      </w:r>
      <w:r>
        <w:t xml:space="preserve"> </w:t>
      </w:r>
      <w:r>
        <w:rPr>
          <w:rFonts w:ascii="Franklin Gothic Book" w:hAnsi="Franklin Gothic Book"/>
          <w:sz w:val="16"/>
          <w:szCs w:val="16"/>
        </w:rPr>
        <w:t xml:space="preserve">Dobudovanie týchto typov výskumných centier je súčasťou navrhovaných opatrení aj v Národnom programe reforiem, ako aj </w:t>
      </w:r>
      <w:proofErr w:type="spellStart"/>
      <w:r>
        <w:rPr>
          <w:rFonts w:ascii="Franklin Gothic Book" w:hAnsi="Franklin Gothic Book"/>
          <w:sz w:val="16"/>
          <w:szCs w:val="16"/>
        </w:rPr>
        <w:t>Prorastových</w:t>
      </w:r>
      <w:proofErr w:type="spellEnd"/>
      <w:r>
        <w:rPr>
          <w:rFonts w:ascii="Franklin Gothic Book" w:hAnsi="Franklin Gothic Book"/>
          <w:sz w:val="16"/>
          <w:szCs w:val="16"/>
        </w:rPr>
        <w:t xml:space="preserve"> opatrení schválených vládou SR.</w:t>
      </w:r>
    </w:p>
  </w:footnote>
  <w:footnote w:id="2">
    <w:p w:rsidR="00CA67D8" w:rsidRDefault="00CA67D8" w:rsidP="00CA67D8">
      <w:pPr>
        <w:pStyle w:val="Textpoznmkypodiarou"/>
        <w:jc w:val="both"/>
      </w:pPr>
      <w:r>
        <w:rPr>
          <w:rStyle w:val="Odkaznapoznmkupodiarou"/>
        </w:rPr>
        <w:footnoteRef/>
      </w:r>
      <w:r>
        <w:t xml:space="preserve"> </w:t>
      </w:r>
      <w:r>
        <w:rPr>
          <w:rFonts w:ascii="Franklin Gothic Book" w:hAnsi="Franklin Gothic Book"/>
          <w:sz w:val="16"/>
          <w:szCs w:val="16"/>
        </w:rPr>
        <w:t xml:space="preserve">Viď kapitola 1.3  a1.4 návrhu OP </w:t>
      </w:r>
      <w:proofErr w:type="spellStart"/>
      <w:r>
        <w:rPr>
          <w:rFonts w:ascii="Franklin Gothic Book" w:hAnsi="Franklin Gothic Book"/>
          <w:sz w:val="16"/>
          <w:szCs w:val="16"/>
        </w:rPr>
        <w:t>VaI</w:t>
      </w:r>
      <w:proofErr w:type="spellEnd"/>
    </w:p>
  </w:footnote>
  <w:footnote w:id="3">
    <w:p w:rsidR="00CA67D8" w:rsidRDefault="00CA67D8" w:rsidP="00CA67D8">
      <w:pPr>
        <w:pStyle w:val="Textpoznmkypodiarou"/>
        <w:jc w:val="both"/>
      </w:pPr>
      <w:r>
        <w:rPr>
          <w:rStyle w:val="Odkaznapoznmkupodiarou"/>
        </w:rPr>
        <w:footnoteRef/>
      </w:r>
      <w:r>
        <w:t xml:space="preserve"> </w:t>
      </w:r>
      <w:r>
        <w:rPr>
          <w:rFonts w:ascii="Franklin Gothic Book" w:hAnsi="Franklin Gothic Book"/>
          <w:sz w:val="16"/>
          <w:szCs w:val="16"/>
        </w:rPr>
        <w:t xml:space="preserve">V prípade neriešenia tejto otázky by v rokoch 2014 - 2020 výskum a vývoj v Bratislavskom kraji </w:t>
      </w:r>
      <w:proofErr w:type="spellStart"/>
      <w:r>
        <w:rPr>
          <w:rFonts w:ascii="Franklin Gothic Book" w:hAnsi="Franklin Gothic Book"/>
          <w:sz w:val="16"/>
          <w:szCs w:val="16"/>
        </w:rPr>
        <w:t>de</w:t>
      </w:r>
      <w:proofErr w:type="spellEnd"/>
      <w:r>
        <w:rPr>
          <w:rFonts w:ascii="Franklin Gothic Book" w:hAnsi="Franklin Gothic Book"/>
          <w:sz w:val="16"/>
          <w:szCs w:val="16"/>
        </w:rPr>
        <w:t xml:space="preserve"> facto vôbec nebol financovaný zo štrukturálnych fondov EÚ.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935"/>
    <w:multiLevelType w:val="hybridMultilevel"/>
    <w:tmpl w:val="601A3F42"/>
    <w:lvl w:ilvl="0" w:tplc="041B001B">
      <w:start w:val="1"/>
      <w:numFmt w:val="lowerRoman"/>
      <w:pStyle w:val="ListDash"/>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149F4909"/>
    <w:multiLevelType w:val="hybridMultilevel"/>
    <w:tmpl w:val="B866946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644"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
    <w:nsid w:val="1F2F7958"/>
    <w:multiLevelType w:val="hybridMultilevel"/>
    <w:tmpl w:val="DD84A7D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503A08DB"/>
    <w:multiLevelType w:val="hybridMultilevel"/>
    <w:tmpl w:val="95F8F5A4"/>
    <w:lvl w:ilvl="0" w:tplc="041B000F">
      <w:start w:val="1"/>
      <w:numFmt w:val="decimal"/>
      <w:lvlText w:val="%1."/>
      <w:lvlJc w:val="left"/>
      <w:pPr>
        <w:ind w:left="720" w:hanging="360"/>
      </w:pPr>
      <w:rPr>
        <w:rFonts w:cs="Times New Roman"/>
      </w:rPr>
    </w:lvl>
    <w:lvl w:ilvl="1" w:tplc="23140C22">
      <w:numFmt w:val="bullet"/>
      <w:lvlText w:val="•"/>
      <w:lvlJc w:val="left"/>
      <w:pPr>
        <w:ind w:left="1485" w:hanging="405"/>
      </w:pPr>
      <w:rPr>
        <w:rFonts w:ascii="Franklin Gothic Book" w:eastAsia="Times New Roman" w:hAnsi="Franklin Gothic Book" w:cs="Times New Roman"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69B51831"/>
    <w:multiLevelType w:val="hybridMultilevel"/>
    <w:tmpl w:val="8BB896F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Times New Roman"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Times New Roman" w:hint="default"/>
      </w:rPr>
    </w:lvl>
    <w:lvl w:ilvl="8" w:tplc="041B0005">
      <w:start w:val="1"/>
      <w:numFmt w:val="bullet"/>
      <w:lvlText w:val=""/>
      <w:lvlJc w:val="left"/>
      <w:pPr>
        <w:ind w:left="6120" w:hanging="360"/>
      </w:pPr>
      <w:rPr>
        <w:rFonts w:ascii="Wingdings" w:hAnsi="Wingdings" w:hint="default"/>
      </w:rPr>
    </w:lvl>
  </w:abstractNum>
  <w:abstractNum w:abstractNumId="5">
    <w:nsid w:val="7F792297"/>
    <w:multiLevelType w:val="hybridMultilevel"/>
    <w:tmpl w:val="BD34F5E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D8"/>
    <w:rsid w:val="00004816"/>
    <w:rsid w:val="00034B6E"/>
    <w:rsid w:val="000504B8"/>
    <w:rsid w:val="000541BA"/>
    <w:rsid w:val="000562EB"/>
    <w:rsid w:val="00060D09"/>
    <w:rsid w:val="00061B09"/>
    <w:rsid w:val="000632A4"/>
    <w:rsid w:val="00073B33"/>
    <w:rsid w:val="0008685A"/>
    <w:rsid w:val="0009379A"/>
    <w:rsid w:val="00095D60"/>
    <w:rsid w:val="000C28AE"/>
    <w:rsid w:val="000C3502"/>
    <w:rsid w:val="000D2A77"/>
    <w:rsid w:val="000F5D53"/>
    <w:rsid w:val="00170A79"/>
    <w:rsid w:val="00173608"/>
    <w:rsid w:val="00181BEC"/>
    <w:rsid w:val="00194BBD"/>
    <w:rsid w:val="001954D4"/>
    <w:rsid w:val="00196C44"/>
    <w:rsid w:val="001C12AA"/>
    <w:rsid w:val="001D207D"/>
    <w:rsid w:val="001F0959"/>
    <w:rsid w:val="0021533F"/>
    <w:rsid w:val="00215D8F"/>
    <w:rsid w:val="00220D3F"/>
    <w:rsid w:val="00231AFC"/>
    <w:rsid w:val="00236E33"/>
    <w:rsid w:val="0025593D"/>
    <w:rsid w:val="002940E7"/>
    <w:rsid w:val="00296F65"/>
    <w:rsid w:val="002B152A"/>
    <w:rsid w:val="002B7CBC"/>
    <w:rsid w:val="002D3B67"/>
    <w:rsid w:val="002E6862"/>
    <w:rsid w:val="002F5062"/>
    <w:rsid w:val="00301D0F"/>
    <w:rsid w:val="003046EE"/>
    <w:rsid w:val="003250CB"/>
    <w:rsid w:val="00331650"/>
    <w:rsid w:val="00337B87"/>
    <w:rsid w:val="00337D52"/>
    <w:rsid w:val="0034503B"/>
    <w:rsid w:val="00351589"/>
    <w:rsid w:val="0035422E"/>
    <w:rsid w:val="0036271A"/>
    <w:rsid w:val="003A0AD2"/>
    <w:rsid w:val="003A7ABF"/>
    <w:rsid w:val="003B4730"/>
    <w:rsid w:val="003D79C3"/>
    <w:rsid w:val="003E5455"/>
    <w:rsid w:val="003F383B"/>
    <w:rsid w:val="00405336"/>
    <w:rsid w:val="00406A69"/>
    <w:rsid w:val="004228D8"/>
    <w:rsid w:val="00432566"/>
    <w:rsid w:val="00444130"/>
    <w:rsid w:val="00455958"/>
    <w:rsid w:val="004568A3"/>
    <w:rsid w:val="0046008C"/>
    <w:rsid w:val="004778A4"/>
    <w:rsid w:val="00480ADC"/>
    <w:rsid w:val="00482B8E"/>
    <w:rsid w:val="00483AA7"/>
    <w:rsid w:val="00484629"/>
    <w:rsid w:val="00494794"/>
    <w:rsid w:val="004D306C"/>
    <w:rsid w:val="004D53F5"/>
    <w:rsid w:val="005110EE"/>
    <w:rsid w:val="00513061"/>
    <w:rsid w:val="00515FE6"/>
    <w:rsid w:val="005205F5"/>
    <w:rsid w:val="0052152C"/>
    <w:rsid w:val="0052512F"/>
    <w:rsid w:val="005377B4"/>
    <w:rsid w:val="00550534"/>
    <w:rsid w:val="00550DAB"/>
    <w:rsid w:val="00562921"/>
    <w:rsid w:val="00565E4D"/>
    <w:rsid w:val="00574B75"/>
    <w:rsid w:val="00577CFB"/>
    <w:rsid w:val="005972D4"/>
    <w:rsid w:val="00597874"/>
    <w:rsid w:val="005B38D3"/>
    <w:rsid w:val="005B4B11"/>
    <w:rsid w:val="005B74E0"/>
    <w:rsid w:val="005D4AA8"/>
    <w:rsid w:val="005E2617"/>
    <w:rsid w:val="005E4DA1"/>
    <w:rsid w:val="005F0DA5"/>
    <w:rsid w:val="005F6940"/>
    <w:rsid w:val="005F7212"/>
    <w:rsid w:val="006036B1"/>
    <w:rsid w:val="00624515"/>
    <w:rsid w:val="00626224"/>
    <w:rsid w:val="00646393"/>
    <w:rsid w:val="006537A3"/>
    <w:rsid w:val="0065552D"/>
    <w:rsid w:val="00667852"/>
    <w:rsid w:val="006725A1"/>
    <w:rsid w:val="00673EE3"/>
    <w:rsid w:val="0067460D"/>
    <w:rsid w:val="00687679"/>
    <w:rsid w:val="0069660A"/>
    <w:rsid w:val="006B7EBC"/>
    <w:rsid w:val="006F52A4"/>
    <w:rsid w:val="00701A36"/>
    <w:rsid w:val="00703063"/>
    <w:rsid w:val="00707AAE"/>
    <w:rsid w:val="00717F67"/>
    <w:rsid w:val="00737AF3"/>
    <w:rsid w:val="00750EB6"/>
    <w:rsid w:val="007528AD"/>
    <w:rsid w:val="00767F8A"/>
    <w:rsid w:val="007908A8"/>
    <w:rsid w:val="007A2543"/>
    <w:rsid w:val="007B7F39"/>
    <w:rsid w:val="007E2F77"/>
    <w:rsid w:val="007E3C3A"/>
    <w:rsid w:val="007E75BF"/>
    <w:rsid w:val="008226E5"/>
    <w:rsid w:val="008260CF"/>
    <w:rsid w:val="00831FFD"/>
    <w:rsid w:val="008717C6"/>
    <w:rsid w:val="00877822"/>
    <w:rsid w:val="008B6FE5"/>
    <w:rsid w:val="008C5539"/>
    <w:rsid w:val="008C56E5"/>
    <w:rsid w:val="008F1080"/>
    <w:rsid w:val="00905C60"/>
    <w:rsid w:val="0093363F"/>
    <w:rsid w:val="00973E79"/>
    <w:rsid w:val="0098085E"/>
    <w:rsid w:val="00985AAA"/>
    <w:rsid w:val="00987812"/>
    <w:rsid w:val="00990CDC"/>
    <w:rsid w:val="009B6622"/>
    <w:rsid w:val="009C2C91"/>
    <w:rsid w:val="009E5653"/>
    <w:rsid w:val="009F7F40"/>
    <w:rsid w:val="00A06AB9"/>
    <w:rsid w:val="00A140B7"/>
    <w:rsid w:val="00A3030D"/>
    <w:rsid w:val="00A35D5E"/>
    <w:rsid w:val="00A400F1"/>
    <w:rsid w:val="00A51B70"/>
    <w:rsid w:val="00A55B7C"/>
    <w:rsid w:val="00A57489"/>
    <w:rsid w:val="00A61159"/>
    <w:rsid w:val="00AD1C9B"/>
    <w:rsid w:val="00AE71B5"/>
    <w:rsid w:val="00B11424"/>
    <w:rsid w:val="00B12506"/>
    <w:rsid w:val="00B2061B"/>
    <w:rsid w:val="00B2459A"/>
    <w:rsid w:val="00B52057"/>
    <w:rsid w:val="00B812D3"/>
    <w:rsid w:val="00B871B6"/>
    <w:rsid w:val="00BA37F2"/>
    <w:rsid w:val="00BC3ECA"/>
    <w:rsid w:val="00BC4673"/>
    <w:rsid w:val="00BD2407"/>
    <w:rsid w:val="00BD4BCB"/>
    <w:rsid w:val="00BE121D"/>
    <w:rsid w:val="00BE4540"/>
    <w:rsid w:val="00BF2F69"/>
    <w:rsid w:val="00C1073D"/>
    <w:rsid w:val="00C12359"/>
    <w:rsid w:val="00C12546"/>
    <w:rsid w:val="00C23FD2"/>
    <w:rsid w:val="00C37C8F"/>
    <w:rsid w:val="00C414D3"/>
    <w:rsid w:val="00C4572D"/>
    <w:rsid w:val="00C660FE"/>
    <w:rsid w:val="00C72C3B"/>
    <w:rsid w:val="00C85BF8"/>
    <w:rsid w:val="00C97C33"/>
    <w:rsid w:val="00CA67D8"/>
    <w:rsid w:val="00CB01C7"/>
    <w:rsid w:val="00CB1564"/>
    <w:rsid w:val="00CC15AC"/>
    <w:rsid w:val="00CC2F0C"/>
    <w:rsid w:val="00CD3BA0"/>
    <w:rsid w:val="00D21EEC"/>
    <w:rsid w:val="00D32B97"/>
    <w:rsid w:val="00D4549F"/>
    <w:rsid w:val="00D67AE8"/>
    <w:rsid w:val="00D736D9"/>
    <w:rsid w:val="00DA5C1F"/>
    <w:rsid w:val="00DB3008"/>
    <w:rsid w:val="00DF1E34"/>
    <w:rsid w:val="00E01AC4"/>
    <w:rsid w:val="00E12A13"/>
    <w:rsid w:val="00E142F1"/>
    <w:rsid w:val="00E16258"/>
    <w:rsid w:val="00E4209A"/>
    <w:rsid w:val="00E555AB"/>
    <w:rsid w:val="00E56646"/>
    <w:rsid w:val="00E61A5D"/>
    <w:rsid w:val="00E62F01"/>
    <w:rsid w:val="00E97017"/>
    <w:rsid w:val="00EA405E"/>
    <w:rsid w:val="00EC4691"/>
    <w:rsid w:val="00EC7924"/>
    <w:rsid w:val="00ED53C1"/>
    <w:rsid w:val="00EE1024"/>
    <w:rsid w:val="00EF61B2"/>
    <w:rsid w:val="00F0239B"/>
    <w:rsid w:val="00F034F5"/>
    <w:rsid w:val="00F05D64"/>
    <w:rsid w:val="00F208F1"/>
    <w:rsid w:val="00F24228"/>
    <w:rsid w:val="00F371D7"/>
    <w:rsid w:val="00F76B87"/>
    <w:rsid w:val="00F8705B"/>
    <w:rsid w:val="00FA72D5"/>
    <w:rsid w:val="00FA79B4"/>
    <w:rsid w:val="00FC1EAD"/>
    <w:rsid w:val="00FC7562"/>
    <w:rsid w:val="00FD3AA7"/>
    <w:rsid w:val="00FE30E9"/>
    <w:rsid w:val="00FE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67D8"/>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CA67D8"/>
    <w:rPr>
      <w:color w:val="0000FF" w:themeColor="hyperlink"/>
      <w:u w:val="single"/>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CA67D8"/>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CA67D8"/>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basedOn w:val="Predvolenpsmoodseku"/>
    <w:uiPriority w:val="99"/>
    <w:semiHidden/>
    <w:rsid w:val="00CA67D8"/>
    <w:rPr>
      <w:rFonts w:ascii="Times New Roman" w:eastAsia="Times New Roman" w:hAnsi="Times New Roman" w:cs="Times New Roman"/>
      <w:color w:val="000000"/>
      <w:sz w:val="20"/>
      <w:szCs w:val="20"/>
    </w:rPr>
  </w:style>
  <w:style w:type="character" w:customStyle="1" w:styleId="OdsekzoznamuChar">
    <w:name w:val="Odsek zoznamu Char"/>
    <w:aliases w:val="body Char"/>
    <w:link w:val="Odsekzoznamu"/>
    <w:uiPriority w:val="99"/>
    <w:locked/>
    <w:rsid w:val="00CA67D8"/>
    <w:rPr>
      <w:color w:val="000000"/>
    </w:rPr>
  </w:style>
  <w:style w:type="paragraph" w:styleId="Odsekzoznamu">
    <w:name w:val="List Paragraph"/>
    <w:aliases w:val="body"/>
    <w:basedOn w:val="Normlny"/>
    <w:link w:val="OdsekzoznamuChar"/>
    <w:uiPriority w:val="99"/>
    <w:qFormat/>
    <w:rsid w:val="00CA67D8"/>
    <w:pPr>
      <w:ind w:left="720"/>
      <w:contextualSpacing/>
    </w:pPr>
    <w:rPr>
      <w:rFonts w:asciiTheme="minorHAnsi" w:eastAsiaTheme="minorHAnsi" w:hAnsiTheme="minorHAnsi" w:cstheme="minorBidi"/>
    </w:rPr>
  </w:style>
  <w:style w:type="paragraph" w:customStyle="1" w:styleId="ListDash">
    <w:name w:val="List Dash"/>
    <w:basedOn w:val="Normlny"/>
    <w:uiPriority w:val="99"/>
    <w:rsid w:val="00CA67D8"/>
    <w:pPr>
      <w:numPr>
        <w:numId w:val="1"/>
      </w:numPr>
      <w:tabs>
        <w:tab w:val="num" w:pos="283"/>
      </w:tabs>
      <w:spacing w:after="240" w:line="240" w:lineRule="auto"/>
      <w:ind w:left="283" w:hanging="283"/>
      <w:jc w:val="both"/>
    </w:pPr>
    <w:rPr>
      <w:color w:val="auto"/>
      <w:sz w:val="24"/>
      <w:szCs w:val="20"/>
      <w:lang w:val="en-GB"/>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CA67D8"/>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A67D8"/>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CA67D8"/>
    <w:rPr>
      <w:color w:val="0000FF" w:themeColor="hyperlink"/>
      <w:u w:val="single"/>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CA67D8"/>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CA67D8"/>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basedOn w:val="Predvolenpsmoodseku"/>
    <w:uiPriority w:val="99"/>
    <w:semiHidden/>
    <w:rsid w:val="00CA67D8"/>
    <w:rPr>
      <w:rFonts w:ascii="Times New Roman" w:eastAsia="Times New Roman" w:hAnsi="Times New Roman" w:cs="Times New Roman"/>
      <w:color w:val="000000"/>
      <w:sz w:val="20"/>
      <w:szCs w:val="20"/>
    </w:rPr>
  </w:style>
  <w:style w:type="character" w:customStyle="1" w:styleId="OdsekzoznamuChar">
    <w:name w:val="Odsek zoznamu Char"/>
    <w:aliases w:val="body Char"/>
    <w:link w:val="Odsekzoznamu"/>
    <w:uiPriority w:val="99"/>
    <w:locked/>
    <w:rsid w:val="00CA67D8"/>
    <w:rPr>
      <w:color w:val="000000"/>
    </w:rPr>
  </w:style>
  <w:style w:type="paragraph" w:styleId="Odsekzoznamu">
    <w:name w:val="List Paragraph"/>
    <w:aliases w:val="body"/>
    <w:basedOn w:val="Normlny"/>
    <w:link w:val="OdsekzoznamuChar"/>
    <w:uiPriority w:val="99"/>
    <w:qFormat/>
    <w:rsid w:val="00CA67D8"/>
    <w:pPr>
      <w:ind w:left="720"/>
      <w:contextualSpacing/>
    </w:pPr>
    <w:rPr>
      <w:rFonts w:asciiTheme="minorHAnsi" w:eastAsiaTheme="minorHAnsi" w:hAnsiTheme="minorHAnsi" w:cstheme="minorBidi"/>
    </w:rPr>
  </w:style>
  <w:style w:type="paragraph" w:customStyle="1" w:styleId="ListDash">
    <w:name w:val="List Dash"/>
    <w:basedOn w:val="Normlny"/>
    <w:uiPriority w:val="99"/>
    <w:rsid w:val="00CA67D8"/>
    <w:pPr>
      <w:numPr>
        <w:numId w:val="1"/>
      </w:numPr>
      <w:tabs>
        <w:tab w:val="num" w:pos="283"/>
      </w:tabs>
      <w:spacing w:after="240" w:line="240" w:lineRule="auto"/>
      <w:ind w:left="283" w:hanging="283"/>
      <w:jc w:val="both"/>
    </w:pPr>
    <w:rPr>
      <w:color w:val="auto"/>
      <w:sz w:val="24"/>
      <w:szCs w:val="20"/>
      <w:lang w:val="en-GB"/>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CA67D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WKX3UHSAJ2R6-2-378200</_dlc_DocId>
    <_dlc_DocIdUrl xmlns="e60a29af-d413-48d4-bd90-fe9d2a897e4b">
      <Url>https://ovdmasv601/sites/DMS/_layouts/15/DocIdRedir.aspx?ID=WKX3UHSAJ2R6-2-378200</Url>
      <Description>WKX3UHSAJ2R6-2-378200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A0ACA4-0EF9-4377-8165-3DE21784BF56}"/>
</file>

<file path=customXml/itemProps2.xml><?xml version="1.0" encoding="utf-8"?>
<ds:datastoreItem xmlns:ds="http://schemas.openxmlformats.org/officeDocument/2006/customXml" ds:itemID="{D1629AFE-2276-4878-928D-D91EDA08A671}"/>
</file>

<file path=customXml/itemProps3.xml><?xml version="1.0" encoding="utf-8"?>
<ds:datastoreItem xmlns:ds="http://schemas.openxmlformats.org/officeDocument/2006/customXml" ds:itemID="{BF730603-BCCF-4483-A815-5ED370ED6086}"/>
</file>

<file path=customXml/itemProps4.xml><?xml version="1.0" encoding="utf-8"?>
<ds:datastoreItem xmlns:ds="http://schemas.openxmlformats.org/officeDocument/2006/customXml" ds:itemID="{DE23A6CA-6344-40CE-ADD5-E167D7488DBF}"/>
</file>

<file path=docProps/app.xml><?xml version="1.0" encoding="utf-8"?>
<Properties xmlns="http://schemas.openxmlformats.org/officeDocument/2006/extended-properties" xmlns:vt="http://schemas.openxmlformats.org/officeDocument/2006/docPropsVTypes">
  <Template>Normal</Template>
  <TotalTime>1</TotalTime>
  <Pages>6</Pages>
  <Words>2502</Words>
  <Characters>14264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Uhrinova</dc:creator>
  <cp:lastModifiedBy>Andrea Uhrinova</cp:lastModifiedBy>
  <cp:revision>1</cp:revision>
  <dcterms:created xsi:type="dcterms:W3CDTF">2014-05-07T01:37:00Z</dcterms:created>
  <dcterms:modified xsi:type="dcterms:W3CDTF">2014-05-07T01:38:00Z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ce78d3a8-5ee7-4154-8595-2ae302034121</vt:lpwstr>
  </property>
</Properties>
</file>