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079" w:rsidRPr="008B3E2C" w:rsidRDefault="00502907" w:rsidP="00040079">
      <w:pPr>
        <w:spacing w:after="60"/>
        <w:jc w:val="center"/>
        <w:rPr>
          <w:b/>
        </w:rPr>
      </w:pPr>
      <w:r>
        <w:rPr>
          <w:b/>
        </w:rPr>
        <w:t>Návrh na vyčlenenie príspevku O</w:t>
      </w:r>
      <w:r w:rsidR="00040079" w:rsidRPr="008B3E2C">
        <w:rPr>
          <w:b/>
        </w:rPr>
        <w:t xml:space="preserve">zbrojených síl Slovenskej republiky do okamžitých záloh pre operáciu EUFOR ALTHEA v Bosne a Hercegovine od 1. </w:t>
      </w:r>
      <w:r w:rsidR="00301F7D">
        <w:rPr>
          <w:b/>
        </w:rPr>
        <w:t>februára</w:t>
      </w:r>
      <w:r w:rsidR="00284208" w:rsidRPr="008B3E2C">
        <w:rPr>
          <w:b/>
        </w:rPr>
        <w:t xml:space="preserve"> </w:t>
      </w:r>
      <w:r w:rsidR="00040079" w:rsidRPr="008B3E2C">
        <w:rPr>
          <w:b/>
        </w:rPr>
        <w:t>201</w:t>
      </w:r>
      <w:r w:rsidR="00301F7D">
        <w:rPr>
          <w:b/>
        </w:rPr>
        <w:t>5</w:t>
      </w:r>
      <w:r w:rsidR="00040079" w:rsidRPr="008B3E2C">
        <w:rPr>
          <w:b/>
        </w:rPr>
        <w:t xml:space="preserve"> do 31. decembra 201</w:t>
      </w:r>
      <w:r w:rsidR="00301F7D">
        <w:rPr>
          <w:b/>
        </w:rPr>
        <w:t>5</w:t>
      </w:r>
    </w:p>
    <w:p w:rsidR="00040079" w:rsidRPr="008B3E2C" w:rsidRDefault="00040079" w:rsidP="00040079">
      <w:pPr>
        <w:spacing w:after="60"/>
        <w:rPr>
          <w:b/>
          <w:u w:val="single"/>
        </w:rPr>
      </w:pPr>
    </w:p>
    <w:p w:rsidR="00040079" w:rsidRPr="00A47B1F" w:rsidRDefault="00040079" w:rsidP="00040079">
      <w:pPr>
        <w:numPr>
          <w:ilvl w:val="0"/>
          <w:numId w:val="2"/>
        </w:numPr>
        <w:spacing w:after="60"/>
        <w:rPr>
          <w:b/>
          <w:u w:val="single"/>
        </w:rPr>
      </w:pPr>
      <w:r w:rsidRPr="00A47B1F">
        <w:rPr>
          <w:b/>
          <w:bCs/>
          <w:u w:val="single"/>
        </w:rPr>
        <w:t>Politické aspekty a medzinárodnopolitické súvislosti návrhu</w:t>
      </w:r>
    </w:p>
    <w:p w:rsidR="00040079" w:rsidRPr="00A47B1F" w:rsidRDefault="00973FA2" w:rsidP="00973FA2">
      <w:pPr>
        <w:jc w:val="both"/>
      </w:pPr>
      <w:r>
        <w:t xml:space="preserve">          </w:t>
      </w:r>
      <w:r w:rsidR="00040079" w:rsidRPr="00A47B1F">
        <w:t>Operácia EUFOR ALTHEA je súčasťou komplexného prístupu EÚ k bezpečnostnej, politickej a sociálno-ekonomickej stabilizácii Bosny a Hercegoviny a zapadá do celkovej mozaiky stabilizačných cieľov EÚ v regióne západného Balkánu. Mier, stabilita, rozvoj a prosperita ce</w:t>
      </w:r>
      <w:r w:rsidR="003213AC">
        <w:t>lého</w:t>
      </w:r>
      <w:r w:rsidR="00040079" w:rsidRPr="00A47B1F">
        <w:t xml:space="preserve"> regiónu patria medzi priority zahraničnej politiky</w:t>
      </w:r>
      <w:r w:rsidR="00E2525F">
        <w:t xml:space="preserve"> Slovenskej republiky</w:t>
      </w:r>
      <w:r w:rsidR="00C7783E">
        <w:t xml:space="preserve"> (ďalej len „SR“)</w:t>
      </w:r>
      <w:r w:rsidR="00040079" w:rsidRPr="00A47B1F">
        <w:t xml:space="preserve"> z dôvodu zaistenia stability a bezpečnosti strednej Európy, geografickej blízkosti, hospodárskej a ekonomickej spolupráce, slovenskej menšiny žijúcej v regióne, a rozvoja partnerstiev v kontexte procesov rozširovania EÚ a NATO.</w:t>
      </w:r>
    </w:p>
    <w:p w:rsidR="00FA0D60" w:rsidRDefault="00C7783E" w:rsidP="00C7783E">
      <w:pPr>
        <w:spacing w:after="60"/>
        <w:jc w:val="both"/>
      </w:pPr>
      <w:r>
        <w:t xml:space="preserve">           </w:t>
      </w:r>
      <w:r w:rsidR="00040079" w:rsidRPr="00A47B1F">
        <w:t>Operácia</w:t>
      </w:r>
      <w:r w:rsidR="003213AC">
        <w:t xml:space="preserve"> EUFOR ALTHEA</w:t>
      </w:r>
      <w:r w:rsidR="00040079" w:rsidRPr="00A47B1F">
        <w:t xml:space="preserve"> bola spustená 2. decembra 2</w:t>
      </w:r>
      <w:r w:rsidR="003213AC">
        <w:t xml:space="preserve">004 a vznikla transformáciou </w:t>
      </w:r>
      <w:r w:rsidR="00040079" w:rsidRPr="00A47B1F">
        <w:t>stabilizačnej operácie NATO SFOR, ktorá v krajine pôsobila v rokoch 1997-2004. V roku 2004 prevzala EÚ hlavnú zodpovednosť za udržiavanie bezpečného prostredia v Bosne a Hercegovine. V súčasnosti je bezpečnostná situácia v krajine stabilizovaná</w:t>
      </w:r>
      <w:r w:rsidR="00040079" w:rsidRPr="00A47B1F">
        <w:rPr>
          <w:lang w:eastAsia="cs-CZ"/>
        </w:rPr>
        <w:t>,</w:t>
      </w:r>
      <w:r w:rsidR="00040079" w:rsidRPr="00A47B1F">
        <w:t xml:space="preserve"> avšak vzhľadom na zložitú politickú situáciu zostáva naďalej krehká. Mandát operácie EUFOR ALTHEA (schválený rezolúciou BR OSN č. 1551/2004) bol </w:t>
      </w:r>
      <w:r w:rsidR="00FA0D60">
        <w:t>11. novembra 2014</w:t>
      </w:r>
      <w:r w:rsidR="00040079" w:rsidRPr="00A47B1F">
        <w:t xml:space="preserve"> prostredníctvom rezolúcie BR OSN č. </w:t>
      </w:r>
      <w:r w:rsidR="00FA0D60">
        <w:t>2183/2014</w:t>
      </w:r>
      <w:r w:rsidR="00040079" w:rsidRPr="00A47B1F">
        <w:t xml:space="preserve"> predĺžený o ďalš</w:t>
      </w:r>
      <w:r w:rsidR="005B2E35">
        <w:t xml:space="preserve">í rok, a to do </w:t>
      </w:r>
      <w:r w:rsidR="00FA0D60">
        <w:t>novembra 2015</w:t>
      </w:r>
      <w:r w:rsidR="00040079">
        <w:t xml:space="preserve">. </w:t>
      </w:r>
      <w:r w:rsidR="00FA0D60">
        <w:t xml:space="preserve"> </w:t>
      </w:r>
    </w:p>
    <w:p w:rsidR="00D4768C" w:rsidRDefault="00C7783E" w:rsidP="00C7783E">
      <w:pPr>
        <w:spacing w:after="60"/>
        <w:jc w:val="both"/>
      </w:pPr>
      <w:r>
        <w:t xml:space="preserve">           </w:t>
      </w:r>
      <w:r w:rsidR="00040079" w:rsidRPr="00A47B1F">
        <w:t>EUFOR ALTHEA mala pôvodne mandát na približne 1300 síl</w:t>
      </w:r>
      <w:r w:rsidR="00040079">
        <w:t xml:space="preserve"> na území </w:t>
      </w:r>
      <w:r w:rsidR="00040079" w:rsidRPr="00A47B1F">
        <w:t>Bosny a Hercegoviny, avšak v dôsledku ich nedostatku (</w:t>
      </w:r>
      <w:r w:rsidR="006F32E3">
        <w:t>chýbalo približne 40 % síl) bol</w:t>
      </w:r>
      <w:r w:rsidR="00061775">
        <w:t>a</w:t>
      </w:r>
      <w:r w:rsidR="00040079" w:rsidRPr="00A47B1F">
        <w:t xml:space="preserve"> </w:t>
      </w:r>
      <w:r w:rsidR="00C07543">
        <w:t>v septembri</w:t>
      </w:r>
      <w:r w:rsidR="00040079" w:rsidRPr="00A47B1F">
        <w:t xml:space="preserve"> 2012 zredukovaná na maximálne 600 členov, pričom aj vďaka úsiliu </w:t>
      </w:r>
      <w:r>
        <w:t>SR</w:t>
      </w:r>
      <w:r w:rsidR="00040079" w:rsidRPr="00A47B1F">
        <w:t xml:space="preserve"> sa podarilo zachovať exekutívnu časť jej mandátu (t.</w:t>
      </w:r>
      <w:r w:rsidR="00D4768C">
        <w:t xml:space="preserve"> </w:t>
      </w:r>
      <w:r w:rsidR="00040079" w:rsidRPr="00A47B1F">
        <w:t>j. ponechanie „odstrašujúcej“ vojenskej  prítomnosti s cieľom zabrániť prípadnému opät</w:t>
      </w:r>
      <w:r>
        <w:t>ovnému vypuknutiu násilia). SR</w:t>
      </w:r>
      <w:r w:rsidR="00040079" w:rsidRPr="00A47B1F">
        <w:t xml:space="preserve"> považuje zachovanie exekutí</w:t>
      </w:r>
      <w:r w:rsidR="003213AC">
        <w:t>vnej časti EUFOR ALTHEA za</w:t>
      </w:r>
      <w:r w:rsidR="00040079" w:rsidRPr="00A47B1F">
        <w:t xml:space="preserve"> dôležité z hľadiska procesu transformácie medzinárodnej prítomnosti z Úradu vysokého predstaviteľa (OHR) na posilnenú prítomnosť EÚ v Bosne a Hercegovine, pričom podobné stanoviská</w:t>
      </w:r>
      <w:r w:rsidR="00FA0D60">
        <w:t xml:space="preserve"> tradične</w:t>
      </w:r>
      <w:r w:rsidR="00040079" w:rsidRPr="00A47B1F">
        <w:t xml:space="preserve"> zastávajú</w:t>
      </w:r>
      <w:r w:rsidR="00D443B1">
        <w:t xml:space="preserve"> na pôde EÚ</w:t>
      </w:r>
      <w:r w:rsidR="00040079" w:rsidRPr="00A47B1F">
        <w:t xml:space="preserve"> aj Veľ</w:t>
      </w:r>
      <w:r w:rsidR="00D443B1">
        <w:t xml:space="preserve">ká Británia, Rakúsko, Maďarsko, </w:t>
      </w:r>
      <w:r w:rsidR="00040079" w:rsidRPr="00A47B1F">
        <w:t>Slovinsko</w:t>
      </w:r>
      <w:r w:rsidR="00D443B1">
        <w:t xml:space="preserve">, Bulharsko, Rumunsko </w:t>
      </w:r>
      <w:r w:rsidR="00FA0D60">
        <w:t>či</w:t>
      </w:r>
      <w:r w:rsidR="00D443B1">
        <w:t xml:space="preserve"> Chorvátsko. </w:t>
      </w:r>
      <w:r w:rsidR="00040079" w:rsidRPr="00A47B1F">
        <w:t xml:space="preserve">Nedostatok síl pre exekutívnu časť operácie je kompenzovaný vytvorením okamžitých záloh, do ktorých </w:t>
      </w:r>
      <w:r w:rsidR="004B65F3">
        <w:t>deklarujú</w:t>
      </w:r>
      <w:r w:rsidR="00040079" w:rsidRPr="00A47B1F">
        <w:t xml:space="preserve"> príspevky</w:t>
      </w:r>
      <w:r w:rsidR="004B65F3">
        <w:t xml:space="preserve"> najmä podporovatelia exekutívneho mandátu na pôde EÚ. </w:t>
      </w:r>
      <w:r w:rsidR="00FA0D60">
        <w:t>V roku 2014</w:t>
      </w:r>
      <w:r w:rsidR="0056259C">
        <w:t xml:space="preserve"> </w:t>
      </w:r>
      <w:r>
        <w:t>SR</w:t>
      </w:r>
      <w:r w:rsidR="00040079" w:rsidRPr="00A47B1F">
        <w:t xml:space="preserve"> </w:t>
      </w:r>
      <w:r w:rsidR="004B65F3">
        <w:t xml:space="preserve">deklarovala svoj príspevok </w:t>
      </w:r>
      <w:r>
        <w:t xml:space="preserve">do okamžitých záloh </w:t>
      </w:r>
      <w:r w:rsidR="004B65F3">
        <w:t xml:space="preserve">v termíne od 1. </w:t>
      </w:r>
      <w:r w:rsidR="00FA0D60">
        <w:t>mája</w:t>
      </w:r>
      <w:r w:rsidR="004B65F3">
        <w:t xml:space="preserve"> </w:t>
      </w:r>
      <w:r w:rsidR="00FA0D60">
        <w:t>2014</w:t>
      </w:r>
      <w:r w:rsidR="004B65F3">
        <w:t xml:space="preserve"> do 31. decembra </w:t>
      </w:r>
      <w:r w:rsidR="00FA0D60">
        <w:t>2014</w:t>
      </w:r>
      <w:r w:rsidR="004B65F3">
        <w:t xml:space="preserve">. </w:t>
      </w:r>
    </w:p>
    <w:p w:rsidR="00040079" w:rsidRPr="00A47B1F" w:rsidRDefault="00D4768C" w:rsidP="00C7783E">
      <w:pPr>
        <w:spacing w:after="60"/>
        <w:jc w:val="both"/>
      </w:pPr>
      <w:r>
        <w:t xml:space="preserve">         </w:t>
      </w:r>
      <w:r w:rsidR="00FA0D60">
        <w:t xml:space="preserve"> </w:t>
      </w:r>
      <w:r>
        <w:t xml:space="preserve"> </w:t>
      </w:r>
      <w:r w:rsidR="00C7783E">
        <w:t>Bezpečnostná situácia v Bosne a</w:t>
      </w:r>
      <w:r w:rsidR="00FA0D60">
        <w:t> </w:t>
      </w:r>
      <w:r w:rsidR="00C7783E">
        <w:t>Hercegovine</w:t>
      </w:r>
      <w:r w:rsidR="00FA0D60">
        <w:t xml:space="preserve"> </w:t>
      </w:r>
      <w:r w:rsidR="00C7783E">
        <w:t>si doposiaľ nevyžiadala nasadenie okamžitých záloh pre EUFOR ALTHEA.</w:t>
      </w:r>
      <w:r w:rsidR="00FA0D60">
        <w:t xml:space="preserve"> Voľby</w:t>
      </w:r>
      <w:r w:rsidR="00FA0D60" w:rsidRPr="00FA0D60">
        <w:t xml:space="preserve"> v Bosne a</w:t>
      </w:r>
      <w:r w:rsidR="00FA0D60">
        <w:t> </w:t>
      </w:r>
      <w:r w:rsidR="00FA0D60" w:rsidRPr="00FA0D60">
        <w:t>Hercegovine</w:t>
      </w:r>
      <w:r w:rsidR="00FA0D60">
        <w:t xml:space="preserve"> v októbri 2014 </w:t>
      </w:r>
      <w:r w:rsidR="00FA0D60" w:rsidRPr="00FA0D60">
        <w:t>prebehli bez väčších komplikácií, avšak naďalej existuje riziko, že k zvýšeniu napätia v krajine môže prísť aj po voľbách</w:t>
      </w:r>
      <w:r w:rsidR="0046172E">
        <w:t xml:space="preserve">. </w:t>
      </w:r>
      <w:r w:rsidR="00A60A53">
        <w:t>V septembri 2014</w:t>
      </w:r>
      <w:r w:rsidR="003213AC">
        <w:t xml:space="preserve"> bola SR</w:t>
      </w:r>
      <w:r w:rsidR="004B65F3">
        <w:t xml:space="preserve"> opätovne požiadaná veliteľom operácie deklarovať rovnaký príspevok do okamžitých záloh aj v roku </w:t>
      </w:r>
      <w:r w:rsidR="00A60A53">
        <w:t xml:space="preserve">2015. </w:t>
      </w:r>
      <w:r w:rsidR="003213AC">
        <w:t>Zapojenie SR</w:t>
      </w:r>
      <w:r w:rsidR="00040079" w:rsidRPr="00A47B1F">
        <w:t xml:space="preserve"> do okamžitých záloh EUFOR ALTHEA poskytne jednu z kapacít potrebných pre vykonávanie exekutívnych úloh rekonfigurovanej operácie. Takýto krok bude nielen v súlade s naším doterajším presadzovaním zachovania exekutívneho charakteru operácie, ale aj so zahraničnou politikou </w:t>
      </w:r>
      <w:r w:rsidR="00C7783E">
        <w:t>SR</w:t>
      </w:r>
      <w:r w:rsidR="003213AC">
        <w:t>, v rámci ktorej sa deklaruje</w:t>
      </w:r>
      <w:r w:rsidR="00040079" w:rsidRPr="00A47B1F">
        <w:t xml:space="preserve"> úsilie o aktívne pôsobenie na západnom Balkáne a s tým spojené adekvátne zastúpenie v operáciách medzinárodných organizácií v tomto regióne. </w:t>
      </w:r>
    </w:p>
    <w:p w:rsidR="00040079" w:rsidRPr="00A47B1F" w:rsidRDefault="00040079" w:rsidP="00040079"/>
    <w:p w:rsidR="00040079" w:rsidRPr="006B305C" w:rsidRDefault="00040079" w:rsidP="00040079">
      <w:pPr>
        <w:numPr>
          <w:ilvl w:val="0"/>
          <w:numId w:val="2"/>
        </w:numPr>
        <w:spacing w:after="60"/>
        <w:rPr>
          <w:b/>
          <w:u w:val="single"/>
        </w:rPr>
      </w:pPr>
      <w:r w:rsidRPr="006B305C">
        <w:rPr>
          <w:b/>
          <w:u w:val="single"/>
        </w:rPr>
        <w:t xml:space="preserve">Vojensko-odborné aspekty návrhu </w:t>
      </w:r>
    </w:p>
    <w:p w:rsidR="00A60A53" w:rsidRDefault="003213AC" w:rsidP="00A60A53">
      <w:pPr>
        <w:pStyle w:val="Oznaitext"/>
        <w:widowControl w:val="0"/>
        <w:spacing w:after="60"/>
        <w:ind w:left="0" w:firstLine="708"/>
      </w:pPr>
      <w:r>
        <w:rPr>
          <w:szCs w:val="24"/>
        </w:rPr>
        <w:t>Ozbrojené sily SR (ďalej len „OS SR“)</w:t>
      </w:r>
      <w:r w:rsidR="00A60A53" w:rsidRPr="006B305C">
        <w:rPr>
          <w:szCs w:val="24"/>
        </w:rPr>
        <w:t xml:space="preserve"> pôsobia v operácii EUFOR ALTHEA od jej spustenia na základe uznesenia Národnej rady SR č. 1358 z 1. decembra 2004 a následne uznesenia Národnej rady SR č. 194 zo 7. decembra 2010. </w:t>
      </w:r>
      <w:r>
        <w:rPr>
          <w:szCs w:val="24"/>
        </w:rPr>
        <w:t>V súčasnosti SR</w:t>
      </w:r>
      <w:r w:rsidR="00A60A53" w:rsidRPr="000A6C97">
        <w:rPr>
          <w:szCs w:val="24"/>
        </w:rPr>
        <w:t xml:space="preserve"> prispieva do operácie </w:t>
      </w:r>
      <w:r w:rsidR="00A60A53" w:rsidRPr="006A4AEE">
        <w:rPr>
          <w:color w:val="000000" w:themeColor="text1"/>
          <w:szCs w:val="24"/>
        </w:rPr>
        <w:t xml:space="preserve">EUFOR ALTHEA 36 príslušníkmi OS SR (mandátový počet je </w:t>
      </w:r>
      <w:r w:rsidR="00A60A53">
        <w:rPr>
          <w:color w:val="000000" w:themeColor="text1"/>
          <w:szCs w:val="24"/>
        </w:rPr>
        <w:t>51</w:t>
      </w:r>
      <w:r w:rsidR="00A60A53" w:rsidRPr="006A4AEE">
        <w:rPr>
          <w:color w:val="000000" w:themeColor="text1"/>
          <w:szCs w:val="24"/>
        </w:rPr>
        <w:t xml:space="preserve"> príslušníkov OS </w:t>
      </w:r>
      <w:r w:rsidR="00A60A53" w:rsidRPr="006A4AEE">
        <w:rPr>
          <w:color w:val="000000" w:themeColor="text1"/>
          <w:szCs w:val="24"/>
        </w:rPr>
        <w:lastRenderedPageBreak/>
        <w:t>SR), z toho jeden príslušník pôsobí na veliteľstve NATO v Sarajeve.</w:t>
      </w:r>
      <w:r w:rsidR="00A60A53">
        <w:rPr>
          <w:szCs w:val="24"/>
        </w:rPr>
        <w:t xml:space="preserve"> Príslušníci OS SR</w:t>
      </w:r>
      <w:r w:rsidR="00A60A53" w:rsidRPr="000A6C97">
        <w:rPr>
          <w:szCs w:val="24"/>
        </w:rPr>
        <w:t xml:space="preserve"> plnia úlohy v rámci veliteľstva síl operácie (EUFOR HQ), ako aj exekutívne úlohy zamerané na zabezpečenie </w:t>
      </w:r>
      <w:r w:rsidR="00A60A53">
        <w:rPr>
          <w:szCs w:val="24"/>
        </w:rPr>
        <w:t xml:space="preserve">podpory udržiavania bezpečného prostredia </w:t>
      </w:r>
      <w:r w:rsidR="00A60A53" w:rsidRPr="000A6C97">
        <w:rPr>
          <w:szCs w:val="24"/>
        </w:rPr>
        <w:t>v </w:t>
      </w:r>
      <w:r w:rsidR="00A60A53" w:rsidRPr="000A6C97">
        <w:t>Bosne a Hercegovine</w:t>
      </w:r>
      <w:r w:rsidR="00A60A53" w:rsidRPr="000A6C97">
        <w:rPr>
          <w:szCs w:val="24"/>
        </w:rPr>
        <w:t xml:space="preserve"> prostredníctvom situačného prehľadu</w:t>
      </w:r>
      <w:r w:rsidR="00A60A53" w:rsidRPr="000A6C97">
        <w:t xml:space="preserve">. </w:t>
      </w:r>
    </w:p>
    <w:p w:rsidR="00A60A53" w:rsidRDefault="003213AC" w:rsidP="00A60A53">
      <w:pPr>
        <w:pStyle w:val="Oznaitext"/>
        <w:widowControl w:val="0"/>
        <w:spacing w:after="60"/>
        <w:ind w:left="0" w:firstLine="708"/>
      </w:pPr>
      <w:r>
        <w:t>OS SR</w:t>
      </w:r>
      <w:r w:rsidR="00A60A53">
        <w:t xml:space="preserve"> v súlade s Uznesením vlády SR č.</w:t>
      </w:r>
      <w:r w:rsidR="0046172E">
        <w:t xml:space="preserve"> </w:t>
      </w:r>
      <w:r>
        <w:t xml:space="preserve">112  </w:t>
      </w:r>
      <w:r w:rsidR="00A60A53">
        <w:t xml:space="preserve">z 27. februára 2013 vyčlenili od apríla do decembra 2013 jednotku okamžitých záloh pre operáciu </w:t>
      </w:r>
      <w:r>
        <w:t xml:space="preserve">EUFOR </w:t>
      </w:r>
      <w:r w:rsidR="00A60A53">
        <w:t xml:space="preserve">ALTHEA vo veľkosti mechanizovanej roty </w:t>
      </w:r>
      <w:r>
        <w:t xml:space="preserve">v počte 125 osôb </w:t>
      </w:r>
      <w:r w:rsidR="00A60A53">
        <w:t>s pohotovosťou 5 dní k nasadeniu. Následne v súlade s Uznesením vlády SR č.</w:t>
      </w:r>
      <w:r w:rsidR="0046172E">
        <w:t xml:space="preserve"> </w:t>
      </w:r>
      <w:r w:rsidR="00A60A53">
        <w:t>207 z 30. a</w:t>
      </w:r>
      <w:r>
        <w:t>príla 2014 OS</w:t>
      </w:r>
      <w:r w:rsidR="00A60A53">
        <w:t xml:space="preserve"> SR plnili uvedenú úlohu s deklarovanou pohotovosťou od 1. mája do 31. decembra 2014.  </w:t>
      </w:r>
    </w:p>
    <w:p w:rsidR="00A60A53" w:rsidRPr="00D551DB" w:rsidRDefault="00A60A53" w:rsidP="00A60A53">
      <w:pPr>
        <w:pStyle w:val="Oznaitext"/>
        <w:widowControl w:val="0"/>
        <w:spacing w:after="60"/>
        <w:ind w:left="0" w:firstLine="0"/>
        <w:rPr>
          <w:b/>
          <w:szCs w:val="24"/>
        </w:rPr>
      </w:pPr>
    </w:p>
    <w:p w:rsidR="00A60A53" w:rsidRPr="00D551DB" w:rsidRDefault="00502907" w:rsidP="00A60A53">
      <w:pPr>
        <w:numPr>
          <w:ilvl w:val="0"/>
          <w:numId w:val="2"/>
        </w:numPr>
        <w:spacing w:after="60"/>
        <w:jc w:val="both"/>
        <w:rPr>
          <w:b/>
          <w:u w:val="single"/>
        </w:rPr>
      </w:pPr>
      <w:r>
        <w:rPr>
          <w:b/>
          <w:u w:val="single"/>
        </w:rPr>
        <w:t>Návrh na vyčlenenie príspevku O</w:t>
      </w:r>
      <w:r w:rsidR="00A60A53" w:rsidRPr="00D551DB">
        <w:rPr>
          <w:b/>
          <w:u w:val="single"/>
        </w:rPr>
        <w:t xml:space="preserve">zbrojených síl Slovenskej republiky do okamžitých záloh pre operáciu EUFOR ALTHEA v Bosne a Hercegovine od 1. </w:t>
      </w:r>
      <w:r w:rsidR="0046172E">
        <w:rPr>
          <w:b/>
          <w:u w:val="single"/>
        </w:rPr>
        <w:t>februára</w:t>
      </w:r>
      <w:r w:rsidR="00A60A53" w:rsidRPr="00D551DB">
        <w:rPr>
          <w:b/>
          <w:u w:val="single"/>
        </w:rPr>
        <w:t xml:space="preserve"> 201</w:t>
      </w:r>
      <w:r w:rsidR="00A60A53">
        <w:rPr>
          <w:b/>
          <w:u w:val="single"/>
        </w:rPr>
        <w:t>5</w:t>
      </w:r>
      <w:r w:rsidR="00A60A53" w:rsidRPr="00D551DB">
        <w:rPr>
          <w:b/>
          <w:u w:val="single"/>
        </w:rPr>
        <w:t xml:space="preserve"> do 31. decembra 201</w:t>
      </w:r>
      <w:r w:rsidR="00A60A53">
        <w:rPr>
          <w:b/>
          <w:u w:val="single"/>
        </w:rPr>
        <w:t>5</w:t>
      </w:r>
    </w:p>
    <w:p w:rsidR="00A60A53" w:rsidRPr="00D551DB" w:rsidRDefault="00A60A53" w:rsidP="00A60A53">
      <w:pPr>
        <w:pStyle w:val="Oznaitext"/>
        <w:widowControl w:val="0"/>
        <w:spacing w:after="60"/>
        <w:ind w:left="0" w:right="74" w:firstLine="708"/>
      </w:pPr>
      <w:r w:rsidRPr="00D551DB">
        <w:rPr>
          <w:szCs w:val="24"/>
        </w:rPr>
        <w:t>V súlade s operačným plánom EUFOR ALTHEA a v súlade s prioritami zahraničnej polit</w:t>
      </w:r>
      <w:r w:rsidRPr="00D551DB">
        <w:t>iky</w:t>
      </w:r>
      <w:r>
        <w:t xml:space="preserve"> SR</w:t>
      </w:r>
      <w:r w:rsidRPr="00D551DB">
        <w:t xml:space="preserve"> sa navrhuje: </w:t>
      </w:r>
    </w:p>
    <w:p w:rsidR="00A60A53" w:rsidRPr="0046172E" w:rsidRDefault="006C4A3B" w:rsidP="00A60A53">
      <w:pPr>
        <w:numPr>
          <w:ilvl w:val="0"/>
          <w:numId w:val="3"/>
        </w:numPr>
        <w:tabs>
          <w:tab w:val="left" w:pos="709"/>
        </w:tabs>
        <w:jc w:val="both"/>
      </w:pPr>
      <w:r>
        <w:t>Deklarovať do okamžitých záloh</w:t>
      </w:r>
      <w:r w:rsidR="00A60A53" w:rsidRPr="00D551DB">
        <w:t xml:space="preserve"> pre operáciu EUFOR ALTHEA mechanizovanú rotu v počte do 125 príslušníkov OS SR na dobu pohotovosti od 1. </w:t>
      </w:r>
      <w:r w:rsidR="0046172E">
        <w:t>februára</w:t>
      </w:r>
      <w:r w:rsidR="00A60A53">
        <w:t xml:space="preserve"> </w:t>
      </w:r>
      <w:r w:rsidR="00A60A53" w:rsidRPr="00D551DB">
        <w:t>201</w:t>
      </w:r>
      <w:r w:rsidR="00A60A53">
        <w:t>5</w:t>
      </w:r>
      <w:r w:rsidR="00A60A53" w:rsidRPr="00D551DB">
        <w:t xml:space="preserve"> do 31. decembra 201</w:t>
      </w:r>
      <w:r w:rsidR="00A60A53">
        <w:t>5</w:t>
      </w:r>
      <w:r w:rsidR="00A60A53" w:rsidRPr="00D551DB">
        <w:t xml:space="preserve">. </w:t>
      </w:r>
      <w:r w:rsidR="00A60A53" w:rsidRPr="0046172E">
        <w:rPr>
          <w:b/>
        </w:rPr>
        <w:t xml:space="preserve"> </w:t>
      </w:r>
    </w:p>
    <w:p w:rsidR="00A60A53" w:rsidRDefault="00A60A53" w:rsidP="00A60A53">
      <w:pPr>
        <w:pStyle w:val="Normlnywebov"/>
        <w:jc w:val="both"/>
        <w:rPr>
          <w:b/>
        </w:rPr>
      </w:pPr>
      <w:r w:rsidRPr="00D551DB">
        <w:tab/>
      </w:r>
      <w:r>
        <w:t xml:space="preserve"> </w:t>
      </w:r>
      <w:r w:rsidR="0046172E">
        <w:t>O</w:t>
      </w:r>
      <w:r w:rsidR="003213AC">
        <w:t>S</w:t>
      </w:r>
      <w:r>
        <w:t xml:space="preserve"> SR </w:t>
      </w:r>
      <w:r w:rsidR="0046172E">
        <w:t>budú</w:t>
      </w:r>
      <w:r>
        <w:t xml:space="preserve"> od </w:t>
      </w:r>
      <w:r w:rsidR="0046172E">
        <w:t>1. februára</w:t>
      </w:r>
      <w:r>
        <w:t xml:space="preserve"> </w:t>
      </w:r>
      <w:r w:rsidR="0046172E">
        <w:t xml:space="preserve"> do 31. marca</w:t>
      </w:r>
      <w:r>
        <w:t xml:space="preserve"> </w:t>
      </w:r>
      <w:r w:rsidR="0046172E">
        <w:t xml:space="preserve">2015 </w:t>
      </w:r>
      <w:r>
        <w:t xml:space="preserve">pokračovať v pohotovosti  s vycvičenou jednotkou pre rok 2014. Následne od 1. apríla 2015 do konca roku 2015 plánujú pokračovať v pohotovosti s novou jednotkou, ktorá vykoná prípravu a základný výcvik </w:t>
      </w:r>
      <w:r w:rsidRPr="00D551DB">
        <w:t xml:space="preserve">na území SR a taktiež </w:t>
      </w:r>
      <w:r w:rsidR="003213AC">
        <w:t>sa zúčastnia</w:t>
      </w:r>
      <w:r>
        <w:t xml:space="preserve"> medzinárodných výcvikových aktivít priamo v Bosne a Hercegovine podľa požiadaviek veliteľa operácie EUFOR ALTHEA. </w:t>
      </w:r>
      <w:r w:rsidRPr="008D3956">
        <w:t>Plánovac</w:t>
      </w:r>
      <w:r>
        <w:t>ej</w:t>
      </w:r>
      <w:r w:rsidRPr="008D3956">
        <w:t xml:space="preserve"> konferenci</w:t>
      </w:r>
      <w:r>
        <w:t>e</w:t>
      </w:r>
      <w:r w:rsidRPr="008D3956">
        <w:t xml:space="preserve"> a</w:t>
      </w:r>
      <w:r w:rsidR="003213AC">
        <w:t> veliteľsko-štábneho cvičenia</w:t>
      </w:r>
      <w:r>
        <w:t xml:space="preserve"> Operational Rehearsal 1 (</w:t>
      </w:r>
      <w:r w:rsidRPr="008D3956">
        <w:t>OPREH č.</w:t>
      </w:r>
      <w:r w:rsidR="003213AC">
        <w:t xml:space="preserve"> </w:t>
      </w:r>
      <w:r w:rsidRPr="008D3956">
        <w:t>1</w:t>
      </w:r>
      <w:r>
        <w:t xml:space="preserve">) sa zúčastní iba </w:t>
      </w:r>
      <w:r w:rsidRPr="008D3956">
        <w:t>kľúčov</w:t>
      </w:r>
      <w:r>
        <w:t xml:space="preserve">ý personál jednotky v mesiaci marec/apríl 2015. Na cvičení </w:t>
      </w:r>
      <w:r w:rsidRPr="008D3956">
        <w:t xml:space="preserve"> </w:t>
      </w:r>
      <w:r>
        <w:t>Operational Rehearsal 2 (</w:t>
      </w:r>
      <w:r w:rsidRPr="008D3956">
        <w:t>OPREH č.</w:t>
      </w:r>
      <w:r w:rsidR="003213AC">
        <w:t xml:space="preserve"> </w:t>
      </w:r>
      <w:r w:rsidRPr="008D3956">
        <w:t>2</w:t>
      </w:r>
      <w:r>
        <w:t xml:space="preserve">) sa predpokladá </w:t>
      </w:r>
      <w:r w:rsidRPr="008D3956">
        <w:t xml:space="preserve">účasť kompletnej </w:t>
      </w:r>
      <w:r>
        <w:t xml:space="preserve">jednotky v mesiaci máj 2015. </w:t>
      </w:r>
      <w:r w:rsidRPr="00D551DB">
        <w:t>Počas doby pohotovosti môže veliteľ operácie EUFOR ALTHEA kedykoľvek požiadať o zapojenie okamžitých záloh do tejto operácie. Vyslanie</w:t>
      </w:r>
      <w:r>
        <w:t xml:space="preserve"> deklarovaného</w:t>
      </w:r>
      <w:r w:rsidRPr="00D551DB">
        <w:t xml:space="preserve"> príspevku OS SR môže byť teda realizované viackrát, maximálne však štyrikrát počas</w:t>
      </w:r>
      <w:r w:rsidR="003213AC">
        <w:t xml:space="preserve"> doby</w:t>
      </w:r>
      <w:r w:rsidRPr="00D551DB">
        <w:t xml:space="preserve"> jeho pohotovosti.</w:t>
      </w:r>
      <w:r w:rsidRPr="00D551DB">
        <w:rPr>
          <w:b/>
        </w:rPr>
        <w:t xml:space="preserve"> </w:t>
      </w:r>
    </w:p>
    <w:p w:rsidR="00A60A53" w:rsidRDefault="00A60A53" w:rsidP="00A60A53">
      <w:pPr>
        <w:ind w:firstLine="708"/>
        <w:jc w:val="both"/>
      </w:pPr>
      <w:r w:rsidRPr="006139F1">
        <w:t xml:space="preserve">Ministerstvo obrany SR vyčlení finančné prostriedky na národnú prípravu </w:t>
      </w:r>
      <w:r w:rsidR="0046172E">
        <w:t xml:space="preserve">a </w:t>
      </w:r>
      <w:r w:rsidRPr="006139F1">
        <w:t xml:space="preserve">výcvik príspevku OS SR vo výške 38 </w:t>
      </w:r>
      <w:r w:rsidR="0029395C">
        <w:t>011</w:t>
      </w:r>
      <w:r w:rsidRPr="006139F1">
        <w:t> </w:t>
      </w:r>
      <w:r w:rsidR="00635F36">
        <w:t>eur. N</w:t>
      </w:r>
      <w:r w:rsidRPr="006139F1">
        <w:t>a n</w:t>
      </w:r>
      <w:r w:rsidRPr="00FF5803">
        <w:t>adnárodný výcvik</w:t>
      </w:r>
      <w:r w:rsidRPr="006139F1">
        <w:t xml:space="preserve"> zahrňujúci účasť na p</w:t>
      </w:r>
      <w:r w:rsidRPr="00FF5803">
        <w:t>lánovac</w:t>
      </w:r>
      <w:r w:rsidRPr="006139F1">
        <w:t xml:space="preserve">ej </w:t>
      </w:r>
      <w:r w:rsidRPr="00FF5803">
        <w:t xml:space="preserve"> konferenci</w:t>
      </w:r>
      <w:r w:rsidRPr="006139F1">
        <w:t>i</w:t>
      </w:r>
      <w:r w:rsidRPr="00FF5803">
        <w:t xml:space="preserve"> a</w:t>
      </w:r>
      <w:r w:rsidRPr="006139F1">
        <w:t xml:space="preserve"> veliteľsko-štábnom cvičení </w:t>
      </w:r>
      <w:r w:rsidRPr="00FF5803">
        <w:t>OPREH č.</w:t>
      </w:r>
      <w:r w:rsidR="00635F36">
        <w:t xml:space="preserve"> </w:t>
      </w:r>
      <w:r w:rsidRPr="00FF5803">
        <w:t xml:space="preserve">1 </w:t>
      </w:r>
      <w:r w:rsidR="0029395C">
        <w:t xml:space="preserve">a </w:t>
      </w:r>
      <w:r w:rsidRPr="00FF5803">
        <w:t>OPREH č.</w:t>
      </w:r>
      <w:r w:rsidR="00635F36">
        <w:t xml:space="preserve"> </w:t>
      </w:r>
      <w:r w:rsidRPr="00FF5803">
        <w:t>2</w:t>
      </w:r>
      <w:r w:rsidRPr="006139F1">
        <w:t xml:space="preserve"> </w:t>
      </w:r>
      <w:r w:rsidR="0029395C">
        <w:t xml:space="preserve">budú vyčlenené prostriedky </w:t>
      </w:r>
      <w:r w:rsidRPr="006139F1">
        <w:t xml:space="preserve">vo výške </w:t>
      </w:r>
      <w:r w:rsidR="0029395C">
        <w:rPr>
          <w:bCs/>
        </w:rPr>
        <w:t xml:space="preserve">111 785 </w:t>
      </w:r>
      <w:r w:rsidR="00635F36">
        <w:t>eur</w:t>
      </w:r>
      <w:r w:rsidRPr="00FF5803">
        <w:t>.</w:t>
      </w:r>
      <w:r w:rsidRPr="006139F1">
        <w:t xml:space="preserve"> </w:t>
      </w:r>
    </w:p>
    <w:p w:rsidR="00A60A53" w:rsidRPr="006139F1" w:rsidRDefault="00A60A53" w:rsidP="00A60A53">
      <w:pPr>
        <w:ind w:firstLine="708"/>
        <w:jc w:val="both"/>
      </w:pPr>
    </w:p>
    <w:p w:rsidR="00A60A53" w:rsidRDefault="00A60A53" w:rsidP="00A60A53">
      <w:pPr>
        <w:ind w:firstLine="708"/>
        <w:jc w:val="both"/>
      </w:pPr>
      <w:r w:rsidRPr="006139F1">
        <w:t>P</w:t>
      </w:r>
      <w:r w:rsidRPr="006139F1">
        <w:rPr>
          <w:bCs/>
        </w:rPr>
        <w:t xml:space="preserve">rípadné jedno nasadenie, udržanie a stiahnutie </w:t>
      </w:r>
      <w:r w:rsidR="003213AC">
        <w:t>príspevku OS SR</w:t>
      </w:r>
      <w:r w:rsidRPr="006139F1">
        <w:t xml:space="preserve"> v trvaní do 30 dní v priebehu roku 2015 vo výške </w:t>
      </w:r>
      <w:r w:rsidR="0029395C" w:rsidRPr="00D7399B">
        <w:rPr>
          <w:bCs/>
        </w:rPr>
        <w:t>395</w:t>
      </w:r>
      <w:r w:rsidR="0029395C">
        <w:rPr>
          <w:bCs/>
        </w:rPr>
        <w:t xml:space="preserve"> 825 </w:t>
      </w:r>
      <w:r w:rsidR="00F80344">
        <w:rPr>
          <w:bCs/>
          <w:color w:val="000000"/>
        </w:rPr>
        <w:t>eur</w:t>
      </w:r>
      <w:bookmarkStart w:id="0" w:name="_GoBack"/>
      <w:bookmarkEnd w:id="0"/>
      <w:r w:rsidRPr="006139F1">
        <w:rPr>
          <w:b/>
          <w:bCs/>
          <w:color w:val="000000"/>
        </w:rPr>
        <w:t xml:space="preserve"> </w:t>
      </w:r>
      <w:r w:rsidRPr="006139F1">
        <w:rPr>
          <w:bCs/>
          <w:color w:val="000000"/>
        </w:rPr>
        <w:t>bude zabezpečené</w:t>
      </w:r>
      <w:r w:rsidRPr="006139F1">
        <w:rPr>
          <w:b/>
          <w:bCs/>
          <w:color w:val="000000"/>
        </w:rPr>
        <w:t xml:space="preserve"> </w:t>
      </w:r>
      <w:r w:rsidRPr="006139F1">
        <w:rPr>
          <w:bCs/>
          <w:color w:val="000000"/>
        </w:rPr>
        <w:t xml:space="preserve">z prostriedkov </w:t>
      </w:r>
      <w:r w:rsidRPr="006139F1">
        <w:t xml:space="preserve">rozpočtu MO SR. </w:t>
      </w:r>
      <w:r w:rsidRPr="006139F1">
        <w:rPr>
          <w:bCs/>
        </w:rPr>
        <w:t xml:space="preserve">V </w:t>
      </w:r>
      <w:r w:rsidRPr="006139F1">
        <w:t>prípade opakovanej žiadosti veliteľa operácie EUFOR ALTHEA o zapojenie okamžitých záloh bude nasadenie príspevku OS SR riešené ad hoc prostredníctvom samostatného materiálu.</w:t>
      </w:r>
      <w:r w:rsidRPr="00D551DB">
        <w:t xml:space="preserve"> </w:t>
      </w:r>
    </w:p>
    <w:p w:rsidR="00A60A53" w:rsidRPr="007911E2" w:rsidRDefault="00A60A53" w:rsidP="00A60A53">
      <w:pPr>
        <w:jc w:val="both"/>
        <w:rPr>
          <w:highlight w:val="yellow"/>
        </w:rPr>
      </w:pPr>
    </w:p>
    <w:p w:rsidR="00A60A53" w:rsidRDefault="00A60A53" w:rsidP="00A60A53">
      <w:pPr>
        <w:ind w:firstLine="708"/>
        <w:jc w:val="both"/>
      </w:pPr>
      <w:r w:rsidRPr="003544FB">
        <w:t>Poslaním mechanizovanej roty, ktorá bude vyčlenená ako príspevok do okamžitých záloh</w:t>
      </w:r>
      <w:r>
        <w:t>,</w:t>
      </w:r>
      <w:r w:rsidRPr="003544FB">
        <w:t xml:space="preserve"> </w:t>
      </w:r>
      <w:r>
        <w:t>je</w:t>
      </w:r>
      <w:r w:rsidRPr="003544FB">
        <w:t xml:space="preserve"> prispieť k schopnosti EÚ rýchlo reagovať na vzniknutú hrozbu a zabezpečiť vojenskú prítomnosť na podporu exekutívneho charakteru operácie EUFOR ALTHEA. Mechanizovaná rota bude v čase pohotovosti pod plným velením náčelníka Generálneho štábu OS SR a veliteľ mnohonárodného práporu EUFOR ALTHEA bude mať právomoc koordinovať prípravu priamo s veliteľom mechanizovanej roty. V prípade </w:t>
      </w:r>
      <w:r>
        <w:t>nasadenia</w:t>
      </w:r>
      <w:r w:rsidRPr="003544FB">
        <w:t xml:space="preserve"> mechanizovanej roty do priestoru operácie náčelník Generálneho štábu OS SR deleguje </w:t>
      </w:r>
      <w:r w:rsidRPr="003544FB">
        <w:lastRenderedPageBreak/>
        <w:t>veliteľovi operácie právomoc usmerňovať veliteľa mechanizovanej roty v zmysle platného Plánu operácie EUFOR ALTHEA. Mechanizovaná rota bude vyzbrojená osobnými zbraňami, ľahkými obrnenými vozidlami, nákladnými vozidlami a výstrojom na kontrolu davu.</w:t>
      </w:r>
      <w:r w:rsidRPr="00A47B1F">
        <w:t xml:space="preserve"> </w:t>
      </w:r>
    </w:p>
    <w:p w:rsidR="00A60A53" w:rsidRPr="00A47B1F" w:rsidRDefault="00A60A53" w:rsidP="00A60A53">
      <w:pPr>
        <w:pStyle w:val="Oznaitext"/>
        <w:widowControl w:val="0"/>
        <w:spacing w:after="60"/>
        <w:ind w:left="0" w:firstLine="0"/>
        <w:rPr>
          <w:szCs w:val="24"/>
        </w:rPr>
      </w:pPr>
    </w:p>
    <w:p w:rsidR="00040079" w:rsidRDefault="00040079" w:rsidP="00040079">
      <w:pPr>
        <w:ind w:firstLine="708"/>
        <w:jc w:val="both"/>
      </w:pPr>
    </w:p>
    <w:p w:rsidR="00040079" w:rsidRPr="004337CF" w:rsidRDefault="00040079" w:rsidP="00040079">
      <w:pPr>
        <w:numPr>
          <w:ilvl w:val="0"/>
          <w:numId w:val="2"/>
        </w:numPr>
        <w:spacing w:after="60"/>
        <w:jc w:val="both"/>
        <w:rPr>
          <w:b/>
          <w:u w:val="single"/>
        </w:rPr>
      </w:pPr>
      <w:r w:rsidRPr="004337CF">
        <w:rPr>
          <w:b/>
          <w:u w:val="single"/>
        </w:rPr>
        <w:t>Právne aspekty návrhu</w:t>
      </w:r>
    </w:p>
    <w:p w:rsidR="00040079" w:rsidRPr="00A47B1F" w:rsidRDefault="00040079" w:rsidP="00040079">
      <w:pPr>
        <w:pStyle w:val="Oznaitext"/>
        <w:widowControl w:val="0"/>
        <w:tabs>
          <w:tab w:val="left" w:pos="372"/>
        </w:tabs>
        <w:spacing w:after="60"/>
        <w:ind w:left="0" w:right="74" w:firstLine="252"/>
      </w:pPr>
      <w:r>
        <w:tab/>
      </w:r>
      <w:r>
        <w:tab/>
      </w:r>
      <w:r w:rsidRPr="00A47B1F">
        <w:t xml:space="preserve">Z právneho hľadiska by bolo prípadné vyslanie deklarovaného príspevku </w:t>
      </w:r>
      <w:r w:rsidR="006808EE">
        <w:t xml:space="preserve">OS SR </w:t>
      </w:r>
      <w:r w:rsidRPr="00A47B1F">
        <w:t xml:space="preserve">do operácie </w:t>
      </w:r>
      <w:r w:rsidR="006808EE">
        <w:t xml:space="preserve">EUFOR ALTHEA </w:t>
      </w:r>
      <w:r w:rsidRPr="00A47B1F">
        <w:t>zabezpečené predložením návrhu mandátu na schvá</w:t>
      </w:r>
      <w:r w:rsidR="003213AC">
        <w:t>lenie vláde SR</w:t>
      </w:r>
      <w:r w:rsidRPr="00A47B1F">
        <w:t xml:space="preserve"> a vys</w:t>
      </w:r>
      <w:r w:rsidR="003213AC">
        <w:t>lovenie súhlasu Národnej rade SR</w:t>
      </w:r>
      <w:r w:rsidR="00502907">
        <w:t xml:space="preserve"> v priebehu 5</w:t>
      </w:r>
      <w:r w:rsidRPr="00A47B1F">
        <w:t xml:space="preserve"> dní od požiadavky veliteľa operácie. Takéto riešenie je v súlade s právny</w:t>
      </w:r>
      <w:r w:rsidR="003213AC">
        <w:t>m poriadkom SR</w:t>
      </w:r>
      <w:r w:rsidRPr="00A47B1F">
        <w:t xml:space="preserve"> a bolo prijaté aj v minulosti, napríklad počas doby</w:t>
      </w:r>
      <w:r w:rsidR="00CA12BE">
        <w:t xml:space="preserve"> pohotovosti bojových skupín EÚ</w:t>
      </w:r>
      <w:r w:rsidR="003213AC">
        <w:t>,</w:t>
      </w:r>
      <w:r w:rsidR="00CA12BE">
        <w:t xml:space="preserve"> ako aj pri deklarácii príspevku do okamžitých záloh v roku 2013</w:t>
      </w:r>
      <w:r w:rsidR="00635F36">
        <w:t xml:space="preserve"> a 2014</w:t>
      </w:r>
      <w:r w:rsidR="00CA12BE">
        <w:t>.</w:t>
      </w:r>
    </w:p>
    <w:p w:rsidR="00040079" w:rsidRPr="00A47B1F" w:rsidRDefault="00040079" w:rsidP="00040079">
      <w:pPr>
        <w:pStyle w:val="Oznaitext"/>
        <w:widowControl w:val="0"/>
        <w:tabs>
          <w:tab w:val="left" w:pos="372"/>
        </w:tabs>
        <w:spacing w:after="60"/>
        <w:ind w:left="0" w:right="74" w:firstLine="252"/>
        <w:rPr>
          <w:sz w:val="28"/>
          <w:szCs w:val="28"/>
        </w:rPr>
      </w:pPr>
      <w:r w:rsidRPr="00A47B1F">
        <w:tab/>
      </w:r>
      <w:r w:rsidRPr="00A47B1F">
        <w:tab/>
      </w:r>
    </w:p>
    <w:p w:rsidR="00040079" w:rsidRPr="00A47B1F" w:rsidRDefault="00040079" w:rsidP="00040079">
      <w:pPr>
        <w:numPr>
          <w:ilvl w:val="0"/>
          <w:numId w:val="2"/>
        </w:numPr>
        <w:spacing w:after="60"/>
        <w:rPr>
          <w:b/>
          <w:bCs/>
          <w:u w:val="single"/>
        </w:rPr>
      </w:pPr>
      <w:r w:rsidRPr="00A47B1F">
        <w:rPr>
          <w:b/>
          <w:bCs/>
          <w:u w:val="single"/>
        </w:rPr>
        <w:t>Záver</w:t>
      </w:r>
    </w:p>
    <w:p w:rsidR="00040079" w:rsidRPr="006808EE" w:rsidRDefault="00040079" w:rsidP="00040079">
      <w:pPr>
        <w:ind w:firstLine="708"/>
        <w:jc w:val="both"/>
      </w:pPr>
      <w:r w:rsidRPr="006808EE">
        <w:t>Vyššie uvedený návrh predstavuje riešenie, ktoré potvrdí a</w:t>
      </w:r>
      <w:r w:rsidR="003213AC">
        <w:t>ngažovanosť SR</w:t>
      </w:r>
      <w:r w:rsidRPr="006808EE">
        <w:t xml:space="preserve"> v operácii EUFOR ALTHEA v zmysle doteraz presadzovaných stanovísk za zachovanie exekutívnej časti operácie v súlade so zahraničnopolitickým</w:t>
      </w:r>
      <w:r w:rsidR="003213AC">
        <w:t xml:space="preserve"> smerovaním SR</w:t>
      </w:r>
      <w:r w:rsidRPr="006808EE">
        <w:t xml:space="preserve">. </w:t>
      </w:r>
    </w:p>
    <w:p w:rsidR="00040079" w:rsidRPr="006808EE" w:rsidRDefault="00040079" w:rsidP="00040079">
      <w:pPr>
        <w:pStyle w:val="Oznaitext"/>
        <w:widowControl w:val="0"/>
        <w:tabs>
          <w:tab w:val="left" w:pos="372"/>
        </w:tabs>
        <w:spacing w:after="60"/>
        <w:ind w:left="0" w:right="74" w:firstLine="252"/>
      </w:pPr>
      <w:r w:rsidRPr="006808EE">
        <w:t xml:space="preserve">       </w:t>
      </w:r>
    </w:p>
    <w:p w:rsidR="00040079" w:rsidRPr="00A47B1F" w:rsidRDefault="00040079" w:rsidP="00040079">
      <w:pPr>
        <w:pStyle w:val="Oznaitext"/>
        <w:widowControl w:val="0"/>
        <w:tabs>
          <w:tab w:val="left" w:pos="372"/>
        </w:tabs>
        <w:spacing w:after="60"/>
        <w:ind w:left="0" w:right="74" w:firstLine="252"/>
      </w:pPr>
      <w:r w:rsidRPr="00A47B1F">
        <w:rPr>
          <w:b/>
        </w:rPr>
        <w:tab/>
      </w:r>
      <w:r w:rsidRPr="00A47B1F">
        <w:rPr>
          <w:b/>
        </w:rPr>
        <w:tab/>
      </w:r>
      <w:r w:rsidRPr="00A47B1F">
        <w:t xml:space="preserve"> </w:t>
      </w:r>
    </w:p>
    <w:p w:rsidR="00040079" w:rsidRPr="00A47B1F" w:rsidRDefault="00040079" w:rsidP="00040079">
      <w:pPr>
        <w:pStyle w:val="Oznaitext"/>
        <w:widowControl w:val="0"/>
        <w:spacing w:after="60"/>
        <w:ind w:left="0" w:firstLine="0"/>
        <w:rPr>
          <w:szCs w:val="24"/>
        </w:rPr>
      </w:pPr>
    </w:p>
    <w:p w:rsidR="00040079" w:rsidRPr="00A47B1F" w:rsidRDefault="00040079" w:rsidP="00040079">
      <w:pPr>
        <w:pStyle w:val="Oznaitext"/>
        <w:widowControl w:val="0"/>
        <w:spacing w:after="60"/>
        <w:ind w:left="0" w:firstLine="0"/>
        <w:rPr>
          <w:szCs w:val="24"/>
        </w:rPr>
      </w:pPr>
    </w:p>
    <w:p w:rsidR="00040079" w:rsidRPr="00A47B1F" w:rsidRDefault="00040079" w:rsidP="00040079">
      <w:pPr>
        <w:pStyle w:val="Oznaitext"/>
        <w:widowControl w:val="0"/>
        <w:spacing w:after="60"/>
        <w:ind w:left="0" w:firstLine="0"/>
        <w:rPr>
          <w:szCs w:val="24"/>
        </w:rPr>
      </w:pPr>
    </w:p>
    <w:p w:rsidR="00040079" w:rsidRPr="00A47B1F" w:rsidRDefault="00040079" w:rsidP="00040079">
      <w:pPr>
        <w:pStyle w:val="Oznaitext"/>
        <w:widowControl w:val="0"/>
        <w:spacing w:after="60"/>
        <w:ind w:left="0" w:firstLine="0"/>
        <w:rPr>
          <w:szCs w:val="24"/>
        </w:rPr>
      </w:pPr>
    </w:p>
    <w:p w:rsidR="00040079" w:rsidRPr="00A47B1F" w:rsidRDefault="00040079" w:rsidP="00040079">
      <w:pPr>
        <w:pStyle w:val="Oznaitext"/>
        <w:widowControl w:val="0"/>
        <w:spacing w:after="60"/>
        <w:ind w:left="0" w:firstLine="0"/>
        <w:rPr>
          <w:szCs w:val="24"/>
        </w:rPr>
      </w:pPr>
    </w:p>
    <w:p w:rsidR="00040079" w:rsidRPr="00A47B1F" w:rsidRDefault="00040079" w:rsidP="00040079">
      <w:pPr>
        <w:pStyle w:val="Oznaitext"/>
        <w:widowControl w:val="0"/>
        <w:spacing w:after="60"/>
        <w:ind w:left="0" w:firstLine="0"/>
        <w:rPr>
          <w:szCs w:val="24"/>
        </w:rPr>
      </w:pPr>
    </w:p>
    <w:p w:rsidR="00040079" w:rsidRPr="00A47B1F" w:rsidRDefault="00040079" w:rsidP="00040079">
      <w:pPr>
        <w:pStyle w:val="Oznaitext"/>
        <w:widowControl w:val="0"/>
        <w:spacing w:after="60"/>
        <w:ind w:left="0" w:firstLine="0"/>
        <w:rPr>
          <w:szCs w:val="24"/>
        </w:rPr>
      </w:pPr>
    </w:p>
    <w:p w:rsidR="009D62A6" w:rsidRDefault="009D62A6"/>
    <w:sectPr w:rsidR="009D62A6" w:rsidSect="002233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53B5D"/>
    <w:multiLevelType w:val="hybridMultilevel"/>
    <w:tmpl w:val="07242866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CA80017"/>
    <w:multiLevelType w:val="hybridMultilevel"/>
    <w:tmpl w:val="EB48B30A"/>
    <w:lvl w:ilvl="0" w:tplc="C026F108">
      <w:start w:val="1"/>
      <w:numFmt w:val="bullet"/>
      <w:lvlText w:val="-"/>
      <w:lvlJc w:val="left"/>
      <w:pPr>
        <w:tabs>
          <w:tab w:val="num" w:pos="1105"/>
        </w:tabs>
        <w:ind w:left="1105" w:hanging="680"/>
      </w:pPr>
      <w:rPr>
        <w:rFonts w:ascii="MS Mincho" w:eastAsia="MS Mincho" w:hAnsi="MS Mincho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5B41E83"/>
    <w:multiLevelType w:val="hybridMultilevel"/>
    <w:tmpl w:val="7AD476D0"/>
    <w:lvl w:ilvl="0" w:tplc="22CEB298">
      <w:start w:val="1"/>
      <w:numFmt w:val="bullet"/>
      <w:lvlText w:val=""/>
      <w:lvlJc w:val="left"/>
      <w:pPr>
        <w:tabs>
          <w:tab w:val="num" w:pos="996"/>
        </w:tabs>
        <w:ind w:left="996" w:hanging="284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152"/>
        </w:tabs>
        <w:ind w:left="21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72"/>
        </w:tabs>
        <w:ind w:left="28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92"/>
        </w:tabs>
        <w:ind w:left="35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12"/>
        </w:tabs>
        <w:ind w:left="43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32"/>
        </w:tabs>
        <w:ind w:left="50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52"/>
        </w:tabs>
        <w:ind w:left="57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72"/>
        </w:tabs>
        <w:ind w:left="64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92"/>
        </w:tabs>
        <w:ind w:left="719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compat/>
  <w:rsids>
    <w:rsidRoot w:val="00040079"/>
    <w:rsid w:val="000055A6"/>
    <w:rsid w:val="00040079"/>
    <w:rsid w:val="00054C00"/>
    <w:rsid w:val="00061775"/>
    <w:rsid w:val="0008187B"/>
    <w:rsid w:val="0009382E"/>
    <w:rsid w:val="000A6C97"/>
    <w:rsid w:val="001720EE"/>
    <w:rsid w:val="0017720C"/>
    <w:rsid w:val="001C1B51"/>
    <w:rsid w:val="0022336D"/>
    <w:rsid w:val="002622EA"/>
    <w:rsid w:val="00284208"/>
    <w:rsid w:val="002847C6"/>
    <w:rsid w:val="0029395C"/>
    <w:rsid w:val="002C1236"/>
    <w:rsid w:val="002C5CC5"/>
    <w:rsid w:val="002D4C9C"/>
    <w:rsid w:val="002E07CC"/>
    <w:rsid w:val="002E58D6"/>
    <w:rsid w:val="00301F7D"/>
    <w:rsid w:val="003202EB"/>
    <w:rsid w:val="003213AC"/>
    <w:rsid w:val="00346C9E"/>
    <w:rsid w:val="00350FD1"/>
    <w:rsid w:val="003520F7"/>
    <w:rsid w:val="00353800"/>
    <w:rsid w:val="003544FB"/>
    <w:rsid w:val="003D27EC"/>
    <w:rsid w:val="003E0C9A"/>
    <w:rsid w:val="003F6794"/>
    <w:rsid w:val="003F7C1E"/>
    <w:rsid w:val="00404C33"/>
    <w:rsid w:val="004133BE"/>
    <w:rsid w:val="00417296"/>
    <w:rsid w:val="0046172E"/>
    <w:rsid w:val="00465B77"/>
    <w:rsid w:val="004B65F3"/>
    <w:rsid w:val="004C3E60"/>
    <w:rsid w:val="00502907"/>
    <w:rsid w:val="00512934"/>
    <w:rsid w:val="00537F57"/>
    <w:rsid w:val="0056259C"/>
    <w:rsid w:val="005B2E35"/>
    <w:rsid w:val="005B3DBA"/>
    <w:rsid w:val="005F2053"/>
    <w:rsid w:val="00633E83"/>
    <w:rsid w:val="00635F36"/>
    <w:rsid w:val="00663EDD"/>
    <w:rsid w:val="00664D7B"/>
    <w:rsid w:val="006808EE"/>
    <w:rsid w:val="00681E86"/>
    <w:rsid w:val="006A4AEE"/>
    <w:rsid w:val="006B305C"/>
    <w:rsid w:val="006C4053"/>
    <w:rsid w:val="006C4A3B"/>
    <w:rsid w:val="006C7A6F"/>
    <w:rsid w:val="006E61D4"/>
    <w:rsid w:val="006F32E3"/>
    <w:rsid w:val="00703439"/>
    <w:rsid w:val="007069E5"/>
    <w:rsid w:val="00725B49"/>
    <w:rsid w:val="007911E2"/>
    <w:rsid w:val="007B46C1"/>
    <w:rsid w:val="007C10CB"/>
    <w:rsid w:val="007F7A9D"/>
    <w:rsid w:val="00823F1E"/>
    <w:rsid w:val="008A1A96"/>
    <w:rsid w:val="008A2027"/>
    <w:rsid w:val="008B3E2C"/>
    <w:rsid w:val="008F347C"/>
    <w:rsid w:val="008F4EE5"/>
    <w:rsid w:val="00901BE6"/>
    <w:rsid w:val="009104EC"/>
    <w:rsid w:val="00973FA2"/>
    <w:rsid w:val="00977346"/>
    <w:rsid w:val="009D62A6"/>
    <w:rsid w:val="009E2744"/>
    <w:rsid w:val="009E2B9E"/>
    <w:rsid w:val="00A35B98"/>
    <w:rsid w:val="00A47594"/>
    <w:rsid w:val="00A543D3"/>
    <w:rsid w:val="00A60A53"/>
    <w:rsid w:val="00A66C4B"/>
    <w:rsid w:val="00A76F32"/>
    <w:rsid w:val="00A822CD"/>
    <w:rsid w:val="00A82C1E"/>
    <w:rsid w:val="00B028F6"/>
    <w:rsid w:val="00B468F4"/>
    <w:rsid w:val="00B71587"/>
    <w:rsid w:val="00B93D98"/>
    <w:rsid w:val="00BB5537"/>
    <w:rsid w:val="00BE57EB"/>
    <w:rsid w:val="00C07543"/>
    <w:rsid w:val="00C20E06"/>
    <w:rsid w:val="00C23B88"/>
    <w:rsid w:val="00C7783E"/>
    <w:rsid w:val="00C86E77"/>
    <w:rsid w:val="00CA11CA"/>
    <w:rsid w:val="00CA12BE"/>
    <w:rsid w:val="00CA7796"/>
    <w:rsid w:val="00CD421E"/>
    <w:rsid w:val="00CF2E87"/>
    <w:rsid w:val="00CF7260"/>
    <w:rsid w:val="00D05D2A"/>
    <w:rsid w:val="00D06E77"/>
    <w:rsid w:val="00D20E72"/>
    <w:rsid w:val="00D30197"/>
    <w:rsid w:val="00D443B1"/>
    <w:rsid w:val="00D457F1"/>
    <w:rsid w:val="00D47489"/>
    <w:rsid w:val="00D4768C"/>
    <w:rsid w:val="00D51ADE"/>
    <w:rsid w:val="00D551DB"/>
    <w:rsid w:val="00D56C7F"/>
    <w:rsid w:val="00D5765C"/>
    <w:rsid w:val="00D76D58"/>
    <w:rsid w:val="00E131AB"/>
    <w:rsid w:val="00E2525F"/>
    <w:rsid w:val="00E40AF4"/>
    <w:rsid w:val="00E50B85"/>
    <w:rsid w:val="00E77F2C"/>
    <w:rsid w:val="00EE0FE1"/>
    <w:rsid w:val="00EE2567"/>
    <w:rsid w:val="00EF3928"/>
    <w:rsid w:val="00EF6BBE"/>
    <w:rsid w:val="00F73859"/>
    <w:rsid w:val="00F74622"/>
    <w:rsid w:val="00F80344"/>
    <w:rsid w:val="00F8347D"/>
    <w:rsid w:val="00FA0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lock Text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40079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znaitext">
    <w:name w:val="Block Text"/>
    <w:basedOn w:val="Normlny"/>
    <w:uiPriority w:val="99"/>
    <w:rsid w:val="00040079"/>
    <w:pPr>
      <w:ind w:left="567" w:right="72" w:hanging="425"/>
      <w:jc w:val="both"/>
    </w:pPr>
    <w:rPr>
      <w:szCs w:val="20"/>
      <w:lang w:eastAsia="cs-CZ"/>
    </w:rPr>
  </w:style>
  <w:style w:type="paragraph" w:styleId="Textbubliny">
    <w:name w:val="Balloon Text"/>
    <w:basedOn w:val="Normlny"/>
    <w:semiHidden/>
    <w:rsid w:val="006F32E3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semiHidden/>
    <w:rsid w:val="00703439"/>
    <w:rPr>
      <w:sz w:val="16"/>
      <w:szCs w:val="16"/>
    </w:rPr>
  </w:style>
  <w:style w:type="paragraph" w:styleId="Textkomentra">
    <w:name w:val="annotation text"/>
    <w:basedOn w:val="Normlny"/>
    <w:semiHidden/>
    <w:rsid w:val="00703439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703439"/>
    <w:rPr>
      <w:b/>
      <w:bCs/>
    </w:rPr>
  </w:style>
  <w:style w:type="paragraph" w:styleId="Normlnywebov">
    <w:name w:val="Normal (Web)"/>
    <w:basedOn w:val="Normlny"/>
    <w:uiPriority w:val="99"/>
    <w:unhideWhenUsed/>
    <w:rsid w:val="00A60A5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WKX3UHSAJ2R6-2-401140</_dlc_DocId>
    <_dlc_DocIdUrl xmlns="e60a29af-d413-48d4-bd90-fe9d2a897e4b">
      <Url>https://ovdmasv601/sites/DMS/_layouts/15/DocIdRedir.aspx?ID=WKX3UHSAJ2R6-2-401140</Url>
      <Description>WKX3UHSAJ2R6-2-401140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28141F-D022-416A-9040-CF4ED5240BDC}"/>
</file>

<file path=customXml/itemProps2.xml><?xml version="1.0" encoding="utf-8"?>
<ds:datastoreItem xmlns:ds="http://schemas.openxmlformats.org/officeDocument/2006/customXml" ds:itemID="{298C5996-8280-488D-A0C5-A02C88109FBE}"/>
</file>

<file path=customXml/itemProps3.xml><?xml version="1.0" encoding="utf-8"?>
<ds:datastoreItem xmlns:ds="http://schemas.openxmlformats.org/officeDocument/2006/customXml" ds:itemID="{92C36738-D3DB-42EF-BB09-0B028371F657}"/>
</file>

<file path=customXml/itemProps4.xml><?xml version="1.0" encoding="utf-8"?>
<ds:datastoreItem xmlns:ds="http://schemas.openxmlformats.org/officeDocument/2006/customXml" ds:itemID="{DB5AB9E8-FD42-4C31-AAF5-C537D41420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 na vyčlenenie príspevku ozbrojených síl Slovenskej republiky do okamžitých záloh pre operáciu EUFOR ALTHEA v Bosne a Hercegovine od 1</vt:lpstr>
    </vt:vector>
  </TitlesOfParts>
  <Company>MOSR</Company>
  <LinksUpToDate>false</LinksUpToDate>
  <CharactersWithSpaces>7956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vyčlenenie príspevku ozbrojených síl Slovenskej republiky do okamžitých záloh pre operáciu EUFOR ALTHEA v Bosne a Hercegovine od 1</dc:title>
  <dc:subject/>
  <dc:creator>orfanusovael</dc:creator>
  <cp:keywords/>
  <dc:description/>
  <cp:lastModifiedBy>sevcovicovav</cp:lastModifiedBy>
  <cp:revision>2</cp:revision>
  <cp:lastPrinted>2013-02-18T06:48:00Z</cp:lastPrinted>
  <dcterms:created xsi:type="dcterms:W3CDTF">2015-01-22T08:05:00Z</dcterms:created>
  <dcterms:modified xsi:type="dcterms:W3CDTF">2015-01-22T08:05:00Z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78dbf0a1-684c-41f9-9257-612fb601f45c</vt:lpwstr>
  </property>
</Properties>
</file>