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936BB">
        <w:rPr>
          <w:rFonts w:ascii="Times New Roman" w:hAnsi="Times New Roman"/>
          <w:b/>
          <w:color w:val="000000"/>
          <w:sz w:val="24"/>
          <w:szCs w:val="24"/>
          <w:lang w:eastAsia="sk-SK"/>
        </w:rPr>
        <w:t>B. Osobitná časť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Upravuje sa predmet nariadenia, ktorým je ustanovenie podmienok poskytovania podpory na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opatrenia v rámci spoločnej organizácie trhu s vínom – propagácia, reštrukturalizácia vinohradu, poistenie úrody 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investície</w:t>
      </w:r>
      <w:r>
        <w:rPr>
          <w:rFonts w:ascii="Times New Roman" w:hAnsi="Times New Roman"/>
          <w:sz w:val="24"/>
          <w:szCs w:val="24"/>
        </w:rPr>
        <w:t xml:space="preserve"> (ďalej len „opatrenia“)</w:t>
      </w:r>
      <w:r w:rsidRPr="008936BB">
        <w:rPr>
          <w:rFonts w:ascii="Times New Roman" w:hAnsi="Times New Roman"/>
          <w:sz w:val="24"/>
          <w:szCs w:val="24"/>
        </w:rPr>
        <w:t>.</w:t>
      </w:r>
    </w:p>
    <w:p w:rsidR="007A03CF" w:rsidRDefault="007A03CF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Ustanovujú sa podmienky, ktoré musí spĺňať žiadateľ o podporu na oprávnené opatrenia zahrnuté do národného podporného programu v rámci spoločnej organizácie trhu s vínom. Tieto podmienky sú prevzaté z § 8a ods. 4 zákona č. 523/2004 Z. z. o rozpočtových pravidlách verejnej správy a o zmene a doplnení niektorých zákonov v znení neskorších predpisov ako všeobecné predpoklady pre oprávnenie na poskytnutie dotácie. Žiadateľovi o podporu sa zároveň ustanovuje povinnosť uskutočňovať výber dodávateľa tovarov, stavebných prác a výber poskytovateľa služieb určených na vykonanie opatrení podľa § 1 tak, aby bola zachovaná hospodárnosť, efektívnosť a účinnosť výdavkov vynaložených na ich vykonanie. Táto povinnosť je v odseku 2 explicitne ustanovená, nakoľko na prijímateľov podpory sa podľa § 8 ods. 3 zákona č.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343/2015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Z. z. o verejnom obstarávaní a o zmene a doplnení niektorých zákonov nevzťahujú povinnosti postupovať podľa § 8 ods. 1 a 2 uvedeného zákona, resp. používať postupy verejného obstarávania, avšak musia dodržiavať pravidlá nakladania s verejnými prostriedkami podľa § 19 ods. 3 zákona č. 523/2004 Z. z. o rozpočtových pravidlách verejnej správy a o zmene a doplnení niektorých zákonov. Dodržanie uvedených pravidiel žiadateľ o podporu deklaruje predložením troch cenových ponúk a zdôvodnením výberu, najmä pokiaľ sa žiadateľ napriek nižšej cenovej ponuke rozhodne pre drahší variant. Táto povinnosť sa však nevzťahuje na žiadateľa o podporu na vykonanie opatrenia reštrukturalizácia vinohradu, nakoľko za vykonanie tohto opatrenia sa podpora poskytuje vo výške podľa štandardnej stupnice, ustanovenej v zmysle čl. 24 ods. 1 nariadenia (EÚ) č. 2016/1150</w:t>
      </w:r>
      <w:r>
        <w:rPr>
          <w:rFonts w:ascii="Times New Roman" w:hAnsi="Times New Roman"/>
          <w:sz w:val="24"/>
          <w:szCs w:val="24"/>
        </w:rPr>
        <w:t xml:space="preserve"> v platnom znení</w:t>
      </w:r>
      <w:r w:rsidRPr="008936B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Pokiaľ ide o pojem „oprávnené výdavky“, ktorý sa prvýkrát používa v § 2 ods. 3 písm. f) a ktorý sa následne ďalej používa aj v súvislosti s jednotlivými opatreniami, tak týmto pojmom je potrebné rozumieť výdavky na tie tovary, stavebné práce a služby, ktorých zabezpečenie priamo súviselo s vykonaním príslušného opatrenia. Vzhľadom na široké spektrum možných položiek sa v samotnom normatívnom texte neuvádza ich taxatívny ani demonštratívny výpočet. Pri posudzovaní ich oprávnenosti v ďalšom konaní o vyplatení podpory je však možné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použiť výkladové východiská k delegovanému nariadeniu Komisie (EÚ) 2016/1149 a k vykonávaciemu nariadeniu Komisie </w:t>
      </w:r>
      <w:r w:rsidRPr="00AC6433">
        <w:rPr>
          <w:rFonts w:ascii="Times New Roman" w:hAnsi="Times New Roman"/>
          <w:sz w:val="24"/>
          <w:szCs w:val="24"/>
        </w:rPr>
        <w:t>(EÚ) 2016/1150</w:t>
      </w:r>
      <w:r>
        <w:rPr>
          <w:rFonts w:ascii="Times New Roman" w:hAnsi="Times New Roman"/>
          <w:sz w:val="24"/>
          <w:szCs w:val="24"/>
        </w:rPr>
        <w:t xml:space="preserve"> v platnom znení, ktoré vydala Európska komisia vo forme príručky pre implementáciu (</w:t>
      </w:r>
      <w:hyperlink w:history="1">
        <w:r w:rsidRPr="00A035DE">
          <w:rPr>
            <w:rStyle w:val="Hypertextovprepojenie"/>
            <w:rFonts w:ascii="Times New Roman" w:hAnsi="Times New Roman"/>
            <w:sz w:val="24"/>
            <w:szCs w:val="24"/>
          </w:rPr>
          <w:t>https://</w:t>
        </w:r>
        <w:r w:rsidRPr="001250B9">
          <w:rPr>
            <w:rStyle w:val="Hypertextovprepojenie"/>
            <w:rFonts w:ascii="Times New Roman" w:hAnsi="Times New Roman"/>
            <w:sz w:val="24"/>
            <w:szCs w:val="24"/>
          </w:rPr>
          <w:t xml:space="preserve"> ec.europa.eu/agriculture/sites/agriculture/files/wine/documents/reg-2016-1612_en.pdf</w:t>
        </w:r>
      </w:hyperlink>
      <w:r>
        <w:rPr>
          <w:rFonts w:ascii="Times New Roman" w:hAnsi="Times New Roman"/>
          <w:sz w:val="24"/>
          <w:szCs w:val="24"/>
        </w:rPr>
        <w:t xml:space="preserve">), v ktorých sa uvádza aj demonštratívny zoznam oprávnených a neoprávnených činností v rámci jednotlivých opatrení. Ďalším výkladovým východiskom je </w:t>
      </w:r>
      <w:r w:rsidRPr="00825105">
        <w:rPr>
          <w:rFonts w:ascii="Times New Roman" w:hAnsi="Times New Roman"/>
          <w:bCs/>
          <w:sz w:val="24"/>
          <w:szCs w:val="24"/>
        </w:rPr>
        <w:t>Národn</w:t>
      </w:r>
      <w:r>
        <w:rPr>
          <w:rFonts w:ascii="Times New Roman" w:hAnsi="Times New Roman"/>
          <w:bCs/>
          <w:sz w:val="24"/>
          <w:szCs w:val="24"/>
        </w:rPr>
        <w:t>ý</w:t>
      </w:r>
      <w:r w:rsidRPr="00825105">
        <w:rPr>
          <w:rFonts w:ascii="Times New Roman" w:hAnsi="Times New Roman"/>
          <w:bCs/>
          <w:sz w:val="24"/>
          <w:szCs w:val="24"/>
        </w:rPr>
        <w:t xml:space="preserve"> podporn</w:t>
      </w:r>
      <w:r>
        <w:rPr>
          <w:rFonts w:ascii="Times New Roman" w:hAnsi="Times New Roman"/>
          <w:bCs/>
          <w:sz w:val="24"/>
          <w:szCs w:val="24"/>
        </w:rPr>
        <w:t>ý program</w:t>
      </w:r>
      <w:r w:rsidRPr="00825105">
        <w:rPr>
          <w:rFonts w:ascii="Times New Roman" w:hAnsi="Times New Roman"/>
          <w:bCs/>
          <w:sz w:val="24"/>
          <w:szCs w:val="24"/>
        </w:rPr>
        <w:t xml:space="preserve"> v rámci spoločnej organizácii trhu s vínom na roky 2014 – 2018</w:t>
      </w:r>
      <w:r>
        <w:rPr>
          <w:rFonts w:ascii="Times New Roman" w:hAnsi="Times New Roman"/>
          <w:bCs/>
          <w:sz w:val="24"/>
          <w:szCs w:val="24"/>
        </w:rPr>
        <w:t>, ktorý je záväzný voči Európskej komisii a s ohľadom na ktorý bolo tvorené aj navrhované nariadenie vlády Slovenskej republiky</w:t>
      </w:r>
      <w:r w:rsidRPr="008936BB">
        <w:rPr>
          <w:rFonts w:ascii="Times New Roman" w:hAnsi="Times New Roman"/>
          <w:sz w:val="24"/>
          <w:szCs w:val="24"/>
        </w:rPr>
        <w:t>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3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Propagáciou sa rozumejú propagačné a informačné aktivity. Opatrenie propagácia a podpory s tým súvisiace sa členia podľa miesta uplatňovania propagácie a to na propagáciu v tretích krajinách a v členských štátoch Európskej únie.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4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 xml:space="preserve">Týka sa podpory propagácie v členských štátoch EÚ. Ustanovuje sa, ktorá osoba je oprávnená na poskytnutie tejto podpory, na aké činnosti sa bude poskytovať podpora a aké podmienky musí </w:t>
      </w:r>
      <w:r w:rsidRPr="008936BB">
        <w:rPr>
          <w:rFonts w:ascii="Times New Roman" w:hAnsi="Times New Roman"/>
          <w:sz w:val="24"/>
          <w:szCs w:val="24"/>
        </w:rPr>
        <w:lastRenderedPageBreak/>
        <w:t>žiadateľ splniť. Oprávneným žiadateľom sú osoby spadajúce pod vymedzenie v čl. 3 nariadenia (EÚ) č. 2016/1149. V odseku 1 sa taktiež ustanovuje, že podporu možno poskytnúť len žiadateľovi, ktorý splnil podmienky podľa § 7 ods. 2 až 4, čo znamená, že ich nesplnenie zo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strany žiadateľa má za následok stratu nároku na poskytnutie podpory. Podpora by sa mala poskytovať len etablovaným právnickým združeniam a organizáciám, ktoré existujú už aspoň päť rokov a ktoré majú predošlé skúsenosti s propagáciou vína.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5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Týka sa podpory propagácie v tretích krajinách. Ustanovuje sa, ktorá osoba je oprávnená na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poskytnutie tejto podpory, kto poskytuje podporu, na aké činnosti sa bude poskytovať podpora 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aké podmienky musí žiadateľ splniť. Oprávneným žiadateľom sú osoby spadajúce pod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vymedzenie v čl. 3 nariadenia (EÚ) č. 2016/1149. V odseku 1 sa taktiež ustanovuje, že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podporu možno poskytnúť len žiadateľovi, ktorý splnil podmienky podľa § 7 ods. 2 až 4, čo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znamená, že ich nesplnenie zo strany žiadateľa má za následok stratu nároku na poskytnutie podpory. Podpora by sa mala poskytovať len etablovaným združeniam, organizáciám 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 xml:space="preserve">výrobcom, ktorí existujú už aspoň päť rokov a ktorí majú predošlé skúsenosti s propagáciou vína. </w:t>
      </w:r>
      <w:r>
        <w:rPr>
          <w:rFonts w:ascii="Times New Roman" w:hAnsi="Times New Roman"/>
          <w:sz w:val="24"/>
          <w:szCs w:val="24"/>
        </w:rPr>
        <w:t xml:space="preserve">Podmienka predchádzajúceho päťročného pôsobenia združenia a rovnako aj podnikateľa v sektore vinárstva má za cieľ zúžiť okruh potenciálnych prijímateľov podpory na propagáciu </w:t>
      </w:r>
      <w:r>
        <w:rPr>
          <w:rFonts w:ascii="Times New Roman" w:hAnsi="Times New Roman"/>
          <w:sz w:val="24"/>
          <w:szCs w:val="24"/>
        </w:rPr>
        <w:br/>
        <w:t xml:space="preserve">na tých, ktorí ju dokážu efektívne využívať v rámci svojej organizačnej štruktúry. To sa týka predovšetkým žiadateľov, ktorí sú združeniami, nakoľko títo môžu vzniknúť pomerne jednoduchým, administratívne nenáročným spôsobom podľa zákona č. 83/1990 Zb. v znení neskorších predpisov alebo podľa § 20i ods. 2 Občianskeho zákonníka v znení neskorších predpisov. Svoju spôsobilosť vykonávať propagáciu síce žiadateľ preukazuje deklaráciou svojich doterajších skúseností s propagáciou vína, avšak táto má len povahu čestného vyhlásenia. Preto je stabilitu žiadateľa potrebné skontrolovať aj nahliadnutím do príslušných registrov a listín, z ktorých sa dá overiť dĺžka existencie žiadateľa - združenia alebo doba oprávnenia žiadateľa </w:t>
      </w:r>
      <w:r>
        <w:rPr>
          <w:rFonts w:ascii="Times New Roman" w:hAnsi="Times New Roman"/>
          <w:sz w:val="24"/>
          <w:szCs w:val="24"/>
        </w:rPr>
        <w:br/>
        <w:t xml:space="preserve">na podnikanie v sektore vinárstva (napr. nahliadnutím do </w:t>
      </w:r>
      <w:r w:rsidRPr="006F6065">
        <w:rPr>
          <w:rFonts w:ascii="Times New Roman" w:hAnsi="Times New Roman"/>
          <w:sz w:val="24"/>
          <w:szCs w:val="24"/>
        </w:rPr>
        <w:t xml:space="preserve">registra združení vedeného </w:t>
      </w:r>
      <w:r>
        <w:rPr>
          <w:rFonts w:ascii="Times New Roman" w:hAnsi="Times New Roman"/>
          <w:sz w:val="24"/>
          <w:szCs w:val="24"/>
        </w:rPr>
        <w:br/>
      </w:r>
      <w:r w:rsidRPr="006F6065">
        <w:rPr>
          <w:rFonts w:ascii="Times New Roman" w:hAnsi="Times New Roman"/>
          <w:sz w:val="24"/>
          <w:szCs w:val="24"/>
        </w:rPr>
        <w:t>na okresnom úrade v sídle kraja</w:t>
      </w:r>
      <w:r>
        <w:rPr>
          <w:rFonts w:ascii="Times New Roman" w:hAnsi="Times New Roman"/>
          <w:sz w:val="24"/>
          <w:szCs w:val="24"/>
        </w:rPr>
        <w:t xml:space="preserve">, do obchodného registra, do písomného vyhotovenia stanov združenia potvrdeného Ministerstvom vnútra Slovenskej republiky a pod.). Stabilná organizačná štruktúra žiadateľa s ohľadom na dĺžku jeho pôsobenia v sektore vinárstva je v tomto prípade formou záruky, že takýto žiadateľ je spôsobilý vyrovnať sa </w:t>
      </w:r>
      <w:r w:rsidRPr="003D15A0">
        <w:rPr>
          <w:rFonts w:ascii="Times New Roman" w:hAnsi="Times New Roman"/>
          <w:sz w:val="24"/>
          <w:szCs w:val="24"/>
        </w:rPr>
        <w:t>so špecifickými obmedzeniami obchodu s tretími krajinami</w:t>
      </w:r>
      <w:r>
        <w:rPr>
          <w:rFonts w:ascii="Times New Roman" w:hAnsi="Times New Roman"/>
          <w:sz w:val="24"/>
          <w:szCs w:val="24"/>
        </w:rPr>
        <w:t xml:space="preserve">, čím bude zároveň osvedčovať aj splnenie kritéria oprávnenosti podľa čl. 10 písm. c) </w:t>
      </w:r>
      <w:r w:rsidRPr="00B918E5">
        <w:rPr>
          <w:rFonts w:ascii="Times New Roman" w:hAnsi="Times New Roman"/>
          <w:sz w:val="24"/>
          <w:szCs w:val="24"/>
        </w:rPr>
        <w:t>delegovanému nariadeniu Komisie (EÚ) 2016/1149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936BB">
        <w:rPr>
          <w:rFonts w:ascii="Times New Roman" w:hAnsi="Times New Roman"/>
          <w:sz w:val="24"/>
          <w:szCs w:val="24"/>
        </w:rPr>
        <w:t>Podpora sa poskytuje na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opatrenia podľa čl. 45 ods. 2 písm. a) až d) nariadenia (EÚ) č. 1308/2013.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6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 termín predkladania žiadosti o podporu na propagáciu a povinné náležitosti ako súčasti žiadosti o podporu nevyhnutné pri posudzovaní žiadostí o podporu. Cieľovými skupinami pre propagáciu v treťom štáte sú priamo koneční spotrebitelia, ale aj prípadní obchodní partneri, importéri a pod. Pre propagáciu v členskom štáte je cieľovou skupinou hlavne konečný spotrebiteľ, ale aj obchodné spoločnosti, predajcovia a pod. Povinne predkladané prílohy majú osvedčovať splnenie podmienok pre poskytnutie podpory.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adjustRightInd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7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Predpokladom poskytnutie podpory na propagáciu je schválenie žiadosti o túto podporu. Na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základe právoplatného rozhodnutia platobnej agentúry je potom možné začať vykonávať opatrenia, ktorých vykonanie bolo spolu so žiadosťou schválené. Možnosť predĺžiť lehotu na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 xml:space="preserve">ukončenie schváleného opatrenia bola prevzatá z čl. 4 delegovaného nariadenia Komisie (EÚ) 2016/1149. Ustanovujú sa aj ďalšie povinnosti žiadateľa, najmä povinnosť oznámiť platobnej </w:t>
      </w:r>
      <w:r w:rsidRPr="008936BB">
        <w:rPr>
          <w:rFonts w:ascii="Times New Roman" w:hAnsi="Times New Roman"/>
          <w:sz w:val="24"/>
          <w:szCs w:val="24"/>
        </w:rPr>
        <w:lastRenderedPageBreak/>
        <w:t>agentúre ukončenie vykonávania schváleného opatrenia.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8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Spolu s oznámením o ukončení opatrenia propagácie sa platobnej agentúre predkladá aj žiadosť o poskytnutie podpory za propagáciu, na základe ktorej sa začína konanie o poskytnutí podpory. Ide o samostatné konanie odlišné od konania o schválení žiadosti, pričom výsledkom konania o poskytnutí podpory za propagáciu je rozhodnutie, na základe ktorého dôjde k vyplateniu samotnej podpory, ak boli splnené príslušné podmienky.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9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 výška podpory na obidva druhy opatrenia na propagáciu a finančné limity pre samotné investície.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10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sa, ktorá osoba je oprávnená na poskytnutie podpory na reštrukturalizáciu,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36BB">
        <w:rPr>
          <w:rFonts w:ascii="Times New Roman" w:hAnsi="Times New Roman"/>
          <w:sz w:val="24"/>
          <w:szCs w:val="24"/>
        </w:rPr>
        <w:t>na aké opatrenia v rámci reštrukturalizácie sa bude poskytovať podpora a aké podmienky musí žiadateľ splniť. Ustanovuje sa tiež minimálna a maximálna plocha vinohradu, ktorú možno reštrukturalizovať a minimálna hustota výsadby novovysadených rastlín viniča, ktorú je potrebné dosiahnuť. V odseku 1 sa taktiež ustanovuje, že podporu možno poskytnúť len žiadateľovi, ktorý splnil podmienky podľa § 16 ods. 1 až 4, čo znamená, že ich nesplnenie zo strany žiadateľa má za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následok stratu nároku na poskytnutie podpory.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11 až 14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Ustanovujú sa ciele a podmienky pre jednotlivé opatrenia, ako aj možnosti vzájomnej kombinácie s inými opatreniami. Opatrenie zmena odrôd sa ustanovuje s cieľom prispôsobenia sa novým trhovým podmienkam a zmene spotrebiteľského správania. Cieľom je nová výsadba vysoko kvalitných odrôd a odrôd tradičných pre daný región. V prípade realizácie opatrenia sa vinohrad vysadí novými odrodami, inými ako boli v pôvodnom vinohrade. Opatrenie presun vinohradu je zamerané na využívanie kvalitnejších vinohradníckych plôch a regiónov, ako aj svahovitých oblastí, pričom sa umožňuje uplatňovať súbežnú výsadbu. Pri použití súbežnej výsadby sa však neuhrádzajú náklady za vyklčovanie a ani náklady za straty na príjmoch, keďže žiadateľovi v takom prípade straty na príjmoch nevznikajú, nakoľko priebežne využíva aj pôvodnú vinohradnícku plochu. Opatrenie vyklčovanie je zamerané na odstránenie všetkých krov viniča 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opornej konštrukcie z vinohradu v spojení s vykonávaním opatrenia zmena odrôd, zmena sponu alebo presun vinohradu</w:t>
      </w:r>
      <w:r w:rsidRPr="00DC224C">
        <w:rPr>
          <w:rFonts w:ascii="Times New Roman" w:hAnsi="Times New Roman"/>
          <w:sz w:val="24"/>
          <w:szCs w:val="24"/>
        </w:rPr>
        <w:t xml:space="preserve">. </w:t>
      </w:r>
      <w:r w:rsidRPr="004E56A0">
        <w:rPr>
          <w:rFonts w:ascii="Times New Roman" w:hAnsi="Times New Roman"/>
          <w:iCs/>
          <w:sz w:val="24"/>
          <w:szCs w:val="24"/>
        </w:rPr>
        <w:t>Pri vykonávaní reštrukturalizačných opatrení zmena odrôd,  zmena sponu a presun vinohradu posudzuje uspokojivosť stavu viniča Ústredný kontrolný a skúšobný ústav poľnohospodársky v rámci kontroly na miestne, a to z hľadiska životaschopnosti porastu bez prítomnosti burín, chorôb a škodcov a posúdenia, či pozemok je obrobený podľa pravidiel správnej vinohradníckej praxe.</w:t>
      </w:r>
      <w:r w:rsidRPr="004E56A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8936BB">
        <w:rPr>
          <w:rFonts w:ascii="Times New Roman" w:hAnsi="Times New Roman"/>
          <w:sz w:val="24"/>
          <w:szCs w:val="24"/>
        </w:rPr>
        <w:t>Po vyklčovaní vinohradu sa musí do dvoch rokov od vyklčovania zrealizovať výsadba reštrukturalizovaného vinohradu.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15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 termín predkladania žiadosti o podporu na reštrukturalizáciu, povinné náležitosti ako súčasti žiadosti o podporu a čo musí obsahovať projekt reštrukturalizácie. Povinne predkladané prílohy majú osvedčovať splnenie podmienok pre poskytnutie podpory. Zároveň sa ustanovuje, že žiadateľ musí pozemok vinohradníckej plochy, ktorý plánuje reštrukturalizovať, identifikovať v registri poľnohospodárskych pôdnych blokov, ktorý vedie Výskumný ústav pôdoznalectva a ochrany pôdy. Ide o geografický informačný systém (GIS), tzv. LPIS, ktorý je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 xml:space="preserve">tvorený primárne evidenciou využitia poľnohospodárskej pôdy. V záujme správnej </w:t>
      </w:r>
      <w:r w:rsidRPr="008936BB">
        <w:rPr>
          <w:rFonts w:ascii="Times New Roman" w:hAnsi="Times New Roman"/>
          <w:sz w:val="24"/>
          <w:szCs w:val="24"/>
        </w:rPr>
        <w:lastRenderedPageBreak/>
        <w:t>identifikácie pozemku je v odseku 2 zakotvená povinnosť podávať aj žiadosť o podporu v poľnohospodárstve v súvislosti so schémami priamych platieb, aj keby príslušný žiadateľ o takýto typ podpory nežiadal. V taktom prípade žiadateľ odovzdá formulár žiadosti o podporu v poľnohospodárstve v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súvislosti so schémami priamych platieb len s vyplnenou identifikáciou pozemku v LPIS.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keepNext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16</w:t>
      </w:r>
    </w:p>
    <w:p w:rsidR="00BA2406" w:rsidRPr="008936BB" w:rsidRDefault="00BA2406" w:rsidP="00BA2406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Predpokladom poskytnutie podpory na reštrukturalizáciu je schválenie žiadosti o túto podporu. Na základe právoplatného rozhodnutia platobnej agentúry je potom možné začať vykonávať opatrenia, ktorých vykonanie bolo spolu so žiadosťou schválené. Ustanovujú sa termíny začatia a skončenia realizácie jednotlivých opatrení a povinnosti žiadateľa o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podporu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36BB">
        <w:rPr>
          <w:rFonts w:ascii="Times New Roman" w:hAnsi="Times New Roman"/>
          <w:sz w:val="24"/>
          <w:szCs w:val="24"/>
        </w:rPr>
        <w:t>na reštrukturalizáciu v súvislosti s povinnými oznámeniami agentúre.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17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Spolu s oznámením o ukončení opatrenia reštrukturalizácie sa platobnej agentúre predkladá aj žiadosť o poskytnutie podpory za reštrukturalizáciu, na základe ktorej sa začína konanie o poskytnutí podpory. Ide o samostatné konanie odlišné od konania o schválení žiadosti, pričom výsledkom konania o poskytnutí podpory za reštrukturalizáciu je rozhodnutie, na základe ktorého dôjde k vyplateniu samotnej podpory, ak boli splnené príslušné podmienky.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18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sa, že sumy podpory na reštrukturalizáciu vinohradu sú uvedené v prílohe č. 1. Slovenská republika pri určovaní týchto súm vychádzala zo štandardnej stupnice, ustanovenej podľa čl. 24 ods. 1 vykonávacieho nariadenia Komisie (EÚ) 2016/1150. Výpočty na účel zostavenia štandardnej stupnice zabezpečil nezávislý subjekt s primeranou odbornosťou v oblasti vinohradníctva a vinárstva, pričom takto určené sumy nákladov na jednotlivé opatrenia boli následne upravené s ohľadom na regionálne rozdiely medzi Bratislavským krajom a ostatnými krajmi Slovenskej republiky. Suma podpory za vykonanie opatrení v Bratislavskom kraji bola stanovená tak, aby zodpovedala 50% priemerných nákladov a suma podpory za vykonanie opatrení v ostatných krajoch bola stanovená tak, aby zodpovedala 75% priemerných nákladov. Toto rozdelenie vyplýva z ustanovenia čl. 46 ods. 6 nariadenia (EÚ) č. 1308/2013, podľa ktorého príspevok EÚ na skutočné náklady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36BB">
        <w:rPr>
          <w:rFonts w:ascii="Times New Roman" w:hAnsi="Times New Roman"/>
          <w:sz w:val="24"/>
          <w:szCs w:val="24"/>
        </w:rPr>
        <w:t>na reštrukturalizáciu a konverziu vinohradov nepresiahne 50 % a príspevok EÚ na náklady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36BB">
        <w:rPr>
          <w:rFonts w:ascii="Times New Roman" w:hAnsi="Times New Roman"/>
          <w:sz w:val="24"/>
          <w:szCs w:val="24"/>
        </w:rPr>
        <w:t>na reštrukturalizáciu a konverziu v menej rozvinutých regiónoch nepresiahne 75 %. Na rozdiel od opatrení propagácie, poistenia úrody a investícií sa teda v texte návrhu nariadenia vlády SR neuvádza, koľko percent oprávnených výdavkov je možné refundovať, pretože výška celkovej podpory na hektár je pevne stanovená v prílohe č. 1. Pri opatreniach zmena odrôd, zmena sponu alebo presun vinohradu boli určené tri stupne podpory, a to v závislosti od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priemernej hustoty výsadby. Minimálna hustota výsadby je podľa §10 ods. 3 návrhu nariadenia vlády SR 4000 novovysadených rastlín viniča na hektár.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19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sa, ktorá osoba je oprávnená na poskytnutie podpory na poistenie, aké druhy poistenia sa podporujú a ustanovuje sa najmenšia plocha vinohradu oprávnená na podporu na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poistenie. V odseku 1 sa taktiež ustanovuje, že podporu možno poskytnúť len žiadateľovi, ktorý splnil podmienky podľa § 20 ods. 3, čo znamená, že ich nesplnenie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36BB">
        <w:rPr>
          <w:rFonts w:ascii="Times New Roman" w:hAnsi="Times New Roman"/>
          <w:sz w:val="24"/>
          <w:szCs w:val="24"/>
        </w:rPr>
        <w:t>zo strany žiadateľa má za</w:t>
      </w:r>
      <w:r>
        <w:rPr>
          <w:rFonts w:ascii="Times New Roman" w:hAnsi="Times New Roman"/>
          <w:sz w:val="24"/>
          <w:szCs w:val="24"/>
        </w:rPr>
        <w:t> </w:t>
      </w:r>
      <w:r w:rsidRPr="008936BB">
        <w:rPr>
          <w:rFonts w:ascii="Times New Roman" w:hAnsi="Times New Roman"/>
          <w:sz w:val="24"/>
          <w:szCs w:val="24"/>
        </w:rPr>
        <w:t>následok stratu nároku na poskytnutie podpory.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20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 xml:space="preserve">Ustanovuje sa termín predkladania žiadostí o podporu na poistenie a uvádzajú sa povinné prílohy </w:t>
      </w:r>
      <w:r w:rsidRPr="008936BB">
        <w:rPr>
          <w:rFonts w:ascii="Times New Roman" w:hAnsi="Times New Roman"/>
          <w:sz w:val="24"/>
          <w:szCs w:val="24"/>
        </w:rPr>
        <w:lastRenderedPageBreak/>
        <w:t>žiadosti, ktoré sú nevyhnutné pri posudzovaní žiadostí o podporu. Povinne predkladané prílohy majú osvedčovať splnenie podmienok pre poskytnutie podpory.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21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 percentuálna sadzba maximálnej výšky podpory v závislosti od predmetu poistenia.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keepNext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22</w:t>
      </w:r>
    </w:p>
    <w:p w:rsidR="00BA2406" w:rsidRPr="008936BB" w:rsidRDefault="00BA2406" w:rsidP="00BA2406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sa, ktorá osoba je oprávnená na poskytnutie podpory na investície, na aké opatrenia v rámci investícií do podnikov sa bude poskytovať podpora a aké podmienky musí žiadateľ splniť. Oprávneným žiadateľom sú osoby spadajúce pod vymedzenie v čl. 32 nariadenia (EÚ) č. 2016/1149. V odseku 1 sa taktiež ustanovuje, že podporu možno poskytnúť len žiadateľovi, ktorý splnil podmienky podľa § 24 ods. 2 a 3, čo znamená, že ich nesplnenie zo strany žiadateľa má za následok stratu nároku na poskytnutie podpory. Doposiaľ bola na sudy vyplácaná len malá časť podpory na vnútorné vybavenie predajných a prezentačných priestorov. Ak by sa podporil aj nákup drevených sudov, umiestnených vo výrobnom podniku mimo prezentačných priestorov, bolo by to z hľadiska vyplatených prostriedkov oveľa efektívnejšie. QR kódy ako dvojrozmerné kódy pre rýchle dekódovanie sú mimoriadne efektívne, prinášajú zvýšený záujem spotrebiteľov o pôvod vína, čo priamo napomáha boju proti klamaniu o pôvode vína, respektíve o kvalite vína. Možnosť označovať korkové a sklenené uzávery fľašovaného vína výrazom „Districtus Slovakia Controllatus“ alebo „D.S.C.“  je určená pre vína s chráneným označením pôvodu.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23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 termín predkladania žiadostí o podporu na investície a uvádzajú sa povinné prílohy žiadosti, ktoré sú nevyhnutné pri posudzovaní žiadostí o podporu. Zakotvuje sa povinnosť žiadateľa, ktorý vedie účtovníctvo, uložiť do registra účtovných závierok svoju účtovnú závierku, aby mala platobná agentúra možnosť overiť, že žiadateľov podnik nie je podnikom v ťažkostiach, ktorým sa podpora podľa čl. 50 ods. 2 nariadenia (EÚ) č. 1308/2013 neposkytuje. Povinne predkladané prílohy majú osvedčovať splnenie podmienok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36BB">
        <w:rPr>
          <w:rFonts w:ascii="Times New Roman" w:hAnsi="Times New Roman"/>
          <w:sz w:val="24"/>
          <w:szCs w:val="24"/>
        </w:rPr>
        <w:t>pre poskytnutie podpory.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24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Uvádzajú sa povinnosti žiadateľa o podporu na investície v súvislosti s oznamovaním agentúre o ukončení opatrenia.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25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Spolu s oznámením o ukončení investičného opatrenia sa platobnej agentúre predkladá aj žiadosť o poskytnutie podpory za investície, na základe ktorej sa začína konanie o poskytnutí podpory. Ide o samostatné konanie odlišné od konania o schválení žiadosti, pričom výsledkom konania o poskytnutí podpory za investície je rozhodnutie, na základe ktorého dôjde k vyplateniu samotnej podpory, ak boli splnené príslušné podmienky.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26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 xml:space="preserve">Ustanovujú sa finančné limity a percentuálna sadzba maximálnej výšky podpory </w:t>
      </w:r>
      <w:r w:rsidRPr="008936BB">
        <w:rPr>
          <w:rFonts w:ascii="Times New Roman" w:hAnsi="Times New Roman"/>
          <w:sz w:val="24"/>
          <w:szCs w:val="24"/>
        </w:rPr>
        <w:br/>
        <w:t>na investície v závislosti od toho, či žiadateľ o podporu realizuje opatrenie v menej rozvinutom regióne lebo v inom regióne.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27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 xml:space="preserve">Ustanovujú sa povinnosti žiadateľa v súvislosti so stiahnutím žiadosti, ďalej umožniť vykonávanie kontroly na mieste a povinnosti krížového plnenia po realizácii s následnými </w:t>
      </w:r>
      <w:r w:rsidRPr="008936BB">
        <w:rPr>
          <w:rFonts w:ascii="Times New Roman" w:hAnsi="Times New Roman"/>
          <w:sz w:val="24"/>
          <w:szCs w:val="24"/>
        </w:rPr>
        <w:lastRenderedPageBreak/>
        <w:t>sankciami. Rovnako sa ustanovuje vylúčenie čerpania podpory na toto opatrenie z iného dotačného titulu.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28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 xml:space="preserve"> Ustanovuje sa, že </w:t>
      </w:r>
      <w:r w:rsidRPr="008936BB">
        <w:rPr>
          <w:rFonts w:ascii="Times New Roman" w:hAnsi="Times New Roman"/>
          <w:sz w:val="24"/>
          <w:szCs w:val="24"/>
        </w:rPr>
        <w:tab/>
        <w:t xml:space="preserve">prípady začaté podľa doterajšieho nariadenia vlády SR sa dokončia podľa doterajšieho nariadenia vlády SR. Zároveň sa však ustanovuje, že podporu </w:t>
      </w:r>
      <w:r w:rsidRPr="008936BB">
        <w:rPr>
          <w:rFonts w:ascii="Times New Roman" w:hAnsi="Times New Roman"/>
          <w:sz w:val="24"/>
          <w:szCs w:val="24"/>
        </w:rPr>
        <w:br/>
        <w:t>za projekty reštrukturalizácie bude možné vyplatiť podľa navrhovaného nariadenia vlády SR, nakoľko sa tým zjednoduší proces vyplácania a umožní sa tým poskytovať podporu vo väčšej výške. Toto ustanovenie sa navrhuje v záujme zabezpečiť spravodlivé a nediskriminačné podmienky pre nových a aj pre aktuálnych žiadateľov. Podmienkou je, že projekt reštrukturalizácie zodpovedá štandardom ustanoveným v navrhovanom nariadení vlády SR, teda že bola dosiahnutá hustota výsadby nových rastlín aspoň 4000/ha, miera ujatia výsadby je aspoň 80% atď.</w:t>
      </w:r>
      <w:r>
        <w:rPr>
          <w:rFonts w:ascii="Times New Roman" w:hAnsi="Times New Roman"/>
          <w:sz w:val="24"/>
          <w:szCs w:val="24"/>
        </w:rPr>
        <w:t xml:space="preserve"> Táto možnosť vyplácania sa v praxi použije, ak to bude pre žiadateľa priaznivejšie.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29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 vykonanie právne záväzných aktov Európskej únie uvedených v prílohe č. 2.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30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Uvádza sa zrušovacie ustanovenie. Má dôjsť k zrušeniu nariadenia vlády Slovenskej republiky č. 63/2015 Z. z. o podmienkach poskytovania podpory v rámci spoločnej organizácie trhu s vínom.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§ 31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Ustanovuje sa termín nadobudnutia účinnosti návrhu nariadenia vlády SR. Navrhovaná účinnosť je potrebná z toho hľadiska, že žiadosti o poskytnutie podpory na poistenie sa podávajú už k 15. máju 2017.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prílohe č. 1 k nariadeniu vlády č. .../2017 z. z.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Ustanovujú sa najvyššie možné sumy podpory pre jednotlivé opatrenia na reštrukturalizáciu vinohradu a výška paušálnej náhrady za straty na príjmoch.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36BB">
        <w:rPr>
          <w:rFonts w:ascii="Times New Roman" w:hAnsi="Times New Roman"/>
          <w:b/>
          <w:bCs/>
          <w:sz w:val="24"/>
          <w:szCs w:val="24"/>
        </w:rPr>
        <w:t>K prílohe č. 2 k nariadeniu vlády č. ... /2017 z. z.</w:t>
      </w:r>
    </w:p>
    <w:p w:rsidR="00BA2406" w:rsidRPr="008936BB" w:rsidRDefault="00BA2406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36BB">
        <w:rPr>
          <w:rFonts w:ascii="Times New Roman" w:hAnsi="Times New Roman"/>
          <w:sz w:val="24"/>
          <w:szCs w:val="24"/>
        </w:rPr>
        <w:t>Uvádza sa zoznam vykonávaných právne záväzných aktov Európskej únie.</w:t>
      </w:r>
    </w:p>
    <w:p w:rsidR="00D710A5" w:rsidRPr="008936BB" w:rsidRDefault="00D710A5" w:rsidP="00BA24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710A5" w:rsidRPr="008936BB" w:rsidSect="00157BA3">
      <w:footerReference w:type="default" r:id="rId8"/>
      <w:pgSz w:w="12240" w:h="15840"/>
      <w:pgMar w:top="851" w:right="1418" w:bottom="851" w:left="1418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BA3" w:rsidRDefault="00157BA3" w:rsidP="00157BA3">
      <w:pPr>
        <w:spacing w:after="0" w:line="240" w:lineRule="auto"/>
      </w:pPr>
      <w:r>
        <w:separator/>
      </w:r>
    </w:p>
  </w:endnote>
  <w:endnote w:type="continuationSeparator" w:id="0">
    <w:p w:rsidR="00157BA3" w:rsidRDefault="00157BA3" w:rsidP="0015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-622695316"/>
      <w:docPartObj>
        <w:docPartGallery w:val="Page Numbers (Bottom of Page)"/>
        <w:docPartUnique/>
      </w:docPartObj>
    </w:sdtPr>
    <w:sdtContent>
      <w:p w:rsidR="00157BA3" w:rsidRPr="00157BA3" w:rsidRDefault="00157BA3">
        <w:pPr>
          <w:pStyle w:val="Pta"/>
          <w:jc w:val="center"/>
          <w:rPr>
            <w:rFonts w:ascii="Times New Roman" w:hAnsi="Times New Roman"/>
            <w:sz w:val="24"/>
            <w:szCs w:val="24"/>
          </w:rPr>
        </w:pPr>
        <w:r w:rsidRPr="00157BA3">
          <w:rPr>
            <w:rFonts w:ascii="Times New Roman" w:hAnsi="Times New Roman"/>
            <w:sz w:val="24"/>
            <w:szCs w:val="24"/>
          </w:rPr>
          <w:fldChar w:fldCharType="begin"/>
        </w:r>
        <w:r w:rsidRPr="00157BA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57BA3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18</w:t>
        </w:r>
        <w:r w:rsidRPr="00157BA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57BA3" w:rsidRPr="00157BA3" w:rsidRDefault="00157BA3">
    <w:pPr>
      <w:pStyle w:val="Pta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BA3" w:rsidRDefault="00157BA3" w:rsidP="00157BA3">
      <w:pPr>
        <w:spacing w:after="0" w:line="240" w:lineRule="auto"/>
      </w:pPr>
      <w:r>
        <w:separator/>
      </w:r>
    </w:p>
  </w:footnote>
  <w:footnote w:type="continuationSeparator" w:id="0">
    <w:p w:rsidR="00157BA3" w:rsidRDefault="00157BA3" w:rsidP="00157B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16EAC"/>
    <w:rsid w:val="000275DB"/>
    <w:rsid w:val="000948F3"/>
    <w:rsid w:val="000B3F57"/>
    <w:rsid w:val="000D774F"/>
    <w:rsid w:val="00135261"/>
    <w:rsid w:val="00157BA3"/>
    <w:rsid w:val="001E2A5C"/>
    <w:rsid w:val="002248D9"/>
    <w:rsid w:val="00264F1F"/>
    <w:rsid w:val="002A7595"/>
    <w:rsid w:val="002C2B40"/>
    <w:rsid w:val="002F00DB"/>
    <w:rsid w:val="00327A2D"/>
    <w:rsid w:val="003A35EB"/>
    <w:rsid w:val="003B18B0"/>
    <w:rsid w:val="003C009A"/>
    <w:rsid w:val="004C083B"/>
    <w:rsid w:val="005358CD"/>
    <w:rsid w:val="005A1161"/>
    <w:rsid w:val="005D0949"/>
    <w:rsid w:val="00661635"/>
    <w:rsid w:val="006A0E56"/>
    <w:rsid w:val="00720F5F"/>
    <w:rsid w:val="00736887"/>
    <w:rsid w:val="00743DF9"/>
    <w:rsid w:val="00761851"/>
    <w:rsid w:val="00773CE7"/>
    <w:rsid w:val="007A03CF"/>
    <w:rsid w:val="007A485B"/>
    <w:rsid w:val="008461A5"/>
    <w:rsid w:val="00865263"/>
    <w:rsid w:val="00873337"/>
    <w:rsid w:val="008936BB"/>
    <w:rsid w:val="008E6FFD"/>
    <w:rsid w:val="008F1A80"/>
    <w:rsid w:val="00916035"/>
    <w:rsid w:val="009B1BE8"/>
    <w:rsid w:val="00A17C3D"/>
    <w:rsid w:val="00A50574"/>
    <w:rsid w:val="00A56287"/>
    <w:rsid w:val="00AA4FD0"/>
    <w:rsid w:val="00AB1F57"/>
    <w:rsid w:val="00AB2B8F"/>
    <w:rsid w:val="00B3505E"/>
    <w:rsid w:val="00B50E2A"/>
    <w:rsid w:val="00B51490"/>
    <w:rsid w:val="00BA14D6"/>
    <w:rsid w:val="00BA2406"/>
    <w:rsid w:val="00C67B8B"/>
    <w:rsid w:val="00CC4C68"/>
    <w:rsid w:val="00D02827"/>
    <w:rsid w:val="00D17ED7"/>
    <w:rsid w:val="00D463B0"/>
    <w:rsid w:val="00D70506"/>
    <w:rsid w:val="00D710A5"/>
    <w:rsid w:val="00DB4495"/>
    <w:rsid w:val="00DC224C"/>
    <w:rsid w:val="00DD1B41"/>
    <w:rsid w:val="00DF7EB5"/>
    <w:rsid w:val="00F0545B"/>
    <w:rsid w:val="00F10D72"/>
    <w:rsid w:val="00F44C37"/>
    <w:rsid w:val="00FD44BC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551E3-F455-469D-B44D-B2C54898C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  <w:style w:type="character" w:styleId="Hypertextovprepojenie">
    <w:name w:val="Hyperlink"/>
    <w:basedOn w:val="Predvolenpsmoodseku"/>
    <w:uiPriority w:val="99"/>
    <w:unhideWhenUsed/>
    <w:rsid w:val="00BA2406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157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57BA3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157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57BA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9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Dôvodová správa - Osobitná časť"/>
    <f:field ref="objsubject" par="" edit="true" text="Dôvodová správa - Osobitná časť"/>
    <f:field ref="objcreatedby" par="" text="Administrator, System"/>
    <f:field ref="objcreatedat" par="" text="6.2.2017 10:56:28"/>
    <f:field ref="objchangedby" par="" text="Administrator, System"/>
    <f:field ref="objmodifiedat" par="" text="6.2.2017 10:56:29"/>
    <f:field ref="doc_FSCFOLIO_1_1001_FieldDocumentNumber" par="" text=""/>
    <f:field ref="doc_FSCFOLIO_1_1001_FieldSubject" par="" edit="true" text="Dôvodová správa - Osobitná časť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https://ovdmasv601/sites/DMS/_layouts/15/DocIdRedir.aspx?ID=WKX3UHSAJ2R6-2-772085</Url>
      <Description>WKX3UHSAJ2R6-2-772085</Description>
    </_dlc_DocIdUrl>
    <_dlc_DocId xmlns="e60a29af-d413-48d4-bd90-fe9d2a897e4b">WKX3UHSAJ2R6-2-772085</_dlc_DocId>
  </documentManagement>
</p:properties>
</file>

<file path=customXml/itemProps1.xml><?xml version="1.0" encoding="utf-8"?>
<ds:datastoreItem xmlns:ds="http://schemas.openxmlformats.org/officeDocument/2006/customXml" ds:itemID="{635636D6-E3F7-4F5A-B28B-DC8383F89D1A}"/>
</file>

<file path=customXml/itemProps2.xml><?xml version="1.0" encoding="utf-8"?>
<ds:datastoreItem xmlns:ds="http://schemas.openxmlformats.org/officeDocument/2006/customXml" ds:itemID="{382A52EA-44A0-48CB-ACB3-3785E385AA56}"/>
</file>

<file path=customXml/itemProps3.xml><?xml version="1.0" encoding="utf-8"?>
<ds:datastoreItem xmlns:ds="http://schemas.openxmlformats.org/officeDocument/2006/customXml" ds:itemID="{25E01A9D-B84C-495E-BF6B-764C09F56015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FF088BF7-BC95-4718-BFA8-8C5C5E954595}"/>
</file>

<file path=customXml/itemProps6.xml><?xml version="1.0" encoding="utf-8"?>
<ds:datastoreItem xmlns:ds="http://schemas.openxmlformats.org/officeDocument/2006/customXml" ds:itemID="{A64AD280-0605-4272-9B5C-80AF551DF5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2819</Words>
  <Characters>16074</Characters>
  <Application>Microsoft Office Word</Application>
  <DocSecurity>0</DocSecurity>
  <Lines>133</Lines>
  <Paragraphs>37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Illáš Martin</cp:lastModifiedBy>
  <cp:revision>49</cp:revision>
  <dcterms:created xsi:type="dcterms:W3CDTF">2017-02-06T09:56:00Z</dcterms:created>
  <dcterms:modified xsi:type="dcterms:W3CDTF">2017-03-30T12:37:00Z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Margaréta Gulášová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o podmienkach poskytovania podpory v rámci spoločnej organizácie trhu s vínom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pôdohospodárstva a rozvoja vidieka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vlastná iniciatíva</vt:lpwstr>
  </property>
  <property fmtid="{D5CDD505-2E9C-101B-9397-08002B2CF9AE}" pid="22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984/2017-410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LP/2017/41</vt:lpwstr>
  </property>
  <property fmtid="{D5CDD505-2E9C-101B-9397-08002B2CF9AE}" pid="36" name="FSC#SKEDITIONSLOVLEX@103.510:typsprievdok">
    <vt:lpwstr>Dôvodová správa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>je upravená v práve Európskej únie</vt:lpwstr>
  </property>
  <property fmtid="{D5CDD505-2E9C-101B-9397-08002B2CF9AE}" pid="45" name="FSC#SKEDITIONSLOVLEX@103.510:AttrStrListDocPropPrimarnePravoEU">
    <vt:lpwstr>Zmluva o fungovaní Európskej únie Hlava III (Poľnohospodárstvo a rybné hospodárstvo) </vt:lpwstr>
  </property>
  <property fmtid="{D5CDD505-2E9C-101B-9397-08002B2CF9AE}" pid="46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>nie je obsiahnutá v judikatúre Súdneho dvora Európskej únie</vt:lpwstr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>bezpredmetné </vt:lpwstr>
  </property>
  <property fmtid="{D5CDD505-2E9C-101B-9397-08002B2CF9AE}" pid="52" name="FSC#SKEDITIONSLOVLEX@103.510:AttrStrListDocPropLehotaNaPredlozenie">
    <vt:lpwstr>bezpredmetné</vt:lpwstr>
  </property>
  <property fmtid="{D5CDD505-2E9C-101B-9397-08002B2CF9AE}" pid="53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54" name="FSC#SKEDITIONSLOVLEX@103.510:AttrStrListDocPropInfoUzPreberanePP">
    <vt:lpwstr>bezpredmetné </vt:lpwstr>
  </property>
  <property fmtid="{D5CDD505-2E9C-101B-9397-08002B2CF9AE}" pid="55" name="FSC#SKEDITIONSLOVLEX@103.510:AttrStrListDocPropStupenZlucitelnostiPP">
    <vt:lpwstr>úplný</vt:lpwstr>
  </property>
  <property fmtid="{D5CDD505-2E9C-101B-9397-08002B2CF9AE}" pid="56" name="FSC#SKEDITIONSLOVLEX@103.510:AttrStrListDocPropGestorSpolupRezorty">
    <vt:lpwstr>Ministerstvo pôdohospodárstva a rozvoja vidieka Slovenskej republiky</vt:lpwstr>
  </property>
  <property fmtid="{D5CDD505-2E9C-101B-9397-08002B2CF9AE}" pid="57" name="FSC#SKEDITIONSLOVLEX@103.510:AttrDateDocPropZaciatokPKK">
    <vt:lpwstr>19. 1. 2017</vt:lpwstr>
  </property>
  <property fmtid="{D5CDD505-2E9C-101B-9397-08002B2CF9AE}" pid="58" name="FSC#SKEDITIONSLOVLEX@103.510:AttrDateDocPropUkonceniePKK">
    <vt:lpwstr>3. 2. 2017</vt:lpwstr>
  </property>
  <property fmtid="{D5CDD505-2E9C-101B-9397-08002B2CF9AE}" pid="59" name="FSC#SKEDITIONSLOVLEX@103.510:AttrStrDocPropVplyvRozpocetVS">
    <vt:lpwstr>Negatívne</vt:lpwstr>
  </property>
  <property fmtid="{D5CDD505-2E9C-101B-9397-08002B2CF9AE}" pid="60" name="FSC#SKEDITIONSLOVLEX@103.510:AttrStrDocPropVplyvPodnikatelskeProstr">
    <vt:lpwstr>Pozitívne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66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ministerka pôdohospodárstva a rozvoja vidieka Slovenskej republiky</vt:lpwstr>
  </property>
  <property fmtid="{D5CDD505-2E9C-101B-9397-08002B2CF9AE}" pid="141" name="FSC#SKEDITIONSLOVLEX@103.510:funkciaZodpPredAkuzativ">
    <vt:lpwstr>ministerka pôdohospodárstva a rozvoja vidieka Slovenskej republiky</vt:lpwstr>
  </property>
  <property fmtid="{D5CDD505-2E9C-101B-9397-08002B2CF9AE}" pid="142" name="FSC#SKEDITIONSLOVLEX@103.510:funkciaZodpPredDativ">
    <vt:lpwstr>ministerka pôdohospodárstva a rozvoja vidieka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Gabriela Matečná_x000d_
ministerka pôdohospodárstva a rozvoja vidieka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49" name="FSC#COOSYSTEM@1.1:Container">
    <vt:lpwstr>COO.2145.1000.3.1818454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e30cd0a8-3e51-4333-a706-3db20b7e1579</vt:lpwstr>
  </property>
</Properties>
</file>