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22516163" w14:textId="440BFA94" w:rsidR="00054C41"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p>
    <w:p w14:paraId="7742458F" w14:textId="6FD83A03" w:rsidR="00696370" w:rsidRPr="00696370" w:rsidRDefault="00696370" w:rsidP="00696370">
      <w:pPr>
        <w:jc w:val="both"/>
        <w:rPr>
          <w:rFonts w:ascii="Times New Roman" w:eastAsia="Times New Roman" w:hAnsi="Times New Roman" w:cs="Times New Roman"/>
          <w:sz w:val="24"/>
          <w:szCs w:val="24"/>
          <w:lang w:eastAsia="sk-SK"/>
        </w:rPr>
      </w:pPr>
      <w:r w:rsidRPr="00696370">
        <w:rPr>
          <w:rFonts w:ascii="Times New Roman" w:eastAsia="Times New Roman" w:hAnsi="Times New Roman" w:cs="Times New Roman"/>
          <w:sz w:val="24"/>
          <w:szCs w:val="24"/>
          <w:lang w:eastAsia="sk-SK"/>
        </w:rPr>
        <w:t xml:space="preserve">Návrh zákona, ktorým sa mení a dopĺňa zákon č. 431/2002 Z. z. o účtovníctve v znení neskorších predpisov a ktorým sa </w:t>
      </w:r>
      <w:r w:rsidRPr="00696370">
        <w:rPr>
          <w:rFonts w:ascii="Times New Roman" w:hAnsi="Times New Roman" w:cs="Times New Roman"/>
          <w:sz w:val="24"/>
          <w:szCs w:val="24"/>
        </w:rPr>
        <w:t>mení a dopĺňa zákon č. 423/2015 Z. z. o štatutárnom audite a o zmene a doplnení zákona č. 431/2002 Z. z. o účtovníctve v znení neskorších predpisov v znení neskorších predpisov</w:t>
      </w:r>
      <w:r w:rsidR="00337BD2">
        <w:rPr>
          <w:rFonts w:ascii="Times New Roman" w:hAnsi="Times New Roman" w:cs="Times New Roman"/>
          <w:sz w:val="24"/>
          <w:szCs w:val="24"/>
        </w:rPr>
        <w:t>.</w:t>
      </w:r>
    </w:p>
    <w:p w14:paraId="2711DC2C" w14:textId="0DF8501D" w:rsidR="00054C41"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p>
    <w:p w14:paraId="0A26229C" w14:textId="55366885" w:rsidR="00696370" w:rsidRPr="00696370" w:rsidRDefault="00696370" w:rsidP="00054C41">
      <w:pPr>
        <w:jc w:val="both"/>
        <w:rPr>
          <w:rFonts w:ascii="Times New Roman" w:eastAsia="Calibri" w:hAnsi="Times New Roman" w:cs="Times New Roman"/>
          <w:bCs/>
          <w:sz w:val="24"/>
          <w:szCs w:val="24"/>
        </w:rPr>
      </w:pPr>
      <w:r w:rsidRPr="00696370">
        <w:rPr>
          <w:rFonts w:ascii="Times New Roman" w:eastAsia="Calibri" w:hAnsi="Times New Roman" w:cs="Times New Roman"/>
          <w:bCs/>
          <w:sz w:val="24"/>
          <w:szCs w:val="24"/>
        </w:rPr>
        <w:t>Ministerstvo financií Slovenskej republiky</w:t>
      </w:r>
      <w:r w:rsidR="00337BD2">
        <w:rPr>
          <w:rFonts w:ascii="Times New Roman" w:eastAsia="Calibri" w:hAnsi="Times New Roman" w:cs="Times New Roman"/>
          <w:bCs/>
          <w:sz w:val="24"/>
          <w:szCs w:val="24"/>
        </w:rPr>
        <w:t>.</w:t>
      </w: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r w:rsidR="00C929AE" w:rsidRPr="00804BC8">
        <w:rPr>
          <w:rFonts w:ascii="Times New Roman" w:eastAsia="Calibri" w:hAnsi="Times New Roman" w:cs="Times New Roman"/>
          <w:i/>
          <w:sz w:val="24"/>
          <w:szCs w:val="24"/>
        </w:rPr>
        <w:t>goldplatingu</w:t>
      </w:r>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C929AE" w:rsidRPr="00C929AE" w14:paraId="74CF9C31" w14:textId="77777777" w:rsidTr="003A3124">
        <w:trPr>
          <w:trHeight w:val="270"/>
        </w:trPr>
        <w:tc>
          <w:tcPr>
            <w:tcW w:w="146" w:type="dxa"/>
            <w:tcBorders>
              <w:top w:val="nil"/>
              <w:left w:val="nil"/>
              <w:bottom w:val="nil"/>
              <w:right w:val="nil"/>
            </w:tcBorders>
            <w:shd w:val="clear" w:color="auto" w:fill="auto"/>
            <w:noWrap/>
            <w:vAlign w:val="bottom"/>
            <w:hideMark/>
          </w:tcPr>
          <w:p w14:paraId="034E36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6A850EB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14:paraId="0D937DC6"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6E4CCAE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14:paraId="130FEB3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64BE54FF"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p>
        </w:tc>
      </w:tr>
      <w:tr w:rsidR="00C929AE" w:rsidRPr="00C929AE" w14:paraId="7BEF3D83" w14:textId="77777777" w:rsidTr="00804BC8">
        <w:trPr>
          <w:gridAfter w:val="2"/>
          <w:wAfter w:w="583" w:type="dxa"/>
          <w:trHeight w:val="451"/>
        </w:trPr>
        <w:tc>
          <w:tcPr>
            <w:tcW w:w="146" w:type="dxa"/>
            <w:tcBorders>
              <w:top w:val="nil"/>
              <w:left w:val="nil"/>
              <w:bottom w:val="nil"/>
              <w:right w:val="nil"/>
            </w:tcBorders>
            <w:shd w:val="clear" w:color="auto" w:fill="auto"/>
            <w:noWrap/>
            <w:vAlign w:val="bottom"/>
            <w:hideMark/>
          </w:tcPr>
          <w:p w14:paraId="5BA7F0AC"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C8CD7A" w14:textId="77777777" w:rsidR="00C929AE" w:rsidRPr="00C929AE" w:rsidRDefault="00C929AE" w:rsidP="00C929A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67F96BD"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57C6AD3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14:paraId="0F790483" w14:textId="77777777" w:rsidTr="00804BC8">
        <w:trPr>
          <w:gridAfter w:val="2"/>
          <w:wAfter w:w="583" w:type="dxa"/>
          <w:trHeight w:val="600"/>
        </w:trPr>
        <w:tc>
          <w:tcPr>
            <w:tcW w:w="146" w:type="dxa"/>
            <w:tcBorders>
              <w:top w:val="nil"/>
              <w:left w:val="nil"/>
              <w:bottom w:val="nil"/>
              <w:right w:val="nil"/>
            </w:tcBorders>
            <w:shd w:val="clear" w:color="auto" w:fill="auto"/>
            <w:noWrap/>
            <w:vAlign w:val="bottom"/>
            <w:hideMark/>
          </w:tcPr>
          <w:p w14:paraId="2417CF7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407DD77A" w14:textId="77777777"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 xml:space="preserve">Dane, odvody, clá a poplatky, ktorých cieľom je znižovať negatívne </w:t>
            </w:r>
            <w:proofErr w:type="spellStart"/>
            <w:r w:rsidRPr="00C929AE">
              <w:rPr>
                <w:rFonts w:ascii="Times New Roman" w:eastAsia="Times New Roman" w:hAnsi="Times New Roman" w:cs="Times New Roman"/>
                <w:b/>
                <w:bCs/>
                <w:i/>
                <w:iCs/>
                <w:color w:val="000000"/>
                <w:sz w:val="20"/>
                <w:szCs w:val="20"/>
                <w:lang w:eastAsia="sk-SK"/>
              </w:rPr>
              <w:t>externality</w:t>
            </w:r>
            <w:proofErr w:type="spellEnd"/>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6C02A5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525A008"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37B64D12" w14:textId="77777777" w:rsidTr="00804BC8">
        <w:trPr>
          <w:gridAfter w:val="2"/>
          <w:wAfter w:w="583" w:type="dxa"/>
          <w:trHeight w:val="420"/>
        </w:trPr>
        <w:tc>
          <w:tcPr>
            <w:tcW w:w="146" w:type="dxa"/>
            <w:tcBorders>
              <w:top w:val="nil"/>
              <w:left w:val="nil"/>
              <w:bottom w:val="nil"/>
              <w:right w:val="nil"/>
            </w:tcBorders>
            <w:shd w:val="clear" w:color="auto" w:fill="auto"/>
            <w:noWrap/>
            <w:vAlign w:val="bottom"/>
            <w:hideMark/>
          </w:tcPr>
          <w:p w14:paraId="30AED282"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3DCE928E" w14:textId="77777777" w:rsidR="00C929AE" w:rsidRPr="00C929AE" w:rsidRDefault="00C929AE" w:rsidP="00F378F4">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8D91672" w14:textId="12C828B8" w:rsidR="00C929AE" w:rsidRPr="00C929AE" w:rsidRDefault="007134D7" w:rsidP="00C929A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135 650</w:t>
            </w:r>
            <w:r w:rsidR="00C929AE"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B3EEA7A" w14:textId="415D9401"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sidR="00891F0F">
              <w:rPr>
                <w:rFonts w:ascii="Times New Roman" w:eastAsia="Times New Roman" w:hAnsi="Times New Roman" w:cs="Times New Roman"/>
                <w:b/>
                <w:bCs/>
                <w:color w:val="000000"/>
                <w:sz w:val="20"/>
                <w:szCs w:val="20"/>
                <w:lang w:eastAsia="sk-SK"/>
              </w:rPr>
              <w:t>83 160</w:t>
            </w:r>
          </w:p>
        </w:tc>
      </w:tr>
      <w:tr w:rsidR="00C929AE" w:rsidRPr="00C929AE" w14:paraId="21231540" w14:textId="77777777" w:rsidTr="00804BC8">
        <w:trPr>
          <w:gridAfter w:val="2"/>
          <w:wAfter w:w="583" w:type="dxa"/>
          <w:trHeight w:val="435"/>
        </w:trPr>
        <w:tc>
          <w:tcPr>
            <w:tcW w:w="146" w:type="dxa"/>
            <w:tcBorders>
              <w:top w:val="nil"/>
              <w:left w:val="nil"/>
              <w:bottom w:val="nil"/>
              <w:right w:val="nil"/>
            </w:tcBorders>
            <w:shd w:val="clear" w:color="auto" w:fill="auto"/>
            <w:noWrap/>
            <w:vAlign w:val="bottom"/>
            <w:hideMark/>
          </w:tcPr>
          <w:p w14:paraId="67B7840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0650EE3E" w14:textId="52C52C9B"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sidR="00CA4344">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69D07100" w14:textId="49959F5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sidR="00696370">
              <w:rPr>
                <w:rFonts w:ascii="Times New Roman" w:eastAsia="Times New Roman" w:hAnsi="Times New Roman" w:cs="Times New Roman"/>
                <w:b/>
                <w:bCs/>
                <w:color w:val="000000"/>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C8BFAD7" w14:textId="6B9EE12D" w:rsidR="00C929AE" w:rsidRPr="00C929AE" w:rsidRDefault="00696370" w:rsidP="00C929A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r w:rsidR="00C929AE" w:rsidRPr="00C929AE">
              <w:rPr>
                <w:rFonts w:ascii="Times New Roman" w:eastAsia="Times New Roman" w:hAnsi="Times New Roman" w:cs="Times New Roman"/>
                <w:b/>
                <w:bCs/>
                <w:color w:val="000000"/>
                <w:sz w:val="20"/>
                <w:szCs w:val="20"/>
                <w:lang w:eastAsia="sk-SK"/>
              </w:rPr>
              <w:t> </w:t>
            </w:r>
          </w:p>
        </w:tc>
      </w:tr>
      <w:tr w:rsidR="00C929AE" w:rsidRPr="00C929AE" w14:paraId="280383DA" w14:textId="77777777" w:rsidTr="00804BC8">
        <w:trPr>
          <w:gridAfter w:val="2"/>
          <w:wAfter w:w="583" w:type="dxa"/>
          <w:trHeight w:val="480"/>
        </w:trPr>
        <w:tc>
          <w:tcPr>
            <w:tcW w:w="146" w:type="dxa"/>
            <w:tcBorders>
              <w:top w:val="nil"/>
              <w:left w:val="nil"/>
              <w:bottom w:val="nil"/>
              <w:right w:val="nil"/>
            </w:tcBorders>
            <w:shd w:val="clear" w:color="auto" w:fill="auto"/>
            <w:noWrap/>
            <w:vAlign w:val="bottom"/>
            <w:hideMark/>
          </w:tcPr>
          <w:p w14:paraId="59F2F7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9103BCF" w14:textId="0543F070" w:rsidR="00C929AE" w:rsidRPr="00C929AE" w:rsidRDefault="00C929AE" w:rsidP="006A4E85">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sidR="00024EE4">
              <w:rPr>
                <w:rFonts w:ascii="Times New Roman" w:eastAsia="Times New Roman" w:hAnsi="Times New Roman" w:cs="Times New Roman"/>
                <w:b/>
                <w:bCs/>
                <w:i/>
                <w:iCs/>
                <w:color w:val="000000"/>
                <w:sz w:val="20"/>
                <w:szCs w:val="20"/>
                <w:lang w:eastAsia="sk-SK"/>
              </w:rPr>
              <w:t>Nepriame finančné náklady</w:t>
            </w:r>
            <w:r w:rsidR="006A4E85">
              <w:rPr>
                <w:rFonts w:ascii="Times New Roman" w:eastAsia="Times New Roman" w:hAnsi="Times New Roman" w:cs="Times New Roman"/>
                <w:b/>
                <w:bCs/>
                <w:i/>
                <w:iCs/>
                <w:color w:val="000000"/>
                <w:sz w:val="20"/>
                <w:szCs w:val="20"/>
                <w:lang w:eastAsia="sk-SK"/>
              </w:rPr>
              <w:t xml:space="preserve">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ED34EA3" w14:textId="0C0EB2D0"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sidR="00696370">
              <w:rPr>
                <w:rFonts w:ascii="Times New Roman" w:eastAsia="Times New Roman" w:hAnsi="Times New Roman" w:cs="Times New Roman"/>
                <w:b/>
                <w:bCs/>
                <w:color w:val="000000"/>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B7CA645" w14:textId="49315C74"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sidR="00696370">
              <w:rPr>
                <w:rFonts w:ascii="Times New Roman" w:eastAsia="Times New Roman" w:hAnsi="Times New Roman" w:cs="Times New Roman"/>
                <w:b/>
                <w:bCs/>
                <w:color w:val="000000"/>
                <w:sz w:val="20"/>
                <w:szCs w:val="20"/>
                <w:lang w:eastAsia="sk-SK"/>
              </w:rPr>
              <w:t>0</w:t>
            </w:r>
          </w:p>
        </w:tc>
      </w:tr>
      <w:tr w:rsidR="006A4E85" w:rsidRPr="00C929AE" w14:paraId="547BC8DA" w14:textId="77777777" w:rsidTr="00804BC8">
        <w:trPr>
          <w:gridAfter w:val="2"/>
          <w:wAfter w:w="583" w:type="dxa"/>
          <w:trHeight w:val="480"/>
        </w:trPr>
        <w:tc>
          <w:tcPr>
            <w:tcW w:w="146" w:type="dxa"/>
            <w:tcBorders>
              <w:top w:val="nil"/>
              <w:left w:val="nil"/>
              <w:bottom w:val="nil"/>
              <w:right w:val="nil"/>
            </w:tcBorders>
            <w:shd w:val="clear" w:color="auto" w:fill="auto"/>
            <w:noWrap/>
            <w:vAlign w:val="bottom"/>
          </w:tcPr>
          <w:p w14:paraId="29E6137F" w14:textId="77777777" w:rsidR="006A4E85" w:rsidRPr="00C929AE" w:rsidRDefault="006A4E85"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7A86A5AE" w14:textId="77777777" w:rsidR="006A4E85"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1A8F0D68" w14:textId="2AEE7FC0" w:rsidR="006A4E85" w:rsidRPr="00C929AE" w:rsidRDefault="00696370" w:rsidP="00C929A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7D0218BB" w14:textId="79DB8EB6" w:rsidR="006A4E85" w:rsidRPr="00C929AE" w:rsidRDefault="00696370" w:rsidP="00C929A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29 959 318</w:t>
            </w:r>
          </w:p>
        </w:tc>
      </w:tr>
      <w:tr w:rsidR="00C929AE" w:rsidRPr="00C929AE" w14:paraId="10B7BDC5" w14:textId="77777777" w:rsidTr="00804BC8">
        <w:trPr>
          <w:gridAfter w:val="2"/>
          <w:wAfter w:w="583" w:type="dxa"/>
          <w:trHeight w:val="600"/>
        </w:trPr>
        <w:tc>
          <w:tcPr>
            <w:tcW w:w="146" w:type="dxa"/>
            <w:tcBorders>
              <w:top w:val="nil"/>
              <w:left w:val="nil"/>
              <w:bottom w:val="nil"/>
              <w:right w:val="nil"/>
            </w:tcBorders>
            <w:shd w:val="clear" w:color="auto" w:fill="auto"/>
            <w:noWrap/>
            <w:vAlign w:val="bottom"/>
            <w:hideMark/>
          </w:tcPr>
          <w:p w14:paraId="2BD5240B"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2AD49376" w14:textId="77777777"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006A4E85"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3829EB10" w14:textId="3F5F274E" w:rsidR="00C929AE" w:rsidRPr="00C929AE" w:rsidRDefault="007134D7" w:rsidP="00C929A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135 650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3B2B8C72" w14:textId="49FDD93B"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sidR="00696370">
              <w:rPr>
                <w:rFonts w:ascii="Times New Roman" w:eastAsia="Times New Roman" w:hAnsi="Times New Roman" w:cs="Times New Roman"/>
                <w:b/>
                <w:bCs/>
                <w:color w:val="000000"/>
                <w:sz w:val="20"/>
                <w:szCs w:val="20"/>
                <w:lang w:eastAsia="sk-SK"/>
              </w:rPr>
              <w:t>30 </w:t>
            </w:r>
            <w:r w:rsidR="00891F0F">
              <w:rPr>
                <w:rFonts w:ascii="Times New Roman" w:eastAsia="Times New Roman" w:hAnsi="Times New Roman" w:cs="Times New Roman"/>
                <w:b/>
                <w:bCs/>
                <w:color w:val="000000"/>
                <w:sz w:val="20"/>
                <w:szCs w:val="20"/>
                <w:lang w:eastAsia="sk-SK"/>
              </w:rPr>
              <w:t>042</w:t>
            </w:r>
            <w:r w:rsidR="00696370">
              <w:rPr>
                <w:rFonts w:ascii="Times New Roman" w:eastAsia="Times New Roman" w:hAnsi="Times New Roman" w:cs="Times New Roman"/>
                <w:b/>
                <w:bCs/>
                <w:color w:val="000000"/>
                <w:sz w:val="20"/>
                <w:szCs w:val="20"/>
                <w:lang w:eastAsia="sk-SK"/>
              </w:rPr>
              <w:t xml:space="preserve"> </w:t>
            </w:r>
            <w:r w:rsidR="00891F0F">
              <w:rPr>
                <w:rFonts w:ascii="Times New Roman" w:eastAsia="Times New Roman" w:hAnsi="Times New Roman" w:cs="Times New Roman"/>
                <w:b/>
                <w:bCs/>
                <w:color w:val="000000"/>
                <w:sz w:val="20"/>
                <w:szCs w:val="20"/>
                <w:lang w:eastAsia="sk-SK"/>
              </w:rPr>
              <w:t>4</w:t>
            </w:r>
            <w:r w:rsidR="00696370">
              <w:rPr>
                <w:rFonts w:ascii="Times New Roman" w:eastAsia="Times New Roman" w:hAnsi="Times New Roman" w:cs="Times New Roman"/>
                <w:b/>
                <w:bCs/>
                <w:color w:val="000000"/>
                <w:sz w:val="20"/>
                <w:szCs w:val="20"/>
                <w:lang w:eastAsia="sk-SK"/>
              </w:rPr>
              <w:t>78</w:t>
            </w:r>
          </w:p>
        </w:tc>
      </w:tr>
      <w:tr w:rsidR="00C929AE" w:rsidRPr="00C929AE" w14:paraId="3B916623" w14:textId="77777777" w:rsidTr="003A3124">
        <w:trPr>
          <w:trHeight w:val="270"/>
        </w:trPr>
        <w:tc>
          <w:tcPr>
            <w:tcW w:w="146" w:type="dxa"/>
            <w:tcBorders>
              <w:top w:val="nil"/>
              <w:left w:val="nil"/>
              <w:bottom w:val="nil"/>
              <w:right w:val="nil"/>
            </w:tcBorders>
            <w:shd w:val="clear" w:color="auto" w:fill="auto"/>
            <w:noWrap/>
            <w:vAlign w:val="bottom"/>
            <w:hideMark/>
          </w:tcPr>
          <w:p w14:paraId="73F7E5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082EAB9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01799773"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30B3D73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7E543AE9"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0064F180"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2849A6C" w14:textId="77777777" w:rsidTr="00804BC8">
        <w:trPr>
          <w:gridAfter w:val="2"/>
          <w:wAfter w:w="583" w:type="dxa"/>
          <w:trHeight w:val="412"/>
        </w:trPr>
        <w:tc>
          <w:tcPr>
            <w:tcW w:w="146" w:type="dxa"/>
            <w:tcBorders>
              <w:top w:val="nil"/>
              <w:left w:val="nil"/>
              <w:bottom w:val="nil"/>
              <w:right w:val="nil"/>
            </w:tcBorders>
            <w:shd w:val="clear" w:color="auto" w:fill="auto"/>
            <w:noWrap/>
            <w:vAlign w:val="bottom"/>
            <w:hideMark/>
          </w:tcPr>
          <w:p w14:paraId="54080DC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048073" w14:textId="77777777" w:rsidR="00C929AE" w:rsidRPr="00C929AE" w:rsidRDefault="00C929AE" w:rsidP="00C929AE">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4BC0A5B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8A2A444"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14:paraId="26126FD6" w14:textId="77777777" w:rsidTr="00804BC8">
        <w:trPr>
          <w:gridAfter w:val="2"/>
          <w:wAfter w:w="583" w:type="dxa"/>
          <w:trHeight w:val="840"/>
        </w:trPr>
        <w:tc>
          <w:tcPr>
            <w:tcW w:w="146" w:type="dxa"/>
            <w:tcBorders>
              <w:top w:val="nil"/>
              <w:left w:val="nil"/>
              <w:bottom w:val="nil"/>
              <w:right w:val="nil"/>
            </w:tcBorders>
            <w:shd w:val="clear" w:color="auto" w:fill="auto"/>
            <w:noWrap/>
            <w:vAlign w:val="bottom"/>
            <w:hideMark/>
          </w:tcPr>
          <w:p w14:paraId="4424F3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895E706" w14:textId="77777777"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00C929AE" w:rsidRPr="00C929AE">
              <w:rPr>
                <w:rFonts w:ascii="Times New Roman" w:eastAsia="Times New Roman" w:hAnsi="Times New Roman" w:cs="Times New Roman"/>
                <w:b/>
                <w:bCs/>
                <w:i/>
                <w:iCs/>
                <w:color w:val="000000"/>
                <w:sz w:val="20"/>
                <w:szCs w:val="20"/>
                <w:lang w:eastAsia="sk-SK"/>
              </w:rPr>
              <w:t>. Úplná harmonizácia práva EÚ</w:t>
            </w:r>
            <w:r w:rsidR="00C929AE" w:rsidRPr="00C929AE">
              <w:rPr>
                <w:rFonts w:ascii="Times New Roman" w:eastAsia="Times New Roman" w:hAnsi="Times New Roman" w:cs="Times New Roman"/>
                <w:b/>
                <w:bCs/>
                <w:i/>
                <w:iCs/>
                <w:color w:val="000000"/>
                <w:sz w:val="20"/>
                <w:szCs w:val="20"/>
                <w:lang w:eastAsia="sk-SK"/>
              </w:rPr>
              <w:br/>
            </w:r>
            <w:r w:rsidR="00C929AE" w:rsidRPr="00C929AE">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00C929AE" w:rsidRPr="00C929AE">
              <w:rPr>
                <w:rFonts w:ascii="Times New Roman" w:eastAsia="Times New Roman" w:hAnsi="Times New Roman" w:cs="Times New Roman"/>
                <w:i/>
                <w:iCs/>
                <w:color w:val="000000"/>
                <w:sz w:val="16"/>
                <w:szCs w:val="16"/>
                <w:lang w:eastAsia="sk-SK"/>
              </w:rPr>
              <w:t>externality</w:t>
            </w:r>
            <w:proofErr w:type="spellEnd"/>
            <w:r w:rsidR="00C929AE" w:rsidRPr="00C929AE">
              <w:rPr>
                <w:rFonts w:ascii="Times New Roman" w:eastAsia="Times New Roman" w:hAnsi="Times New Roman" w:cs="Times New Roman"/>
                <w:i/>
                <w:iCs/>
                <w:color w:val="000000"/>
                <w:sz w:val="16"/>
                <w:szCs w:val="16"/>
                <w:lang w:eastAsia="sk-SK"/>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9CCB12B" w14:textId="7DCA173A" w:rsidR="00C929AE" w:rsidRPr="00C929AE" w:rsidRDefault="00503366" w:rsidP="00C929A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r w:rsidR="00C929AE"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CB565E3" w14:textId="51783D8D" w:rsidR="00C929AE" w:rsidRPr="00C929AE" w:rsidRDefault="00696370" w:rsidP="00C929A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29 959 318</w:t>
            </w:r>
            <w:r w:rsidR="00C929AE" w:rsidRPr="00C929AE">
              <w:rPr>
                <w:rFonts w:ascii="Times New Roman" w:eastAsia="Times New Roman" w:hAnsi="Times New Roman" w:cs="Times New Roman"/>
                <w:b/>
                <w:bCs/>
                <w:color w:val="000000"/>
                <w:sz w:val="20"/>
                <w:szCs w:val="20"/>
                <w:lang w:eastAsia="sk-SK"/>
              </w:rPr>
              <w:t> </w:t>
            </w:r>
          </w:p>
        </w:tc>
      </w:tr>
      <w:tr w:rsidR="00C929AE" w:rsidRPr="00C929AE" w14:paraId="2B062396" w14:textId="77777777" w:rsidTr="00804BC8">
        <w:trPr>
          <w:gridAfter w:val="2"/>
          <w:wAfter w:w="583" w:type="dxa"/>
          <w:trHeight w:val="486"/>
        </w:trPr>
        <w:tc>
          <w:tcPr>
            <w:tcW w:w="146" w:type="dxa"/>
            <w:tcBorders>
              <w:top w:val="nil"/>
              <w:left w:val="nil"/>
              <w:bottom w:val="nil"/>
              <w:right w:val="nil"/>
            </w:tcBorders>
            <w:shd w:val="clear" w:color="auto" w:fill="auto"/>
            <w:noWrap/>
            <w:vAlign w:val="bottom"/>
            <w:hideMark/>
          </w:tcPr>
          <w:p w14:paraId="2C592B53"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73DFED09" w14:textId="77777777"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00C929AE" w:rsidRPr="00C929AE">
              <w:rPr>
                <w:rFonts w:ascii="Times New Roman" w:eastAsia="Times New Roman" w:hAnsi="Times New Roman" w:cs="Times New Roman"/>
                <w:b/>
                <w:bCs/>
                <w:i/>
                <w:iCs/>
                <w:color w:val="000000"/>
                <w:sz w:val="20"/>
                <w:szCs w:val="20"/>
                <w:lang w:eastAsia="sk-SK"/>
              </w:rPr>
              <w:t>.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709562F6" w14:textId="4CE9FF9C"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sidR="00503366">
              <w:rPr>
                <w:rFonts w:ascii="Times New Roman" w:eastAsia="Times New Roman" w:hAnsi="Times New Roman" w:cs="Times New Roman"/>
                <w:b/>
                <w:bCs/>
                <w:color w:val="000000"/>
                <w:sz w:val="20"/>
                <w:szCs w:val="20"/>
                <w:lang w:eastAsia="sk-SK"/>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E025867" w14:textId="002A9CB2" w:rsidR="00C929AE" w:rsidRPr="00C929AE" w:rsidRDefault="00503366" w:rsidP="00C929A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r w:rsidR="00C929AE" w:rsidRPr="00C929AE">
              <w:rPr>
                <w:rFonts w:ascii="Times New Roman" w:eastAsia="Times New Roman" w:hAnsi="Times New Roman" w:cs="Times New Roman"/>
                <w:b/>
                <w:bCs/>
                <w:color w:val="000000"/>
                <w:sz w:val="20"/>
                <w:szCs w:val="20"/>
                <w:lang w:eastAsia="sk-SK"/>
              </w:rPr>
              <w:t> </w:t>
            </w:r>
          </w:p>
        </w:tc>
      </w:tr>
      <w:tr w:rsidR="00C929AE" w:rsidRPr="00C929AE" w14:paraId="665D2803" w14:textId="77777777" w:rsidTr="003A3124">
        <w:trPr>
          <w:trHeight w:val="360"/>
        </w:trPr>
        <w:tc>
          <w:tcPr>
            <w:tcW w:w="146" w:type="dxa"/>
            <w:tcBorders>
              <w:top w:val="nil"/>
              <w:left w:val="nil"/>
              <w:bottom w:val="nil"/>
              <w:right w:val="nil"/>
            </w:tcBorders>
            <w:shd w:val="clear" w:color="auto" w:fill="auto"/>
            <w:noWrap/>
            <w:vAlign w:val="bottom"/>
            <w:hideMark/>
          </w:tcPr>
          <w:p w14:paraId="259005DD"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213DB6F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57A2019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7D23FD74"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68BF5827"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0FA5CAAE"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78385C8" w14:textId="77777777"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14:paraId="1ED4DAC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6D9B60B"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sidR="00FC121B">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4929B536"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6019C410"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C929AE" w:rsidRPr="00C929AE" w14:paraId="4C7053DD" w14:textId="77777777"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14:paraId="6BB0400A"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6395BF89" w14:textId="3C21B0B5" w:rsidR="00C929AE" w:rsidRPr="00751DA9" w:rsidRDefault="006A4E85" w:rsidP="00C929AE">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sidR="00C929AE" w:rsidRPr="00751DA9">
              <w:rPr>
                <w:rFonts w:ascii="Times New Roman" w:eastAsia="Times New Roman" w:hAnsi="Times New Roman" w:cs="Times New Roman"/>
                <w:b/>
                <w:i/>
                <w:iCs/>
                <w:color w:val="000000"/>
                <w:sz w:val="20"/>
                <w:szCs w:val="20"/>
                <w:lang w:eastAsia="sk-SK"/>
              </w:rPr>
              <w:t>.</w:t>
            </w:r>
            <w:r w:rsidR="009F4175">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02E1C703" w14:textId="4E73E0CB" w:rsidR="00C929AE" w:rsidRPr="00C929AE" w:rsidRDefault="007134D7" w:rsidP="00C929A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135 650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A9C6235" w14:textId="10C309EB" w:rsidR="00C929AE" w:rsidRPr="00C929AE" w:rsidRDefault="00503366" w:rsidP="00C929A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83</w:t>
            </w:r>
            <w:r w:rsidR="00DD74AD">
              <w:rPr>
                <w:rFonts w:ascii="Times New Roman" w:eastAsia="Times New Roman" w:hAnsi="Times New Roman" w:cs="Times New Roman"/>
                <w:b/>
                <w:bCs/>
                <w:color w:val="000000"/>
                <w:sz w:val="20"/>
                <w:szCs w:val="20"/>
                <w:lang w:eastAsia="sk-SK"/>
              </w:rPr>
              <w:t xml:space="preserve"> </w:t>
            </w:r>
            <w:r>
              <w:rPr>
                <w:rFonts w:ascii="Times New Roman" w:eastAsia="Times New Roman" w:hAnsi="Times New Roman" w:cs="Times New Roman"/>
                <w:b/>
                <w:bCs/>
                <w:color w:val="000000"/>
                <w:sz w:val="20"/>
                <w:szCs w:val="20"/>
                <w:lang w:eastAsia="sk-SK"/>
              </w:rPr>
              <w:t>160</w:t>
            </w:r>
            <w:r w:rsidR="00C929AE" w:rsidRPr="00C929AE">
              <w:rPr>
                <w:rFonts w:ascii="Times New Roman" w:eastAsia="Times New Roman" w:hAnsi="Times New Roman" w:cs="Times New Roman"/>
                <w:b/>
                <w:bCs/>
                <w:color w:val="000000"/>
                <w:sz w:val="20"/>
                <w:szCs w:val="20"/>
                <w:lang w:eastAsia="sk-SK"/>
              </w:rPr>
              <w:t> </w:t>
            </w:r>
          </w:p>
        </w:tc>
      </w:tr>
    </w:tbl>
    <w:p w14:paraId="0C4E102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even" r:id="rId11"/>
          <w:footerReference w:type="default" r:id="rId12"/>
          <w:footerReference w:type="first" r:id="rId13"/>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DE6ACB" w:rsidRPr="000A6B7F" w14:paraId="58E6573D" w14:textId="77777777" w:rsidTr="00751DA9">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FC62EA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0A6B7F">
              <w:rPr>
                <w:rFonts w:ascii="Times New Roman" w:eastAsia="Times New Roman" w:hAnsi="Times New Roman" w:cs="Times New Roman"/>
                <w:b/>
                <w:bCs/>
                <w:color w:val="000000"/>
                <w:sz w:val="20"/>
                <w:szCs w:val="20"/>
                <w:lang w:eastAsia="sk-SK"/>
              </w:rPr>
              <w:t>P.č</w:t>
            </w:r>
            <w:proofErr w:type="spellEnd"/>
            <w:r w:rsidRPr="000A6B7F">
              <w:rPr>
                <w:rFonts w:ascii="Times New Roman" w:eastAsia="Times New Roman" w:hAnsi="Times New Roman" w:cs="Times New Roman"/>
                <w:b/>
                <w:bCs/>
                <w:color w:val="000000"/>
                <w:sz w:val="20"/>
                <w:szCs w:val="20"/>
                <w:lang w:eastAsia="sk-SK"/>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F95606"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w:t>
            </w:r>
            <w:proofErr w:type="spellStart"/>
            <w:r>
              <w:rPr>
                <w:rFonts w:ascii="Times New Roman" w:eastAsia="Times New Roman" w:hAnsi="Times New Roman" w:cs="Times New Roman"/>
                <w:b/>
                <w:bCs/>
                <w:color w:val="000000"/>
                <w:sz w:val="20"/>
                <w:szCs w:val="20"/>
                <w:lang w:eastAsia="sk-SK"/>
              </w:rPr>
              <w:t>goldplatngom</w:t>
            </w:r>
            <w:proofErr w:type="spellEnd"/>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8660057"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C27F37A"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B4826A" w14:textId="77777777"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 xml:space="preserve">/EÚ úplná </w:t>
            </w:r>
            <w:proofErr w:type="spellStart"/>
            <w:r w:rsidRPr="000A6B7F">
              <w:rPr>
                <w:rFonts w:ascii="Times New Roman" w:eastAsia="Times New Roman" w:hAnsi="Times New Roman" w:cs="Times New Roman"/>
                <w:color w:val="000000"/>
                <w:sz w:val="20"/>
                <w:szCs w:val="20"/>
                <w:lang w:eastAsia="sk-SK"/>
              </w:rPr>
              <w:t>harm</w:t>
            </w:r>
            <w:proofErr w:type="spellEnd"/>
            <w:r w:rsidRPr="000A6B7F">
              <w:rPr>
                <w:rFonts w:ascii="Times New Roman" w:eastAsia="Times New Roman" w:hAnsi="Times New Roman" w:cs="Times New Roman"/>
                <w:color w:val="000000"/>
                <w:sz w:val="20"/>
                <w:szCs w:val="20"/>
                <w:lang w:eastAsia="sk-SK"/>
              </w:rPr>
              <w:t>./</w:t>
            </w:r>
          </w:p>
          <w:p w14:paraId="3EFBCFFC" w14:textId="77777777"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66C838"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BE5B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Kategória </w:t>
            </w:r>
            <w:proofErr w:type="spellStart"/>
            <w:r w:rsidRPr="000A6B7F">
              <w:rPr>
                <w:rFonts w:ascii="Times New Roman" w:eastAsia="Times New Roman" w:hAnsi="Times New Roman" w:cs="Times New Roman"/>
                <w:b/>
                <w:bCs/>
                <w:color w:val="000000"/>
                <w:sz w:val="20"/>
                <w:szCs w:val="20"/>
                <w:lang w:eastAsia="sk-SK"/>
              </w:rPr>
              <w:t>dotk</w:t>
            </w:r>
            <w:proofErr w:type="spellEnd"/>
            <w:r w:rsidRPr="000A6B7F">
              <w:rPr>
                <w:rFonts w:ascii="Times New Roman" w:eastAsia="Times New Roman" w:hAnsi="Times New Roman" w:cs="Times New Roman"/>
                <w:b/>
                <w:bCs/>
                <w:color w:val="000000"/>
                <w:sz w:val="20"/>
                <w:szCs w:val="20"/>
                <w:lang w:eastAsia="sk-SK"/>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92B87" w14:textId="77777777"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7A177F6E" w14:textId="6CE16312"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80914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531801"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Vplyv na </w:t>
            </w:r>
            <w:proofErr w:type="spellStart"/>
            <w:r>
              <w:rPr>
                <w:rFonts w:ascii="Times New Roman" w:eastAsia="Times New Roman" w:hAnsi="Times New Roman" w:cs="Times New Roman"/>
                <w:b/>
                <w:bCs/>
                <w:color w:val="000000"/>
                <w:sz w:val="20"/>
                <w:szCs w:val="20"/>
                <w:lang w:eastAsia="sk-SK"/>
              </w:rPr>
              <w:t>kateg</w:t>
            </w:r>
            <w:proofErr w:type="spellEnd"/>
            <w:r>
              <w:rPr>
                <w:rFonts w:ascii="Times New Roman" w:eastAsia="Times New Roman" w:hAnsi="Times New Roman" w:cs="Times New Roman"/>
                <w:b/>
                <w:bCs/>
                <w:color w:val="000000"/>
                <w:sz w:val="20"/>
                <w:szCs w:val="20"/>
                <w:lang w:eastAsia="sk-SK"/>
              </w:rPr>
              <w:t xml:space="preserve">. </w:t>
            </w: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CCC0E6" w14:textId="77777777"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3110E590" w14:textId="77777777"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14:paraId="70438D04"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85CC22"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29F533F5"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D6FE4B"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Goldplating celkom</w:t>
            </w:r>
          </w:p>
        </w:tc>
      </w:tr>
      <w:tr w:rsidR="00503366" w:rsidRPr="00895898" w14:paraId="609FED73" w14:textId="77777777" w:rsidTr="00EA5D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7ADB0C1" w14:textId="7C9746B6"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1</w:t>
            </w:r>
          </w:p>
        </w:tc>
        <w:tc>
          <w:tcPr>
            <w:tcW w:w="1740" w:type="dxa"/>
            <w:shd w:val="clear" w:color="auto" w:fill="auto"/>
            <w:vAlign w:val="center"/>
          </w:tcPr>
          <w:p w14:paraId="7D629DAC" w14:textId="5280A688"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individuálne vykazovanie informácií o udržateľnosti vo výročnej správe za účtovné obdobie od 1.1.2027, zostavenie, uistenie a uloženie do RUZ</w:t>
            </w:r>
          </w:p>
        </w:tc>
        <w:tc>
          <w:tcPr>
            <w:tcW w:w="992" w:type="dxa"/>
            <w:vAlign w:val="center"/>
          </w:tcPr>
          <w:p w14:paraId="4B47CD37" w14:textId="2C819755"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431/2002</w:t>
            </w:r>
          </w:p>
        </w:tc>
        <w:tc>
          <w:tcPr>
            <w:tcW w:w="1134" w:type="dxa"/>
            <w:vAlign w:val="center"/>
          </w:tcPr>
          <w:p w14:paraId="1C988908" w14:textId="02976F40"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 20c</w:t>
            </w:r>
          </w:p>
        </w:tc>
        <w:tc>
          <w:tcPr>
            <w:tcW w:w="1843" w:type="dxa"/>
            <w:shd w:val="clear" w:color="auto" w:fill="auto"/>
            <w:vAlign w:val="center"/>
          </w:tcPr>
          <w:p w14:paraId="22CDA76A" w14:textId="069395CA" w:rsidR="00503366" w:rsidRPr="00895898" w:rsidRDefault="00503366" w:rsidP="00503366">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2. EÚ úplná harmonizácia</w:t>
            </w:r>
          </w:p>
        </w:tc>
        <w:tc>
          <w:tcPr>
            <w:tcW w:w="992" w:type="dxa"/>
            <w:vAlign w:val="center"/>
          </w:tcPr>
          <w:p w14:paraId="469C4721" w14:textId="66E607F3"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74618A9C" w14:textId="21CBF480"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veľká UJ (spĺňajúca 2 z 3 kritérií: viac ako 250 zamestnancov , 25 mil. € majetku, 50 mil. € obrat)</w:t>
            </w:r>
          </w:p>
        </w:tc>
        <w:tc>
          <w:tcPr>
            <w:tcW w:w="1108" w:type="dxa"/>
            <w:vAlign w:val="center"/>
          </w:tcPr>
          <w:p w14:paraId="5D0F89C4" w14:textId="286F8707"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 xml:space="preserve">             368 </w:t>
            </w:r>
          </w:p>
        </w:tc>
        <w:tc>
          <w:tcPr>
            <w:tcW w:w="851" w:type="dxa"/>
            <w:shd w:val="clear" w:color="auto" w:fill="auto"/>
            <w:noWrap/>
            <w:vAlign w:val="center"/>
          </w:tcPr>
          <w:p w14:paraId="38251139" w14:textId="599BD7AE"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34 476</w:t>
            </w:r>
          </w:p>
        </w:tc>
        <w:tc>
          <w:tcPr>
            <w:tcW w:w="843" w:type="dxa"/>
            <w:shd w:val="clear" w:color="auto" w:fill="auto"/>
            <w:noWrap/>
            <w:vAlign w:val="center"/>
          </w:tcPr>
          <w:p w14:paraId="01129C91" w14:textId="4AAE1AA2"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12 687 030</w:t>
            </w:r>
          </w:p>
        </w:tc>
        <w:tc>
          <w:tcPr>
            <w:tcW w:w="1000" w:type="dxa"/>
            <w:shd w:val="clear" w:color="auto" w:fill="auto"/>
            <w:noWrap/>
            <w:vAlign w:val="center"/>
          </w:tcPr>
          <w:p w14:paraId="420D0685" w14:textId="14408C53"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Out (znižuje náklady)</w:t>
            </w:r>
          </w:p>
        </w:tc>
        <w:tc>
          <w:tcPr>
            <w:tcW w:w="708" w:type="dxa"/>
            <w:shd w:val="clear" w:color="auto" w:fill="auto"/>
            <w:noWrap/>
            <w:vAlign w:val="center"/>
          </w:tcPr>
          <w:p w14:paraId="08BFFDBA" w14:textId="0B540CF8"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sz w:val="20"/>
                <w:szCs w:val="20"/>
              </w:rPr>
              <w:t>0</w:t>
            </w:r>
          </w:p>
        </w:tc>
        <w:tc>
          <w:tcPr>
            <w:tcW w:w="1134" w:type="dxa"/>
            <w:vAlign w:val="center"/>
          </w:tcPr>
          <w:p w14:paraId="48758C9B" w14:textId="32823E24" w:rsidR="00503366" w:rsidRPr="00895898" w:rsidRDefault="00503366" w:rsidP="00503366">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r>
      <w:tr w:rsidR="00503366" w:rsidRPr="00895898" w14:paraId="022095BC"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2653821" w14:textId="2B92E2F8"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2</w:t>
            </w:r>
          </w:p>
        </w:tc>
        <w:tc>
          <w:tcPr>
            <w:tcW w:w="1740" w:type="dxa"/>
            <w:shd w:val="clear" w:color="auto" w:fill="auto"/>
            <w:vAlign w:val="center"/>
          </w:tcPr>
          <w:p w14:paraId="302744A6" w14:textId="3D1A0402"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individuálne vykazovanie informácií o udržateľnosti vo výročnej správe za účtovné obdobie od 1.1.2027, zostavenie, uistenie a uloženie do RUZ</w:t>
            </w:r>
          </w:p>
        </w:tc>
        <w:tc>
          <w:tcPr>
            <w:tcW w:w="992" w:type="dxa"/>
            <w:vAlign w:val="center"/>
          </w:tcPr>
          <w:p w14:paraId="6D81551D" w14:textId="2A18983F"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431/2002</w:t>
            </w:r>
          </w:p>
        </w:tc>
        <w:tc>
          <w:tcPr>
            <w:tcW w:w="1134" w:type="dxa"/>
            <w:vAlign w:val="center"/>
          </w:tcPr>
          <w:p w14:paraId="15AB3E50" w14:textId="0C95625C"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 20c</w:t>
            </w:r>
          </w:p>
        </w:tc>
        <w:tc>
          <w:tcPr>
            <w:tcW w:w="1843" w:type="dxa"/>
            <w:shd w:val="clear" w:color="auto" w:fill="auto"/>
            <w:vAlign w:val="center"/>
          </w:tcPr>
          <w:p w14:paraId="65823171" w14:textId="59EB231C" w:rsidR="00503366" w:rsidDel="00801596" w:rsidRDefault="00503366" w:rsidP="00503366">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2. EÚ úplná harmonizácia</w:t>
            </w:r>
          </w:p>
        </w:tc>
        <w:tc>
          <w:tcPr>
            <w:tcW w:w="992" w:type="dxa"/>
            <w:vAlign w:val="center"/>
          </w:tcPr>
          <w:p w14:paraId="4EAFA699" w14:textId="2CAED226"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439720A9" w14:textId="49C0C1A3"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ÚJ spĺňajúca 2 z 3 kritérií (kótovaný malý a stredný podnik)</w:t>
            </w:r>
            <w:r>
              <w:rPr>
                <w:color w:val="000000"/>
                <w:sz w:val="20"/>
                <w:szCs w:val="20"/>
              </w:rPr>
              <w:br/>
              <w:t xml:space="preserve">Počet zamestnancov presiahol 50 a nepresiahol 250,  </w:t>
            </w:r>
            <w:r>
              <w:rPr>
                <w:color w:val="000000"/>
                <w:sz w:val="20"/>
                <w:szCs w:val="20"/>
              </w:rPr>
              <w:lastRenderedPageBreak/>
              <w:t xml:space="preserve">majetok presiahol 5 mil. € a nepresiahol 25 mil. €, obrat presiahol 10 mil. € a nepresiahol 50 mil. € </w:t>
            </w:r>
          </w:p>
        </w:tc>
        <w:tc>
          <w:tcPr>
            <w:tcW w:w="1108" w:type="dxa"/>
            <w:vAlign w:val="center"/>
          </w:tcPr>
          <w:p w14:paraId="17CCCE83" w14:textId="02D16F26"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lastRenderedPageBreak/>
              <w:t xml:space="preserve">             313 </w:t>
            </w:r>
          </w:p>
        </w:tc>
        <w:tc>
          <w:tcPr>
            <w:tcW w:w="851" w:type="dxa"/>
            <w:shd w:val="clear" w:color="auto" w:fill="auto"/>
            <w:noWrap/>
            <w:vAlign w:val="center"/>
          </w:tcPr>
          <w:p w14:paraId="271B2646" w14:textId="37A1AB9E"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34 476</w:t>
            </w:r>
          </w:p>
        </w:tc>
        <w:tc>
          <w:tcPr>
            <w:tcW w:w="843" w:type="dxa"/>
            <w:shd w:val="clear" w:color="auto" w:fill="auto"/>
            <w:noWrap/>
            <w:vAlign w:val="center"/>
          </w:tcPr>
          <w:p w14:paraId="57980520" w14:textId="5041A9B0"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10 790 871</w:t>
            </w:r>
          </w:p>
        </w:tc>
        <w:tc>
          <w:tcPr>
            <w:tcW w:w="1000" w:type="dxa"/>
            <w:shd w:val="clear" w:color="auto" w:fill="auto"/>
            <w:noWrap/>
            <w:vAlign w:val="center"/>
          </w:tcPr>
          <w:p w14:paraId="7E097137" w14:textId="021794E4"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Out (znižuje náklady)</w:t>
            </w:r>
          </w:p>
        </w:tc>
        <w:tc>
          <w:tcPr>
            <w:tcW w:w="708" w:type="dxa"/>
            <w:shd w:val="clear" w:color="auto" w:fill="auto"/>
            <w:noWrap/>
            <w:vAlign w:val="center"/>
          </w:tcPr>
          <w:p w14:paraId="4B494DF4" w14:textId="5DB79B09"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sz w:val="20"/>
                <w:szCs w:val="20"/>
              </w:rPr>
              <w:t>0</w:t>
            </w:r>
          </w:p>
        </w:tc>
        <w:tc>
          <w:tcPr>
            <w:tcW w:w="1134" w:type="dxa"/>
            <w:vAlign w:val="center"/>
          </w:tcPr>
          <w:p w14:paraId="564076F6" w14:textId="67C3888D"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0</w:t>
            </w:r>
          </w:p>
        </w:tc>
      </w:tr>
      <w:tr w:rsidR="00503366" w:rsidRPr="00895898" w14:paraId="4D05B96D"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71D0305" w14:textId="535A89B9"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3</w:t>
            </w:r>
          </w:p>
        </w:tc>
        <w:tc>
          <w:tcPr>
            <w:tcW w:w="1740" w:type="dxa"/>
            <w:shd w:val="clear" w:color="auto" w:fill="auto"/>
            <w:vAlign w:val="center"/>
          </w:tcPr>
          <w:p w14:paraId="6F09B9B9" w14:textId="53626BC0"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individuálne vykazovanie informácií o udržateľnosti vo výročnej správe za účtovné obdobie od 1.1.2027, zostavenie, uistenie a uloženie do RUZ</w:t>
            </w:r>
          </w:p>
        </w:tc>
        <w:tc>
          <w:tcPr>
            <w:tcW w:w="992" w:type="dxa"/>
            <w:vAlign w:val="center"/>
          </w:tcPr>
          <w:p w14:paraId="6326D60E" w14:textId="01CC9406"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431/2002</w:t>
            </w:r>
          </w:p>
        </w:tc>
        <w:tc>
          <w:tcPr>
            <w:tcW w:w="1134" w:type="dxa"/>
            <w:vAlign w:val="center"/>
          </w:tcPr>
          <w:p w14:paraId="63EECDFF" w14:textId="2057538B"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 20c</w:t>
            </w:r>
          </w:p>
        </w:tc>
        <w:tc>
          <w:tcPr>
            <w:tcW w:w="1843" w:type="dxa"/>
            <w:shd w:val="clear" w:color="auto" w:fill="auto"/>
            <w:vAlign w:val="center"/>
          </w:tcPr>
          <w:p w14:paraId="5B619397" w14:textId="512CB92A" w:rsidR="00503366" w:rsidDel="00801596" w:rsidRDefault="00503366" w:rsidP="00503366">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2. EÚ úplná harmonizácia</w:t>
            </w:r>
          </w:p>
        </w:tc>
        <w:tc>
          <w:tcPr>
            <w:tcW w:w="992" w:type="dxa"/>
            <w:vAlign w:val="center"/>
          </w:tcPr>
          <w:p w14:paraId="4967ED88" w14:textId="3BC85D8B"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331066E7" w14:textId="10B97CCF"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veľká UJ  (SVZ) , počet zamestnancov presiahol  500  a nepresiahol 1000 a prekračuje 25 mil. € majetku alebo 50 mil. € obrat</w:t>
            </w:r>
          </w:p>
        </w:tc>
        <w:tc>
          <w:tcPr>
            <w:tcW w:w="1108" w:type="dxa"/>
            <w:vAlign w:val="center"/>
          </w:tcPr>
          <w:p w14:paraId="1748865C" w14:textId="36F5C679"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 xml:space="preserve">             137 </w:t>
            </w:r>
          </w:p>
        </w:tc>
        <w:tc>
          <w:tcPr>
            <w:tcW w:w="851" w:type="dxa"/>
            <w:shd w:val="clear" w:color="auto" w:fill="auto"/>
            <w:noWrap/>
            <w:vAlign w:val="center"/>
          </w:tcPr>
          <w:p w14:paraId="5457341D" w14:textId="0DCBEF6B"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34 476</w:t>
            </w:r>
          </w:p>
        </w:tc>
        <w:tc>
          <w:tcPr>
            <w:tcW w:w="843" w:type="dxa"/>
            <w:shd w:val="clear" w:color="auto" w:fill="auto"/>
            <w:noWrap/>
            <w:vAlign w:val="center"/>
          </w:tcPr>
          <w:p w14:paraId="30771B52" w14:textId="63AC9F14"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4 723 161</w:t>
            </w:r>
          </w:p>
        </w:tc>
        <w:tc>
          <w:tcPr>
            <w:tcW w:w="1000" w:type="dxa"/>
            <w:shd w:val="clear" w:color="auto" w:fill="auto"/>
            <w:noWrap/>
            <w:vAlign w:val="center"/>
          </w:tcPr>
          <w:p w14:paraId="645FEA02" w14:textId="705FBFD8"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Out (znižuje náklady)</w:t>
            </w:r>
          </w:p>
        </w:tc>
        <w:tc>
          <w:tcPr>
            <w:tcW w:w="708" w:type="dxa"/>
            <w:shd w:val="clear" w:color="auto" w:fill="auto"/>
            <w:noWrap/>
            <w:vAlign w:val="center"/>
          </w:tcPr>
          <w:p w14:paraId="4EA14B08" w14:textId="244FABCB"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sz w:val="20"/>
                <w:szCs w:val="20"/>
              </w:rPr>
              <w:t>0</w:t>
            </w:r>
          </w:p>
        </w:tc>
        <w:tc>
          <w:tcPr>
            <w:tcW w:w="1134" w:type="dxa"/>
            <w:vAlign w:val="center"/>
          </w:tcPr>
          <w:p w14:paraId="1CC858DC" w14:textId="1F7E5AFF"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0</w:t>
            </w:r>
          </w:p>
        </w:tc>
      </w:tr>
      <w:tr w:rsidR="00503366" w:rsidRPr="00895898" w14:paraId="48195AE8"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FA76BB4" w14:textId="4D75B0B8"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4</w:t>
            </w:r>
          </w:p>
        </w:tc>
        <w:tc>
          <w:tcPr>
            <w:tcW w:w="1740" w:type="dxa"/>
            <w:shd w:val="clear" w:color="auto" w:fill="auto"/>
            <w:vAlign w:val="center"/>
          </w:tcPr>
          <w:p w14:paraId="04DBC1D2" w14:textId="370952A5"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konsolidované vykazovanie informácií o udržateľnosti vo výročnej správe za účtovné obdobie od 1.1.2027, zostavenie, uistenie a uloženie do RUZ</w:t>
            </w:r>
          </w:p>
        </w:tc>
        <w:tc>
          <w:tcPr>
            <w:tcW w:w="992" w:type="dxa"/>
            <w:vAlign w:val="center"/>
          </w:tcPr>
          <w:p w14:paraId="7DA73847" w14:textId="7BB44893"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431/2002</w:t>
            </w:r>
          </w:p>
        </w:tc>
        <w:tc>
          <w:tcPr>
            <w:tcW w:w="1134" w:type="dxa"/>
            <w:vAlign w:val="center"/>
          </w:tcPr>
          <w:p w14:paraId="1326F554" w14:textId="4E5117ED"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 20g</w:t>
            </w:r>
          </w:p>
        </w:tc>
        <w:tc>
          <w:tcPr>
            <w:tcW w:w="1843" w:type="dxa"/>
            <w:shd w:val="clear" w:color="auto" w:fill="auto"/>
            <w:vAlign w:val="center"/>
          </w:tcPr>
          <w:p w14:paraId="589E62F8" w14:textId="180FC7ED" w:rsidR="00503366" w:rsidDel="00801596" w:rsidRDefault="00503366" w:rsidP="00503366">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2. EÚ úplná harmonizácia</w:t>
            </w:r>
          </w:p>
        </w:tc>
        <w:tc>
          <w:tcPr>
            <w:tcW w:w="992" w:type="dxa"/>
            <w:vAlign w:val="center"/>
          </w:tcPr>
          <w:p w14:paraId="4F479A8F" w14:textId="307586FF"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09015152" w14:textId="27C8AB72"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materská UJ veľkej skupiny  (počet zamestnancov presiahol 250 a nepresiahol 1000)</w:t>
            </w:r>
          </w:p>
        </w:tc>
        <w:tc>
          <w:tcPr>
            <w:tcW w:w="1108" w:type="dxa"/>
            <w:vAlign w:val="center"/>
          </w:tcPr>
          <w:p w14:paraId="12996373" w14:textId="586600D7"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 xml:space="preserve">                51 </w:t>
            </w:r>
          </w:p>
        </w:tc>
        <w:tc>
          <w:tcPr>
            <w:tcW w:w="851" w:type="dxa"/>
            <w:shd w:val="clear" w:color="auto" w:fill="auto"/>
            <w:noWrap/>
            <w:vAlign w:val="center"/>
          </w:tcPr>
          <w:p w14:paraId="2188F025" w14:textId="5C3B1C6F"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34 476</w:t>
            </w:r>
          </w:p>
        </w:tc>
        <w:tc>
          <w:tcPr>
            <w:tcW w:w="843" w:type="dxa"/>
            <w:shd w:val="clear" w:color="auto" w:fill="auto"/>
            <w:noWrap/>
            <w:vAlign w:val="center"/>
          </w:tcPr>
          <w:p w14:paraId="1D718C37" w14:textId="62BEB07A"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1 758 257</w:t>
            </w:r>
          </w:p>
        </w:tc>
        <w:tc>
          <w:tcPr>
            <w:tcW w:w="1000" w:type="dxa"/>
            <w:shd w:val="clear" w:color="auto" w:fill="auto"/>
            <w:noWrap/>
            <w:vAlign w:val="center"/>
          </w:tcPr>
          <w:p w14:paraId="281CEC7A" w14:textId="48853693"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Out (znižuje náklady)</w:t>
            </w:r>
          </w:p>
        </w:tc>
        <w:tc>
          <w:tcPr>
            <w:tcW w:w="708" w:type="dxa"/>
            <w:shd w:val="clear" w:color="auto" w:fill="auto"/>
            <w:noWrap/>
            <w:vAlign w:val="center"/>
          </w:tcPr>
          <w:p w14:paraId="78A8DDA2" w14:textId="398B81B7"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sz w:val="20"/>
                <w:szCs w:val="20"/>
              </w:rPr>
              <w:t>0</w:t>
            </w:r>
          </w:p>
        </w:tc>
        <w:tc>
          <w:tcPr>
            <w:tcW w:w="1134" w:type="dxa"/>
            <w:vAlign w:val="center"/>
          </w:tcPr>
          <w:p w14:paraId="014B7D7A" w14:textId="37FC1AEE"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0</w:t>
            </w:r>
          </w:p>
        </w:tc>
      </w:tr>
      <w:tr w:rsidR="00503366" w:rsidRPr="00895898" w14:paraId="7D495C88"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FC148DB" w14:textId="5DA1E0F2"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5</w:t>
            </w:r>
          </w:p>
        </w:tc>
        <w:tc>
          <w:tcPr>
            <w:tcW w:w="1740" w:type="dxa"/>
            <w:shd w:val="clear" w:color="auto" w:fill="auto"/>
            <w:vAlign w:val="center"/>
          </w:tcPr>
          <w:p w14:paraId="0514BEF2" w14:textId="263F7E81"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zvýšenie ročného príspevku</w:t>
            </w:r>
          </w:p>
        </w:tc>
        <w:tc>
          <w:tcPr>
            <w:tcW w:w="992" w:type="dxa"/>
            <w:vAlign w:val="center"/>
          </w:tcPr>
          <w:p w14:paraId="07EE0509" w14:textId="6CE4E57D"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423/2015</w:t>
            </w:r>
          </w:p>
        </w:tc>
        <w:tc>
          <w:tcPr>
            <w:tcW w:w="1134" w:type="dxa"/>
            <w:vAlign w:val="center"/>
          </w:tcPr>
          <w:p w14:paraId="5143E9CF" w14:textId="2444E951"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 68 O: 3 P:a</w:t>
            </w:r>
          </w:p>
        </w:tc>
        <w:tc>
          <w:tcPr>
            <w:tcW w:w="1843" w:type="dxa"/>
            <w:shd w:val="clear" w:color="auto" w:fill="auto"/>
            <w:vAlign w:val="center"/>
          </w:tcPr>
          <w:p w14:paraId="356D853D" w14:textId="02B79A7A" w:rsidR="00503366" w:rsidDel="00801596" w:rsidRDefault="00503366" w:rsidP="00503366">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14:paraId="459D433C" w14:textId="58ADE9D3"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3D2938FA" w14:textId="22F023A4"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Burza cenných papierov</w:t>
            </w:r>
          </w:p>
        </w:tc>
        <w:tc>
          <w:tcPr>
            <w:tcW w:w="1108" w:type="dxa"/>
            <w:vAlign w:val="center"/>
          </w:tcPr>
          <w:p w14:paraId="717BA309" w14:textId="719408D7"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 xml:space="preserve">                  1 </w:t>
            </w:r>
          </w:p>
        </w:tc>
        <w:tc>
          <w:tcPr>
            <w:tcW w:w="851" w:type="dxa"/>
            <w:shd w:val="clear" w:color="auto" w:fill="auto"/>
            <w:noWrap/>
            <w:vAlign w:val="center"/>
          </w:tcPr>
          <w:p w14:paraId="2F2A96C4" w14:textId="57241E22"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50</w:t>
            </w:r>
          </w:p>
        </w:tc>
        <w:tc>
          <w:tcPr>
            <w:tcW w:w="843" w:type="dxa"/>
            <w:shd w:val="clear" w:color="auto" w:fill="auto"/>
            <w:noWrap/>
            <w:vAlign w:val="center"/>
          </w:tcPr>
          <w:p w14:paraId="0FE6B8D8" w14:textId="1FA4EC46"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50</w:t>
            </w:r>
          </w:p>
        </w:tc>
        <w:tc>
          <w:tcPr>
            <w:tcW w:w="1000" w:type="dxa"/>
            <w:shd w:val="clear" w:color="auto" w:fill="auto"/>
            <w:noWrap/>
            <w:vAlign w:val="center"/>
          </w:tcPr>
          <w:p w14:paraId="214DEF91" w14:textId="1508FED1"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45EC50E3" w14:textId="1524530C" w:rsidR="00503366" w:rsidRPr="00895898" w:rsidRDefault="00503366" w:rsidP="00503366">
            <w:pPr>
              <w:spacing w:after="0" w:line="240" w:lineRule="auto"/>
              <w:rPr>
                <w:rFonts w:ascii="Times New Roman" w:eastAsia="Times New Roman" w:hAnsi="Times New Roman" w:cs="Times New Roman"/>
                <w:color w:val="000000"/>
                <w:sz w:val="20"/>
                <w:szCs w:val="20"/>
                <w:lang w:eastAsia="sk-SK"/>
              </w:rPr>
            </w:pPr>
            <w:r>
              <w:rPr>
                <w:sz w:val="20"/>
                <w:szCs w:val="20"/>
              </w:rPr>
              <w:t>50</w:t>
            </w:r>
          </w:p>
        </w:tc>
        <w:tc>
          <w:tcPr>
            <w:tcW w:w="1134" w:type="dxa"/>
            <w:vAlign w:val="center"/>
          </w:tcPr>
          <w:p w14:paraId="15E7EBAF" w14:textId="2D92B2E6" w:rsidR="00503366" w:rsidRPr="00895898" w:rsidRDefault="00503366" w:rsidP="00503366">
            <w:pPr>
              <w:spacing w:after="0" w:line="240" w:lineRule="auto"/>
              <w:rPr>
                <w:rFonts w:ascii="Times New Roman" w:eastAsia="Times New Roman" w:hAnsi="Times New Roman" w:cs="Times New Roman"/>
                <w:sz w:val="20"/>
                <w:szCs w:val="20"/>
                <w:lang w:eastAsia="sk-SK"/>
              </w:rPr>
            </w:pPr>
            <w:r>
              <w:rPr>
                <w:color w:val="000000"/>
                <w:sz w:val="20"/>
                <w:szCs w:val="20"/>
              </w:rPr>
              <w:t>0</w:t>
            </w:r>
          </w:p>
        </w:tc>
      </w:tr>
      <w:tr w:rsidR="00354A95" w:rsidRPr="00895898" w14:paraId="67FD2956"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26FC3F2" w14:textId="33F59E35"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lastRenderedPageBreak/>
              <w:t>6</w:t>
            </w:r>
          </w:p>
        </w:tc>
        <w:tc>
          <w:tcPr>
            <w:tcW w:w="1740" w:type="dxa"/>
            <w:shd w:val="clear" w:color="auto" w:fill="auto"/>
            <w:vAlign w:val="center"/>
          </w:tcPr>
          <w:p w14:paraId="14BCDC2E" w14:textId="089BB5C9"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zvýšenie ročného príspevku</w:t>
            </w:r>
          </w:p>
        </w:tc>
        <w:tc>
          <w:tcPr>
            <w:tcW w:w="992" w:type="dxa"/>
            <w:vAlign w:val="center"/>
          </w:tcPr>
          <w:p w14:paraId="2C578C35" w14:textId="1815314B"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423/2015</w:t>
            </w:r>
          </w:p>
        </w:tc>
        <w:tc>
          <w:tcPr>
            <w:tcW w:w="1134" w:type="dxa"/>
            <w:vAlign w:val="center"/>
          </w:tcPr>
          <w:p w14:paraId="35AAA047" w14:textId="1DDAED6A"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68 O: 3 P:b</w:t>
            </w:r>
          </w:p>
        </w:tc>
        <w:tc>
          <w:tcPr>
            <w:tcW w:w="1843" w:type="dxa"/>
            <w:shd w:val="clear" w:color="auto" w:fill="auto"/>
            <w:vAlign w:val="center"/>
          </w:tcPr>
          <w:p w14:paraId="6DD38128" w14:textId="1B1C2FFE" w:rsidR="00354A95" w:rsidDel="00801596" w:rsidRDefault="00354A95" w:rsidP="00354A95">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14:paraId="660ED2AA" w14:textId="2EF5CEB3"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61B4BCC4" w14:textId="62C4B7E4"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banka, Eximbanka, poisťovňa, zaisťovňa</w:t>
            </w:r>
          </w:p>
        </w:tc>
        <w:tc>
          <w:tcPr>
            <w:tcW w:w="1108" w:type="dxa"/>
            <w:vAlign w:val="center"/>
          </w:tcPr>
          <w:p w14:paraId="6DBA9274" w14:textId="4B525BE4"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xml:space="preserve">                20 </w:t>
            </w:r>
          </w:p>
        </w:tc>
        <w:tc>
          <w:tcPr>
            <w:tcW w:w="851" w:type="dxa"/>
            <w:shd w:val="clear" w:color="auto" w:fill="auto"/>
            <w:noWrap/>
            <w:vAlign w:val="center"/>
          </w:tcPr>
          <w:p w14:paraId="29915185" w14:textId="4A132B28"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600</w:t>
            </w:r>
          </w:p>
        </w:tc>
        <w:tc>
          <w:tcPr>
            <w:tcW w:w="843" w:type="dxa"/>
            <w:shd w:val="clear" w:color="auto" w:fill="auto"/>
            <w:noWrap/>
            <w:vAlign w:val="center"/>
          </w:tcPr>
          <w:p w14:paraId="46F12C04" w14:textId="2333B926"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12 000</w:t>
            </w:r>
          </w:p>
        </w:tc>
        <w:tc>
          <w:tcPr>
            <w:tcW w:w="1000" w:type="dxa"/>
            <w:shd w:val="clear" w:color="auto" w:fill="auto"/>
            <w:noWrap/>
            <w:vAlign w:val="center"/>
          </w:tcPr>
          <w:p w14:paraId="2D3260FB" w14:textId="09CCA19A"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00BF5AA0" w14:textId="2B9DA45B"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sz w:val="20"/>
                <w:szCs w:val="20"/>
              </w:rPr>
              <w:t>12 000</w:t>
            </w:r>
          </w:p>
        </w:tc>
        <w:tc>
          <w:tcPr>
            <w:tcW w:w="1134" w:type="dxa"/>
            <w:vAlign w:val="center"/>
          </w:tcPr>
          <w:p w14:paraId="48044CA5" w14:textId="3410958E" w:rsidR="00354A95" w:rsidRPr="00895898" w:rsidRDefault="00354A95" w:rsidP="00354A95">
            <w:pPr>
              <w:spacing w:after="0" w:line="240" w:lineRule="auto"/>
              <w:rPr>
                <w:rFonts w:ascii="Times New Roman" w:eastAsia="Times New Roman" w:hAnsi="Times New Roman" w:cs="Times New Roman"/>
                <w:sz w:val="20"/>
                <w:szCs w:val="20"/>
                <w:lang w:eastAsia="sk-SK"/>
              </w:rPr>
            </w:pPr>
          </w:p>
        </w:tc>
      </w:tr>
      <w:tr w:rsidR="00354A95" w:rsidRPr="00895898" w14:paraId="26381EED"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627B3E9" w14:textId="5AAF0BAA"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7</w:t>
            </w:r>
          </w:p>
        </w:tc>
        <w:tc>
          <w:tcPr>
            <w:tcW w:w="1740" w:type="dxa"/>
            <w:shd w:val="clear" w:color="auto" w:fill="auto"/>
            <w:vAlign w:val="center"/>
          </w:tcPr>
          <w:p w14:paraId="6C2DF285" w14:textId="4B441103"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zvýšenie ročného príspevku</w:t>
            </w:r>
          </w:p>
        </w:tc>
        <w:tc>
          <w:tcPr>
            <w:tcW w:w="992" w:type="dxa"/>
            <w:vAlign w:val="center"/>
          </w:tcPr>
          <w:p w14:paraId="39BDC257" w14:textId="72C9946B"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423/2015</w:t>
            </w:r>
          </w:p>
        </w:tc>
        <w:tc>
          <w:tcPr>
            <w:tcW w:w="1134" w:type="dxa"/>
            <w:vAlign w:val="center"/>
          </w:tcPr>
          <w:p w14:paraId="3FD55E58" w14:textId="234A1A57"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68 O: 3 P:c</w:t>
            </w:r>
          </w:p>
        </w:tc>
        <w:tc>
          <w:tcPr>
            <w:tcW w:w="1843" w:type="dxa"/>
            <w:shd w:val="clear" w:color="auto" w:fill="auto"/>
            <w:vAlign w:val="center"/>
          </w:tcPr>
          <w:p w14:paraId="77912E88" w14:textId="18590D77" w:rsidR="00354A95" w:rsidDel="00801596" w:rsidRDefault="00354A95" w:rsidP="00354A95">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14:paraId="17B30C13" w14:textId="0D274C1A"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4AE2E156" w14:textId="720E8FC8"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správcovská spol.</w:t>
            </w:r>
          </w:p>
        </w:tc>
        <w:tc>
          <w:tcPr>
            <w:tcW w:w="1108" w:type="dxa"/>
            <w:vAlign w:val="center"/>
          </w:tcPr>
          <w:p w14:paraId="7CEB6F10" w14:textId="587E69F6"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xml:space="preserve">                50 </w:t>
            </w:r>
          </w:p>
        </w:tc>
        <w:tc>
          <w:tcPr>
            <w:tcW w:w="851" w:type="dxa"/>
            <w:shd w:val="clear" w:color="auto" w:fill="auto"/>
            <w:noWrap/>
            <w:vAlign w:val="center"/>
          </w:tcPr>
          <w:p w14:paraId="6F10BC4F" w14:textId="047AFEC4"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300</w:t>
            </w:r>
          </w:p>
        </w:tc>
        <w:tc>
          <w:tcPr>
            <w:tcW w:w="843" w:type="dxa"/>
            <w:shd w:val="clear" w:color="auto" w:fill="auto"/>
            <w:noWrap/>
            <w:vAlign w:val="center"/>
          </w:tcPr>
          <w:p w14:paraId="70151A82" w14:textId="09AC19FC"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15000</w:t>
            </w:r>
          </w:p>
        </w:tc>
        <w:tc>
          <w:tcPr>
            <w:tcW w:w="1000" w:type="dxa"/>
            <w:shd w:val="clear" w:color="auto" w:fill="auto"/>
            <w:noWrap/>
            <w:vAlign w:val="center"/>
          </w:tcPr>
          <w:p w14:paraId="74A6D825" w14:textId="488D493F"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3FBF0B70" w14:textId="7F195857"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15000</w:t>
            </w:r>
          </w:p>
        </w:tc>
        <w:tc>
          <w:tcPr>
            <w:tcW w:w="1134" w:type="dxa"/>
            <w:vAlign w:val="center"/>
          </w:tcPr>
          <w:p w14:paraId="1F26953E" w14:textId="7B4626EC" w:rsidR="00354A95" w:rsidRPr="00895898" w:rsidRDefault="00354A95" w:rsidP="00354A95">
            <w:pPr>
              <w:spacing w:after="0" w:line="240" w:lineRule="auto"/>
              <w:rPr>
                <w:rFonts w:ascii="Times New Roman" w:eastAsia="Times New Roman" w:hAnsi="Times New Roman" w:cs="Times New Roman"/>
                <w:sz w:val="20"/>
                <w:szCs w:val="20"/>
                <w:lang w:eastAsia="sk-SK"/>
              </w:rPr>
            </w:pPr>
          </w:p>
        </w:tc>
      </w:tr>
      <w:tr w:rsidR="00354A95" w:rsidRPr="00895898" w14:paraId="0843042E"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F45AB6F" w14:textId="7A762CB3"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8</w:t>
            </w:r>
          </w:p>
        </w:tc>
        <w:tc>
          <w:tcPr>
            <w:tcW w:w="1740" w:type="dxa"/>
            <w:shd w:val="clear" w:color="auto" w:fill="auto"/>
            <w:vAlign w:val="center"/>
          </w:tcPr>
          <w:p w14:paraId="7ECE6D3B" w14:textId="1C06F20B"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zvýšenie ročného príspevku</w:t>
            </w:r>
          </w:p>
        </w:tc>
        <w:tc>
          <w:tcPr>
            <w:tcW w:w="992" w:type="dxa"/>
            <w:vAlign w:val="center"/>
          </w:tcPr>
          <w:p w14:paraId="50415B35" w14:textId="3FE2F38D"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423/2015</w:t>
            </w:r>
          </w:p>
        </w:tc>
        <w:tc>
          <w:tcPr>
            <w:tcW w:w="1134" w:type="dxa"/>
            <w:vAlign w:val="center"/>
          </w:tcPr>
          <w:p w14:paraId="7654D3F2" w14:textId="078E76FA"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68 O: 3 P:d</w:t>
            </w:r>
          </w:p>
        </w:tc>
        <w:tc>
          <w:tcPr>
            <w:tcW w:w="1843" w:type="dxa"/>
            <w:shd w:val="clear" w:color="auto" w:fill="auto"/>
            <w:vAlign w:val="center"/>
          </w:tcPr>
          <w:p w14:paraId="2F53E6FF" w14:textId="14554AFC" w:rsidR="00354A95" w:rsidDel="00801596" w:rsidRDefault="00354A95" w:rsidP="00354A95">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14:paraId="40D196AF" w14:textId="1FCB3FAA"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438E8D71" w14:textId="1064781B"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Železnice SR</w:t>
            </w:r>
            <w:r w:rsidR="007134D7">
              <w:rPr>
                <w:color w:val="000000"/>
                <w:sz w:val="20"/>
                <w:szCs w:val="20"/>
              </w:rPr>
              <w:t>, subjekty osobitného významu</w:t>
            </w:r>
          </w:p>
        </w:tc>
        <w:tc>
          <w:tcPr>
            <w:tcW w:w="1108" w:type="dxa"/>
            <w:vAlign w:val="center"/>
          </w:tcPr>
          <w:p w14:paraId="4ED50809" w14:textId="4B971EB3"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xml:space="preserve">                </w:t>
            </w:r>
            <w:r w:rsidR="00CB7D2F">
              <w:rPr>
                <w:color w:val="000000"/>
                <w:sz w:val="20"/>
                <w:szCs w:val="20"/>
              </w:rPr>
              <w:t>9</w:t>
            </w:r>
            <w:r w:rsidR="007134D7">
              <w:rPr>
                <w:color w:val="000000"/>
                <w:sz w:val="20"/>
                <w:szCs w:val="20"/>
              </w:rPr>
              <w:t>2</w:t>
            </w:r>
            <w:r>
              <w:rPr>
                <w:color w:val="000000"/>
                <w:sz w:val="20"/>
                <w:szCs w:val="20"/>
              </w:rPr>
              <w:t xml:space="preserve"> </w:t>
            </w:r>
          </w:p>
        </w:tc>
        <w:tc>
          <w:tcPr>
            <w:tcW w:w="851" w:type="dxa"/>
            <w:shd w:val="clear" w:color="auto" w:fill="auto"/>
            <w:noWrap/>
            <w:vAlign w:val="center"/>
          </w:tcPr>
          <w:p w14:paraId="5DA20EE5" w14:textId="03213B0F"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600</w:t>
            </w:r>
          </w:p>
        </w:tc>
        <w:tc>
          <w:tcPr>
            <w:tcW w:w="843" w:type="dxa"/>
            <w:shd w:val="clear" w:color="auto" w:fill="auto"/>
            <w:noWrap/>
            <w:vAlign w:val="center"/>
          </w:tcPr>
          <w:p w14:paraId="2D2247ED" w14:textId="2C7FF3C2"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5</w:t>
            </w:r>
            <w:r w:rsidR="00CB7D2F">
              <w:rPr>
                <w:color w:val="000000"/>
                <w:sz w:val="20"/>
                <w:szCs w:val="20"/>
              </w:rPr>
              <w:t>7</w:t>
            </w:r>
            <w:r>
              <w:rPr>
                <w:color w:val="000000"/>
                <w:sz w:val="20"/>
                <w:szCs w:val="20"/>
              </w:rPr>
              <w:t xml:space="preserve"> </w:t>
            </w:r>
            <w:r w:rsidR="00CB7D2F">
              <w:rPr>
                <w:color w:val="000000"/>
                <w:sz w:val="20"/>
                <w:szCs w:val="20"/>
              </w:rPr>
              <w:t>0</w:t>
            </w:r>
            <w:r>
              <w:rPr>
                <w:color w:val="000000"/>
                <w:sz w:val="20"/>
                <w:szCs w:val="20"/>
              </w:rPr>
              <w:t>00</w:t>
            </w:r>
          </w:p>
        </w:tc>
        <w:tc>
          <w:tcPr>
            <w:tcW w:w="1000" w:type="dxa"/>
            <w:shd w:val="clear" w:color="auto" w:fill="auto"/>
            <w:noWrap/>
            <w:vAlign w:val="center"/>
          </w:tcPr>
          <w:p w14:paraId="172E15AF" w14:textId="7C23C247"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5E029218" w14:textId="37DEE408"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sz w:val="20"/>
                <w:szCs w:val="20"/>
              </w:rPr>
              <w:t>5</w:t>
            </w:r>
            <w:r w:rsidR="007134D7">
              <w:rPr>
                <w:sz w:val="20"/>
                <w:szCs w:val="20"/>
              </w:rPr>
              <w:t>5</w:t>
            </w:r>
            <w:r>
              <w:rPr>
                <w:sz w:val="20"/>
                <w:szCs w:val="20"/>
              </w:rPr>
              <w:t xml:space="preserve"> </w:t>
            </w:r>
            <w:r w:rsidR="007134D7">
              <w:rPr>
                <w:sz w:val="20"/>
                <w:szCs w:val="20"/>
              </w:rPr>
              <w:t>2</w:t>
            </w:r>
            <w:r>
              <w:rPr>
                <w:sz w:val="20"/>
                <w:szCs w:val="20"/>
              </w:rPr>
              <w:t>00</w:t>
            </w:r>
          </w:p>
        </w:tc>
        <w:tc>
          <w:tcPr>
            <w:tcW w:w="1134" w:type="dxa"/>
            <w:vAlign w:val="center"/>
          </w:tcPr>
          <w:p w14:paraId="23AB936A" w14:textId="4D5030BB" w:rsidR="00354A95" w:rsidRPr="00895898" w:rsidRDefault="00354A95" w:rsidP="00354A95">
            <w:pPr>
              <w:spacing w:after="0" w:line="240" w:lineRule="auto"/>
              <w:rPr>
                <w:rFonts w:ascii="Times New Roman" w:eastAsia="Times New Roman" w:hAnsi="Times New Roman" w:cs="Times New Roman"/>
                <w:sz w:val="20"/>
                <w:szCs w:val="20"/>
                <w:lang w:eastAsia="sk-SK"/>
              </w:rPr>
            </w:pPr>
          </w:p>
        </w:tc>
      </w:tr>
      <w:tr w:rsidR="00354A95" w:rsidRPr="00895898" w14:paraId="617FCC62"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4F5780B9" w14:textId="1D83B124"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9</w:t>
            </w:r>
          </w:p>
        </w:tc>
        <w:tc>
          <w:tcPr>
            <w:tcW w:w="1740" w:type="dxa"/>
            <w:shd w:val="clear" w:color="auto" w:fill="auto"/>
            <w:vAlign w:val="center"/>
          </w:tcPr>
          <w:p w14:paraId="6AF216F1" w14:textId="18FB205C"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zvýšenie ročného registračného poplatku</w:t>
            </w:r>
          </w:p>
        </w:tc>
        <w:tc>
          <w:tcPr>
            <w:tcW w:w="992" w:type="dxa"/>
            <w:vAlign w:val="center"/>
          </w:tcPr>
          <w:p w14:paraId="6466FE4E" w14:textId="4710A912"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423/2015</w:t>
            </w:r>
          </w:p>
        </w:tc>
        <w:tc>
          <w:tcPr>
            <w:tcW w:w="1134" w:type="dxa"/>
            <w:vAlign w:val="center"/>
          </w:tcPr>
          <w:p w14:paraId="5E36DFC2" w14:textId="6DC1EF26"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68 O: 7 P:e</w:t>
            </w:r>
          </w:p>
        </w:tc>
        <w:tc>
          <w:tcPr>
            <w:tcW w:w="1843" w:type="dxa"/>
            <w:shd w:val="clear" w:color="auto" w:fill="auto"/>
            <w:vAlign w:val="center"/>
          </w:tcPr>
          <w:p w14:paraId="7A33051E" w14:textId="63012F36" w:rsidR="00354A95" w:rsidDel="00801596" w:rsidRDefault="00354A95" w:rsidP="00354A95">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14:paraId="12584278" w14:textId="3F9E6EF0"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5EFA9EBA" w14:textId="344DED0A"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audítori, audítorské spoločnosti</w:t>
            </w:r>
          </w:p>
        </w:tc>
        <w:tc>
          <w:tcPr>
            <w:tcW w:w="1108" w:type="dxa"/>
            <w:vAlign w:val="center"/>
          </w:tcPr>
          <w:p w14:paraId="4FA83B0F" w14:textId="7B3ACE91"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xml:space="preserve">                25 </w:t>
            </w:r>
          </w:p>
        </w:tc>
        <w:tc>
          <w:tcPr>
            <w:tcW w:w="851" w:type="dxa"/>
            <w:shd w:val="clear" w:color="auto" w:fill="auto"/>
            <w:noWrap/>
            <w:vAlign w:val="center"/>
          </w:tcPr>
          <w:p w14:paraId="03EE8119" w14:textId="7C02F58C"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100</w:t>
            </w:r>
          </w:p>
        </w:tc>
        <w:tc>
          <w:tcPr>
            <w:tcW w:w="843" w:type="dxa"/>
            <w:shd w:val="clear" w:color="auto" w:fill="auto"/>
            <w:noWrap/>
            <w:vAlign w:val="center"/>
          </w:tcPr>
          <w:p w14:paraId="6FDB5CF8" w14:textId="59FC6236"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2 500</w:t>
            </w:r>
          </w:p>
        </w:tc>
        <w:tc>
          <w:tcPr>
            <w:tcW w:w="1000" w:type="dxa"/>
            <w:shd w:val="clear" w:color="auto" w:fill="auto"/>
            <w:noWrap/>
            <w:vAlign w:val="center"/>
          </w:tcPr>
          <w:p w14:paraId="4D8A7B79" w14:textId="27FCEDED"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54AFA1A7" w14:textId="1B119E87"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sz w:val="20"/>
                <w:szCs w:val="20"/>
              </w:rPr>
              <w:t>2 500</w:t>
            </w:r>
          </w:p>
        </w:tc>
        <w:tc>
          <w:tcPr>
            <w:tcW w:w="1134" w:type="dxa"/>
            <w:vAlign w:val="center"/>
          </w:tcPr>
          <w:p w14:paraId="70D9758E" w14:textId="186A5FA9" w:rsidR="00354A95" w:rsidRPr="00895898" w:rsidRDefault="00354A95" w:rsidP="00354A95">
            <w:pPr>
              <w:spacing w:after="0" w:line="240" w:lineRule="auto"/>
              <w:rPr>
                <w:rFonts w:ascii="Times New Roman" w:eastAsia="Times New Roman" w:hAnsi="Times New Roman" w:cs="Times New Roman"/>
                <w:sz w:val="20"/>
                <w:szCs w:val="20"/>
                <w:lang w:eastAsia="sk-SK"/>
              </w:rPr>
            </w:pPr>
          </w:p>
        </w:tc>
      </w:tr>
      <w:tr w:rsidR="00354A95" w:rsidRPr="00895898" w14:paraId="7B9060EB"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DC9DC4F" w14:textId="019DB92F"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10</w:t>
            </w:r>
          </w:p>
        </w:tc>
        <w:tc>
          <w:tcPr>
            <w:tcW w:w="1740" w:type="dxa"/>
            <w:shd w:val="clear" w:color="auto" w:fill="auto"/>
            <w:vAlign w:val="center"/>
          </w:tcPr>
          <w:p w14:paraId="4415BEB5" w14:textId="1F687D51"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zvýšenie ročného registračného poplatku</w:t>
            </w:r>
          </w:p>
        </w:tc>
        <w:tc>
          <w:tcPr>
            <w:tcW w:w="992" w:type="dxa"/>
            <w:vAlign w:val="center"/>
          </w:tcPr>
          <w:p w14:paraId="1141F0E9" w14:textId="36729E51"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423/2015</w:t>
            </w:r>
          </w:p>
        </w:tc>
        <w:tc>
          <w:tcPr>
            <w:tcW w:w="1134" w:type="dxa"/>
            <w:vAlign w:val="center"/>
          </w:tcPr>
          <w:p w14:paraId="29C3D53D" w14:textId="65A9D3F3"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68 O: 7 P:a</w:t>
            </w:r>
          </w:p>
        </w:tc>
        <w:tc>
          <w:tcPr>
            <w:tcW w:w="1843" w:type="dxa"/>
            <w:shd w:val="clear" w:color="auto" w:fill="auto"/>
            <w:vAlign w:val="center"/>
          </w:tcPr>
          <w:p w14:paraId="58D860A5" w14:textId="6DDBDC2B" w:rsidR="00354A95" w:rsidDel="00801596" w:rsidRDefault="00354A95" w:rsidP="00354A95">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14:paraId="000091D5" w14:textId="0A5641AE"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30E73D78" w14:textId="049945A4"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audítori, audítorské spoločnosti</w:t>
            </w:r>
          </w:p>
        </w:tc>
        <w:tc>
          <w:tcPr>
            <w:tcW w:w="1108" w:type="dxa"/>
            <w:vAlign w:val="center"/>
          </w:tcPr>
          <w:p w14:paraId="322DFB10" w14:textId="3CA5E2B4"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xml:space="preserve">                  5 </w:t>
            </w:r>
          </w:p>
        </w:tc>
        <w:tc>
          <w:tcPr>
            <w:tcW w:w="851" w:type="dxa"/>
            <w:shd w:val="clear" w:color="auto" w:fill="auto"/>
            <w:noWrap/>
            <w:vAlign w:val="center"/>
          </w:tcPr>
          <w:p w14:paraId="29056D9B" w14:textId="133781CB"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500</w:t>
            </w:r>
          </w:p>
        </w:tc>
        <w:tc>
          <w:tcPr>
            <w:tcW w:w="843" w:type="dxa"/>
            <w:shd w:val="clear" w:color="auto" w:fill="auto"/>
            <w:noWrap/>
            <w:vAlign w:val="center"/>
          </w:tcPr>
          <w:p w14:paraId="504A9026" w14:textId="31EE3413"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2 500</w:t>
            </w:r>
          </w:p>
        </w:tc>
        <w:tc>
          <w:tcPr>
            <w:tcW w:w="1000" w:type="dxa"/>
            <w:shd w:val="clear" w:color="auto" w:fill="auto"/>
            <w:noWrap/>
            <w:vAlign w:val="center"/>
          </w:tcPr>
          <w:p w14:paraId="5788EE86" w14:textId="4866C8AC" w:rsidR="00354A95" w:rsidRPr="00895898" w:rsidRDefault="00851A53" w:rsidP="00354A95">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3B337A06" w14:textId="288244C9" w:rsidR="00354A95" w:rsidRPr="00895898" w:rsidRDefault="00851A53" w:rsidP="00354A95">
            <w:pPr>
              <w:spacing w:after="0" w:line="240" w:lineRule="auto"/>
              <w:rPr>
                <w:rFonts w:ascii="Times New Roman" w:eastAsia="Times New Roman" w:hAnsi="Times New Roman" w:cs="Times New Roman"/>
                <w:color w:val="000000"/>
                <w:sz w:val="20"/>
                <w:szCs w:val="20"/>
                <w:lang w:eastAsia="sk-SK"/>
              </w:rPr>
            </w:pPr>
            <w:r>
              <w:rPr>
                <w:sz w:val="20"/>
                <w:szCs w:val="20"/>
              </w:rPr>
              <w:t>2 500</w:t>
            </w:r>
          </w:p>
        </w:tc>
        <w:tc>
          <w:tcPr>
            <w:tcW w:w="1134" w:type="dxa"/>
            <w:vAlign w:val="center"/>
          </w:tcPr>
          <w:p w14:paraId="40DD0EDF" w14:textId="333C0E28" w:rsidR="00354A95" w:rsidRPr="00895898" w:rsidRDefault="00354A95" w:rsidP="00354A95">
            <w:pPr>
              <w:spacing w:after="0" w:line="240" w:lineRule="auto"/>
              <w:rPr>
                <w:rFonts w:ascii="Times New Roman" w:eastAsia="Times New Roman" w:hAnsi="Times New Roman" w:cs="Times New Roman"/>
                <w:sz w:val="20"/>
                <w:szCs w:val="20"/>
                <w:lang w:eastAsia="sk-SK"/>
              </w:rPr>
            </w:pPr>
          </w:p>
        </w:tc>
      </w:tr>
      <w:tr w:rsidR="00354A95" w:rsidRPr="00895898" w14:paraId="4C420F3E"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A8B12D9" w14:textId="6CF98202"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11</w:t>
            </w:r>
          </w:p>
        </w:tc>
        <w:tc>
          <w:tcPr>
            <w:tcW w:w="1740" w:type="dxa"/>
            <w:shd w:val="clear" w:color="auto" w:fill="auto"/>
            <w:vAlign w:val="center"/>
          </w:tcPr>
          <w:p w14:paraId="645EC800" w14:textId="26ECBB26"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zvýšenie ročného registračného poplatku</w:t>
            </w:r>
          </w:p>
        </w:tc>
        <w:tc>
          <w:tcPr>
            <w:tcW w:w="992" w:type="dxa"/>
            <w:vAlign w:val="center"/>
          </w:tcPr>
          <w:p w14:paraId="232B988B" w14:textId="0ABA1167"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423/2015</w:t>
            </w:r>
          </w:p>
        </w:tc>
        <w:tc>
          <w:tcPr>
            <w:tcW w:w="1134" w:type="dxa"/>
            <w:vAlign w:val="center"/>
          </w:tcPr>
          <w:p w14:paraId="5A87DF97" w14:textId="1D8799CD"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68 O: 7 P:b</w:t>
            </w:r>
          </w:p>
        </w:tc>
        <w:tc>
          <w:tcPr>
            <w:tcW w:w="1843" w:type="dxa"/>
            <w:shd w:val="clear" w:color="auto" w:fill="auto"/>
            <w:vAlign w:val="center"/>
          </w:tcPr>
          <w:p w14:paraId="29998E8E" w14:textId="622AAF12" w:rsidR="00354A95" w:rsidDel="00801596" w:rsidRDefault="00354A95" w:rsidP="00354A95">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14:paraId="02FEAA3E" w14:textId="6A5BAE93"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7ED5B907" w14:textId="2B764AB5"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audítori, audítorské spoločnosti</w:t>
            </w:r>
          </w:p>
        </w:tc>
        <w:tc>
          <w:tcPr>
            <w:tcW w:w="1108" w:type="dxa"/>
            <w:vAlign w:val="center"/>
          </w:tcPr>
          <w:p w14:paraId="68283DB3" w14:textId="1254E591"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xml:space="preserve">                  2 </w:t>
            </w:r>
          </w:p>
        </w:tc>
        <w:tc>
          <w:tcPr>
            <w:tcW w:w="851" w:type="dxa"/>
            <w:shd w:val="clear" w:color="auto" w:fill="auto"/>
            <w:noWrap/>
            <w:vAlign w:val="center"/>
          </w:tcPr>
          <w:p w14:paraId="6AD3EC0B" w14:textId="7FF1E937"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1 000</w:t>
            </w:r>
          </w:p>
        </w:tc>
        <w:tc>
          <w:tcPr>
            <w:tcW w:w="843" w:type="dxa"/>
            <w:shd w:val="clear" w:color="auto" w:fill="auto"/>
            <w:noWrap/>
            <w:vAlign w:val="center"/>
          </w:tcPr>
          <w:p w14:paraId="5F13510A" w14:textId="7DD7951C"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2 000</w:t>
            </w:r>
          </w:p>
        </w:tc>
        <w:tc>
          <w:tcPr>
            <w:tcW w:w="1000" w:type="dxa"/>
            <w:shd w:val="clear" w:color="auto" w:fill="auto"/>
            <w:noWrap/>
            <w:vAlign w:val="center"/>
          </w:tcPr>
          <w:p w14:paraId="0318CDF8" w14:textId="25C0CF63" w:rsidR="00354A95" w:rsidRPr="00895898" w:rsidRDefault="00851A53" w:rsidP="00354A95">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69A254B2" w14:textId="6E934743" w:rsidR="00354A95" w:rsidRPr="00895898" w:rsidRDefault="00851A53" w:rsidP="00354A95">
            <w:pPr>
              <w:spacing w:after="0" w:line="240" w:lineRule="auto"/>
              <w:rPr>
                <w:rFonts w:ascii="Times New Roman" w:eastAsia="Times New Roman" w:hAnsi="Times New Roman" w:cs="Times New Roman"/>
                <w:color w:val="000000"/>
                <w:sz w:val="20"/>
                <w:szCs w:val="20"/>
                <w:lang w:eastAsia="sk-SK"/>
              </w:rPr>
            </w:pPr>
            <w:r>
              <w:rPr>
                <w:sz w:val="20"/>
                <w:szCs w:val="20"/>
              </w:rPr>
              <w:t>2 000</w:t>
            </w:r>
          </w:p>
        </w:tc>
        <w:tc>
          <w:tcPr>
            <w:tcW w:w="1134" w:type="dxa"/>
            <w:vAlign w:val="center"/>
          </w:tcPr>
          <w:p w14:paraId="139813F3" w14:textId="3E2A7393" w:rsidR="00354A95" w:rsidRPr="00895898" w:rsidRDefault="00354A95" w:rsidP="00354A95">
            <w:pPr>
              <w:spacing w:after="0" w:line="240" w:lineRule="auto"/>
              <w:rPr>
                <w:rFonts w:ascii="Times New Roman" w:eastAsia="Times New Roman" w:hAnsi="Times New Roman" w:cs="Times New Roman"/>
                <w:sz w:val="20"/>
                <w:szCs w:val="20"/>
                <w:lang w:eastAsia="sk-SK"/>
              </w:rPr>
            </w:pPr>
          </w:p>
        </w:tc>
      </w:tr>
      <w:tr w:rsidR="00354A95" w:rsidRPr="00895898" w14:paraId="1FBD30E1"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439B6CE9" w14:textId="2F996A9D"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12</w:t>
            </w:r>
          </w:p>
        </w:tc>
        <w:tc>
          <w:tcPr>
            <w:tcW w:w="1740" w:type="dxa"/>
            <w:shd w:val="clear" w:color="auto" w:fill="auto"/>
            <w:vAlign w:val="center"/>
          </w:tcPr>
          <w:p w14:paraId="3CAE0F52" w14:textId="118D3467"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zvýšenie ročného registračného poplatku</w:t>
            </w:r>
          </w:p>
        </w:tc>
        <w:tc>
          <w:tcPr>
            <w:tcW w:w="992" w:type="dxa"/>
            <w:vAlign w:val="center"/>
          </w:tcPr>
          <w:p w14:paraId="7C8E8D1C" w14:textId="74819330"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423/2015</w:t>
            </w:r>
          </w:p>
        </w:tc>
        <w:tc>
          <w:tcPr>
            <w:tcW w:w="1134" w:type="dxa"/>
            <w:vAlign w:val="center"/>
          </w:tcPr>
          <w:p w14:paraId="03C86097" w14:textId="4091A280"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68 O: 7 P:c</w:t>
            </w:r>
          </w:p>
        </w:tc>
        <w:tc>
          <w:tcPr>
            <w:tcW w:w="1843" w:type="dxa"/>
            <w:shd w:val="clear" w:color="auto" w:fill="auto"/>
            <w:vAlign w:val="center"/>
          </w:tcPr>
          <w:p w14:paraId="392E263F" w14:textId="48CE3895" w:rsidR="00354A95" w:rsidDel="00801596" w:rsidRDefault="00354A95" w:rsidP="00354A95">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14:paraId="3A7E0ADD" w14:textId="62B817F1"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1073A12C" w14:textId="59110A17"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audítori, audítorské spoločnosti</w:t>
            </w:r>
          </w:p>
        </w:tc>
        <w:tc>
          <w:tcPr>
            <w:tcW w:w="1108" w:type="dxa"/>
            <w:vAlign w:val="center"/>
          </w:tcPr>
          <w:p w14:paraId="3EFAC324" w14:textId="53332F89"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xml:space="preserve">                  3 </w:t>
            </w:r>
          </w:p>
        </w:tc>
        <w:tc>
          <w:tcPr>
            <w:tcW w:w="851" w:type="dxa"/>
            <w:shd w:val="clear" w:color="auto" w:fill="auto"/>
            <w:noWrap/>
            <w:vAlign w:val="center"/>
          </w:tcPr>
          <w:p w14:paraId="351D11B9" w14:textId="18D2533E"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2 000</w:t>
            </w:r>
          </w:p>
        </w:tc>
        <w:tc>
          <w:tcPr>
            <w:tcW w:w="843" w:type="dxa"/>
            <w:shd w:val="clear" w:color="auto" w:fill="auto"/>
            <w:noWrap/>
            <w:vAlign w:val="center"/>
          </w:tcPr>
          <w:p w14:paraId="373DB149" w14:textId="6989A741"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6 000</w:t>
            </w:r>
          </w:p>
        </w:tc>
        <w:tc>
          <w:tcPr>
            <w:tcW w:w="1000" w:type="dxa"/>
            <w:shd w:val="clear" w:color="auto" w:fill="auto"/>
            <w:noWrap/>
            <w:vAlign w:val="center"/>
          </w:tcPr>
          <w:p w14:paraId="54C71782" w14:textId="7C280480" w:rsidR="00354A95" w:rsidRPr="00895898" w:rsidRDefault="00851A53" w:rsidP="00354A95">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74DDB5D5" w14:textId="63800D73" w:rsidR="00354A95" w:rsidRPr="00895898" w:rsidRDefault="00851A53" w:rsidP="00354A95">
            <w:pPr>
              <w:spacing w:after="0" w:line="240" w:lineRule="auto"/>
              <w:rPr>
                <w:rFonts w:ascii="Times New Roman" w:eastAsia="Times New Roman" w:hAnsi="Times New Roman" w:cs="Times New Roman"/>
                <w:color w:val="000000"/>
                <w:sz w:val="20"/>
                <w:szCs w:val="20"/>
                <w:lang w:eastAsia="sk-SK"/>
              </w:rPr>
            </w:pPr>
            <w:r>
              <w:rPr>
                <w:sz w:val="20"/>
                <w:szCs w:val="20"/>
              </w:rPr>
              <w:t>6 00</w:t>
            </w:r>
            <w:r w:rsidR="00354A95">
              <w:rPr>
                <w:sz w:val="20"/>
                <w:szCs w:val="20"/>
              </w:rPr>
              <w:t>0</w:t>
            </w:r>
          </w:p>
        </w:tc>
        <w:tc>
          <w:tcPr>
            <w:tcW w:w="1134" w:type="dxa"/>
            <w:vAlign w:val="center"/>
          </w:tcPr>
          <w:p w14:paraId="7895A3E3" w14:textId="1612D354" w:rsidR="00354A95" w:rsidRPr="00895898" w:rsidRDefault="00354A95" w:rsidP="00354A95">
            <w:pPr>
              <w:spacing w:after="0" w:line="240" w:lineRule="auto"/>
              <w:rPr>
                <w:rFonts w:ascii="Times New Roman" w:eastAsia="Times New Roman" w:hAnsi="Times New Roman" w:cs="Times New Roman"/>
                <w:sz w:val="20"/>
                <w:szCs w:val="20"/>
                <w:lang w:eastAsia="sk-SK"/>
              </w:rPr>
            </w:pPr>
          </w:p>
        </w:tc>
      </w:tr>
      <w:tr w:rsidR="00354A95" w:rsidRPr="00895898" w14:paraId="3D66DF8D"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3C603ED" w14:textId="72696A1A"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13</w:t>
            </w:r>
          </w:p>
        </w:tc>
        <w:tc>
          <w:tcPr>
            <w:tcW w:w="1740" w:type="dxa"/>
            <w:shd w:val="clear" w:color="auto" w:fill="auto"/>
            <w:vAlign w:val="center"/>
          </w:tcPr>
          <w:p w14:paraId="4E917755" w14:textId="2DBDBA8A"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zvýšenie ročného registračného poplatku</w:t>
            </w:r>
          </w:p>
        </w:tc>
        <w:tc>
          <w:tcPr>
            <w:tcW w:w="992" w:type="dxa"/>
            <w:vAlign w:val="center"/>
          </w:tcPr>
          <w:p w14:paraId="3D9BE8B9" w14:textId="30C1ED81"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423/2015</w:t>
            </w:r>
          </w:p>
        </w:tc>
        <w:tc>
          <w:tcPr>
            <w:tcW w:w="1134" w:type="dxa"/>
            <w:vAlign w:val="center"/>
          </w:tcPr>
          <w:p w14:paraId="213BC9D1" w14:textId="01731264"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68 O: 7 P:d</w:t>
            </w:r>
          </w:p>
        </w:tc>
        <w:tc>
          <w:tcPr>
            <w:tcW w:w="1843" w:type="dxa"/>
            <w:shd w:val="clear" w:color="auto" w:fill="auto"/>
            <w:vAlign w:val="center"/>
          </w:tcPr>
          <w:p w14:paraId="0DBA0AC8" w14:textId="130BA5B7" w:rsidR="00354A95" w:rsidDel="00801596" w:rsidRDefault="00354A95" w:rsidP="00354A95">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14:paraId="353C4272" w14:textId="1588165A"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63CDD432" w14:textId="211E9C0A"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audítori, audítorské spoločnosti</w:t>
            </w:r>
          </w:p>
        </w:tc>
        <w:tc>
          <w:tcPr>
            <w:tcW w:w="1108" w:type="dxa"/>
            <w:vAlign w:val="center"/>
          </w:tcPr>
          <w:p w14:paraId="6A5278A0" w14:textId="08E34824"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xml:space="preserve">                  4 </w:t>
            </w:r>
          </w:p>
        </w:tc>
        <w:tc>
          <w:tcPr>
            <w:tcW w:w="851" w:type="dxa"/>
            <w:shd w:val="clear" w:color="auto" w:fill="auto"/>
            <w:noWrap/>
            <w:vAlign w:val="center"/>
          </w:tcPr>
          <w:p w14:paraId="78EA72A1" w14:textId="1F3C551F"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3 500</w:t>
            </w:r>
          </w:p>
        </w:tc>
        <w:tc>
          <w:tcPr>
            <w:tcW w:w="843" w:type="dxa"/>
            <w:shd w:val="clear" w:color="auto" w:fill="auto"/>
            <w:noWrap/>
            <w:vAlign w:val="center"/>
          </w:tcPr>
          <w:p w14:paraId="553C88E4" w14:textId="02D074DE"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14 000</w:t>
            </w:r>
          </w:p>
        </w:tc>
        <w:tc>
          <w:tcPr>
            <w:tcW w:w="1000" w:type="dxa"/>
            <w:shd w:val="clear" w:color="auto" w:fill="auto"/>
            <w:noWrap/>
            <w:vAlign w:val="center"/>
          </w:tcPr>
          <w:p w14:paraId="0E5C7D28" w14:textId="73235D79"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0D3A1158" w14:textId="761860E3"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sz w:val="20"/>
                <w:szCs w:val="20"/>
              </w:rPr>
              <w:t>14 000</w:t>
            </w:r>
          </w:p>
        </w:tc>
        <w:tc>
          <w:tcPr>
            <w:tcW w:w="1134" w:type="dxa"/>
            <w:vAlign w:val="center"/>
          </w:tcPr>
          <w:p w14:paraId="07B81E16" w14:textId="5EFD2CF5" w:rsidR="00354A95" w:rsidRPr="00895898" w:rsidRDefault="00354A95" w:rsidP="00354A95">
            <w:pPr>
              <w:spacing w:after="0" w:line="240" w:lineRule="auto"/>
              <w:rPr>
                <w:rFonts w:ascii="Times New Roman" w:eastAsia="Times New Roman" w:hAnsi="Times New Roman" w:cs="Times New Roman"/>
                <w:sz w:val="20"/>
                <w:szCs w:val="20"/>
                <w:lang w:eastAsia="sk-SK"/>
              </w:rPr>
            </w:pPr>
          </w:p>
        </w:tc>
      </w:tr>
      <w:tr w:rsidR="00354A95" w:rsidRPr="00895898" w14:paraId="06F7AE6D"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2D4AF052" w14:textId="4DB0E7A0"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14</w:t>
            </w:r>
          </w:p>
        </w:tc>
        <w:tc>
          <w:tcPr>
            <w:tcW w:w="1740" w:type="dxa"/>
            <w:shd w:val="clear" w:color="auto" w:fill="auto"/>
            <w:vAlign w:val="center"/>
          </w:tcPr>
          <w:p w14:paraId="2EF24AB7" w14:textId="60E20C15"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zníženie počtu hodín sústavného vzdelávania v oblasti udržateľnosti</w:t>
            </w:r>
          </w:p>
        </w:tc>
        <w:tc>
          <w:tcPr>
            <w:tcW w:w="992" w:type="dxa"/>
            <w:vAlign w:val="center"/>
          </w:tcPr>
          <w:p w14:paraId="2029088D" w14:textId="3CFC8445"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423/2015</w:t>
            </w:r>
          </w:p>
        </w:tc>
        <w:tc>
          <w:tcPr>
            <w:tcW w:w="1134" w:type="dxa"/>
            <w:vAlign w:val="center"/>
          </w:tcPr>
          <w:p w14:paraId="6139DA4B" w14:textId="2C6E6CBE"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31 O: 2</w:t>
            </w:r>
          </w:p>
        </w:tc>
        <w:tc>
          <w:tcPr>
            <w:tcW w:w="1843" w:type="dxa"/>
            <w:shd w:val="clear" w:color="auto" w:fill="auto"/>
            <w:vAlign w:val="center"/>
          </w:tcPr>
          <w:p w14:paraId="03785D9F" w14:textId="1721ED97" w:rsidR="00354A95" w:rsidDel="00801596" w:rsidRDefault="00354A95" w:rsidP="00354A95">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14:paraId="3BAC3F3B" w14:textId="3FE331F4"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5A028330" w14:textId="45A5181F"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 xml:space="preserve">audítori </w:t>
            </w:r>
          </w:p>
        </w:tc>
        <w:tc>
          <w:tcPr>
            <w:tcW w:w="1108" w:type="dxa"/>
            <w:vAlign w:val="center"/>
          </w:tcPr>
          <w:p w14:paraId="2D6FB097" w14:textId="045B3E13"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 xml:space="preserve">             252 </w:t>
            </w:r>
          </w:p>
        </w:tc>
        <w:tc>
          <w:tcPr>
            <w:tcW w:w="851" w:type="dxa"/>
            <w:shd w:val="clear" w:color="auto" w:fill="auto"/>
            <w:noWrap/>
            <w:vAlign w:val="center"/>
          </w:tcPr>
          <w:p w14:paraId="30D656C4" w14:textId="4AE42E89"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330</w:t>
            </w:r>
          </w:p>
        </w:tc>
        <w:tc>
          <w:tcPr>
            <w:tcW w:w="843" w:type="dxa"/>
            <w:shd w:val="clear" w:color="auto" w:fill="auto"/>
            <w:noWrap/>
            <w:vAlign w:val="center"/>
          </w:tcPr>
          <w:p w14:paraId="29CB62BD" w14:textId="021B9294"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color w:val="000000"/>
                <w:sz w:val="20"/>
                <w:szCs w:val="20"/>
              </w:rPr>
              <w:t>83 160</w:t>
            </w:r>
          </w:p>
        </w:tc>
        <w:tc>
          <w:tcPr>
            <w:tcW w:w="1000" w:type="dxa"/>
            <w:shd w:val="clear" w:color="auto" w:fill="auto"/>
            <w:noWrap/>
            <w:vAlign w:val="center"/>
          </w:tcPr>
          <w:p w14:paraId="7A97B5B6" w14:textId="132A6BA0" w:rsidR="00354A95" w:rsidRPr="00895898" w:rsidRDefault="00354A95" w:rsidP="00354A95">
            <w:pPr>
              <w:spacing w:after="0" w:line="240" w:lineRule="auto"/>
              <w:rPr>
                <w:rFonts w:ascii="Times New Roman" w:eastAsia="Times New Roman" w:hAnsi="Times New Roman" w:cs="Times New Roman"/>
                <w:sz w:val="20"/>
                <w:szCs w:val="20"/>
                <w:lang w:eastAsia="sk-SK"/>
              </w:rPr>
            </w:pPr>
            <w:r>
              <w:rPr>
                <w:color w:val="000000"/>
                <w:sz w:val="20"/>
                <w:szCs w:val="20"/>
              </w:rPr>
              <w:t>Out (znižuje náklady)</w:t>
            </w:r>
          </w:p>
        </w:tc>
        <w:tc>
          <w:tcPr>
            <w:tcW w:w="708" w:type="dxa"/>
            <w:shd w:val="clear" w:color="auto" w:fill="auto"/>
            <w:noWrap/>
            <w:vAlign w:val="center"/>
          </w:tcPr>
          <w:p w14:paraId="29230B24" w14:textId="1CC4F25C" w:rsidR="00354A95" w:rsidRPr="00895898" w:rsidRDefault="00354A95" w:rsidP="00354A95">
            <w:pPr>
              <w:spacing w:after="0" w:line="240" w:lineRule="auto"/>
              <w:rPr>
                <w:rFonts w:ascii="Times New Roman" w:eastAsia="Times New Roman" w:hAnsi="Times New Roman" w:cs="Times New Roman"/>
                <w:color w:val="000000"/>
                <w:sz w:val="20"/>
                <w:szCs w:val="20"/>
                <w:lang w:eastAsia="sk-SK"/>
              </w:rPr>
            </w:pPr>
            <w:r>
              <w:rPr>
                <w:sz w:val="20"/>
                <w:szCs w:val="20"/>
              </w:rPr>
              <w:t>83 160</w:t>
            </w:r>
          </w:p>
        </w:tc>
        <w:tc>
          <w:tcPr>
            <w:tcW w:w="1134" w:type="dxa"/>
            <w:vAlign w:val="center"/>
          </w:tcPr>
          <w:p w14:paraId="406F4004" w14:textId="2B58FA8E" w:rsidR="00354A95" w:rsidRPr="00895898" w:rsidRDefault="00354A95" w:rsidP="00354A95">
            <w:pPr>
              <w:spacing w:after="0" w:line="240" w:lineRule="auto"/>
              <w:rPr>
                <w:rFonts w:ascii="Times New Roman" w:eastAsia="Times New Roman" w:hAnsi="Times New Roman" w:cs="Times New Roman"/>
                <w:sz w:val="20"/>
                <w:szCs w:val="20"/>
                <w:lang w:eastAsia="sk-SK"/>
              </w:rPr>
            </w:pPr>
          </w:p>
        </w:tc>
      </w:tr>
      <w:tr w:rsidR="00503366" w:rsidRPr="00895898" w14:paraId="18AD03D4" w14:textId="77777777" w:rsidTr="007D3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BEA9306" w14:textId="00C7B446" w:rsidR="00503366" w:rsidRPr="00895898" w:rsidRDefault="007134D7" w:rsidP="00503366">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15</w:t>
            </w:r>
          </w:p>
        </w:tc>
        <w:tc>
          <w:tcPr>
            <w:tcW w:w="1740" w:type="dxa"/>
            <w:shd w:val="clear" w:color="auto" w:fill="auto"/>
            <w:vAlign w:val="center"/>
          </w:tcPr>
          <w:p w14:paraId="11170382" w14:textId="73F6202A" w:rsidR="00503366" w:rsidRPr="00895898" w:rsidRDefault="007134D7" w:rsidP="00503366">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zavedenie ročného príspevku</w:t>
            </w:r>
          </w:p>
        </w:tc>
        <w:tc>
          <w:tcPr>
            <w:tcW w:w="992" w:type="dxa"/>
            <w:vAlign w:val="center"/>
          </w:tcPr>
          <w:p w14:paraId="3AEE39CA" w14:textId="2F9B3282" w:rsidR="00503366" w:rsidRPr="00895898" w:rsidRDefault="007134D7" w:rsidP="00503366">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423/2015</w:t>
            </w:r>
          </w:p>
        </w:tc>
        <w:tc>
          <w:tcPr>
            <w:tcW w:w="1134" w:type="dxa"/>
            <w:vAlign w:val="center"/>
          </w:tcPr>
          <w:p w14:paraId="602BD0A0" w14:textId="5B1C6D70" w:rsidR="00503366" w:rsidRPr="00895898" w:rsidRDefault="007134D7" w:rsidP="00503366">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68 O: 3 P:d</w:t>
            </w:r>
          </w:p>
        </w:tc>
        <w:tc>
          <w:tcPr>
            <w:tcW w:w="1843" w:type="dxa"/>
            <w:shd w:val="clear" w:color="auto" w:fill="auto"/>
            <w:vAlign w:val="center"/>
          </w:tcPr>
          <w:p w14:paraId="0BEF6697" w14:textId="1146225D" w:rsidR="00503366" w:rsidDel="00801596" w:rsidRDefault="007134D7" w:rsidP="00503366">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1.SK</w:t>
            </w:r>
          </w:p>
        </w:tc>
        <w:tc>
          <w:tcPr>
            <w:tcW w:w="992" w:type="dxa"/>
            <w:vAlign w:val="center"/>
          </w:tcPr>
          <w:p w14:paraId="7A3F67DF" w14:textId="07062E77" w:rsidR="00503366" w:rsidRPr="00895898" w:rsidRDefault="007134D7" w:rsidP="00503366">
            <w:pPr>
              <w:spacing w:after="0" w:line="240" w:lineRule="auto"/>
              <w:rPr>
                <w:rFonts w:ascii="Times New Roman" w:eastAsia="Times New Roman" w:hAnsi="Times New Roman" w:cs="Times New Roman"/>
                <w:color w:val="000000"/>
                <w:sz w:val="20"/>
                <w:szCs w:val="20"/>
                <w:lang w:eastAsia="sk-SK"/>
              </w:rPr>
            </w:pPr>
            <w:r>
              <w:rPr>
                <w:color w:val="000000"/>
                <w:sz w:val="20"/>
                <w:szCs w:val="20"/>
              </w:rPr>
              <w:t>01.01.27</w:t>
            </w:r>
          </w:p>
        </w:tc>
        <w:tc>
          <w:tcPr>
            <w:tcW w:w="1160" w:type="dxa"/>
            <w:shd w:val="clear" w:color="auto" w:fill="auto"/>
            <w:noWrap/>
            <w:vAlign w:val="center"/>
          </w:tcPr>
          <w:p w14:paraId="6D80DEFA" w14:textId="0366BE91" w:rsidR="00503366" w:rsidRPr="00895898" w:rsidRDefault="007134D7" w:rsidP="00503366">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emitenti</w:t>
            </w:r>
          </w:p>
        </w:tc>
        <w:tc>
          <w:tcPr>
            <w:tcW w:w="1108" w:type="dxa"/>
            <w:vAlign w:val="center"/>
          </w:tcPr>
          <w:p w14:paraId="03F71E86" w14:textId="17A977D3" w:rsidR="00503366" w:rsidRPr="00895898" w:rsidRDefault="007134D7" w:rsidP="007134D7">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w:t>
            </w:r>
          </w:p>
        </w:tc>
        <w:tc>
          <w:tcPr>
            <w:tcW w:w="851" w:type="dxa"/>
            <w:shd w:val="clear" w:color="auto" w:fill="auto"/>
            <w:noWrap/>
            <w:vAlign w:val="center"/>
          </w:tcPr>
          <w:p w14:paraId="3A5ABE57" w14:textId="6B9DEF86" w:rsidR="00503366" w:rsidRPr="00895898" w:rsidRDefault="007134D7" w:rsidP="00503366">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6 600</w:t>
            </w:r>
          </w:p>
        </w:tc>
        <w:tc>
          <w:tcPr>
            <w:tcW w:w="843" w:type="dxa"/>
            <w:shd w:val="clear" w:color="auto" w:fill="auto"/>
            <w:noWrap/>
            <w:vAlign w:val="center"/>
          </w:tcPr>
          <w:p w14:paraId="4644EA45" w14:textId="081D9146" w:rsidR="00503366" w:rsidRPr="00895898" w:rsidRDefault="007134D7" w:rsidP="00503366">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26 400</w:t>
            </w:r>
          </w:p>
        </w:tc>
        <w:tc>
          <w:tcPr>
            <w:tcW w:w="1000" w:type="dxa"/>
            <w:shd w:val="clear" w:color="auto" w:fill="auto"/>
            <w:noWrap/>
            <w:vAlign w:val="center"/>
          </w:tcPr>
          <w:p w14:paraId="5CDC2AA9" w14:textId="4E6FD959" w:rsidR="00503366" w:rsidRPr="00895898" w:rsidRDefault="007134D7" w:rsidP="00503366">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055D8E2F" w14:textId="2398E851" w:rsidR="00503366" w:rsidRPr="00895898" w:rsidRDefault="007134D7" w:rsidP="00503366">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26 400</w:t>
            </w:r>
          </w:p>
        </w:tc>
        <w:tc>
          <w:tcPr>
            <w:tcW w:w="1134" w:type="dxa"/>
            <w:vAlign w:val="center"/>
          </w:tcPr>
          <w:p w14:paraId="71244D0E" w14:textId="74B03543" w:rsidR="00503366" w:rsidRPr="00895898" w:rsidRDefault="00503366" w:rsidP="00503366">
            <w:pPr>
              <w:spacing w:after="0" w:line="240" w:lineRule="auto"/>
              <w:rPr>
                <w:rFonts w:ascii="Times New Roman" w:eastAsia="Times New Roman" w:hAnsi="Times New Roman" w:cs="Times New Roman"/>
                <w:sz w:val="20"/>
                <w:szCs w:val="20"/>
                <w:lang w:eastAsia="sk-SK"/>
              </w:rPr>
            </w:pPr>
          </w:p>
        </w:tc>
      </w:tr>
    </w:tbl>
    <w:p w14:paraId="520734CD" w14:textId="77777777" w:rsidR="00054C41" w:rsidRPr="00895898" w:rsidRDefault="00054C41" w:rsidP="00054C41">
      <w:pPr>
        <w:jc w:val="both"/>
        <w:rPr>
          <w:rFonts w:ascii="Times New Roman" w:eastAsia="Calibri" w:hAnsi="Times New Roman" w:cs="Times New Roman"/>
          <w:i/>
        </w:rPr>
      </w:pPr>
    </w:p>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CE796AB" w:rsidR="00054C41"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3FB1450B" w14:textId="69450B93" w:rsidR="001E24E8" w:rsidRDefault="0025724D" w:rsidP="00054C41">
      <w:pPr>
        <w:jc w:val="both"/>
        <w:rPr>
          <w:rFonts w:ascii="Times New Roman" w:eastAsia="Calibri" w:hAnsi="Times New Roman" w:cs="Times New Roman"/>
          <w:iCs/>
          <w:sz w:val="24"/>
          <w:szCs w:val="24"/>
        </w:rPr>
      </w:pPr>
      <w:r w:rsidRPr="0025724D">
        <w:rPr>
          <w:rFonts w:ascii="Times New Roman" w:eastAsia="Calibri" w:hAnsi="Times New Roman" w:cs="Times New Roman"/>
          <w:iCs/>
          <w:sz w:val="24"/>
          <w:szCs w:val="24"/>
        </w:rPr>
        <w:t xml:space="preserve">Navrhovaný právny predpis je transpozíciou článkov 1 až 3 smernice Európskeho parlamentu a Rady (EÚ) 2026/470 z 24. februára 2026, ktorou sa menia smernice 2006/43/ES, 2013/34/EÚ, (EÚ) 2022/2464 a (EÚ) 2024/1760, pokiaľ ide o určité požiadavky na vykazovanie informácií o udržateľnosti podnikov a určité požiadavky na náležitú starostlivosť podnikov v oblasti udržateľnosti, ktoré sa týkajú oblasti vykazovania informácií o udržateľnosti (ďalej len „smernica </w:t>
      </w:r>
      <w:r w:rsidR="00337BD2">
        <w:rPr>
          <w:rFonts w:ascii="Times New Roman" w:eastAsia="Calibri" w:hAnsi="Times New Roman" w:cs="Times New Roman"/>
          <w:iCs/>
          <w:sz w:val="24"/>
          <w:szCs w:val="24"/>
        </w:rPr>
        <w:t xml:space="preserve">(EÚ) </w:t>
      </w:r>
      <w:r w:rsidRPr="0025724D">
        <w:rPr>
          <w:rFonts w:ascii="Times New Roman" w:eastAsia="Calibri" w:hAnsi="Times New Roman" w:cs="Times New Roman"/>
          <w:iCs/>
          <w:sz w:val="24"/>
          <w:szCs w:val="24"/>
        </w:rPr>
        <w:t>2026/470“).</w:t>
      </w:r>
      <w:r>
        <w:rPr>
          <w:rFonts w:ascii="Times New Roman" w:eastAsia="Calibri" w:hAnsi="Times New Roman" w:cs="Times New Roman"/>
          <w:iCs/>
          <w:sz w:val="24"/>
          <w:szCs w:val="24"/>
        </w:rPr>
        <w:t xml:space="preserve"> </w:t>
      </w:r>
      <w:r w:rsidRPr="0025724D">
        <w:rPr>
          <w:rFonts w:ascii="Times New Roman" w:eastAsia="Calibri" w:hAnsi="Times New Roman" w:cs="Times New Roman"/>
          <w:iCs/>
          <w:sz w:val="24"/>
          <w:szCs w:val="24"/>
        </w:rPr>
        <w:t xml:space="preserve">Prijatím smernice </w:t>
      </w:r>
      <w:r w:rsidR="00337BD2">
        <w:rPr>
          <w:rFonts w:ascii="Times New Roman" w:eastAsia="Calibri" w:hAnsi="Times New Roman" w:cs="Times New Roman"/>
          <w:iCs/>
          <w:sz w:val="24"/>
          <w:szCs w:val="24"/>
        </w:rPr>
        <w:t xml:space="preserve">(EÚ) </w:t>
      </w:r>
      <w:r w:rsidRPr="0025724D">
        <w:rPr>
          <w:rFonts w:ascii="Times New Roman" w:eastAsia="Calibri" w:hAnsi="Times New Roman" w:cs="Times New Roman"/>
          <w:iCs/>
          <w:sz w:val="24"/>
          <w:szCs w:val="24"/>
        </w:rPr>
        <w:t>2026/470 sa upravili veľkostné podmienky pre obchodné spoločnosti, ktorým vyplýva povinnosť vykazovania informácií o udržateľnosti, čím sa zníži počet povinných osôb.</w:t>
      </w:r>
    </w:p>
    <w:p w14:paraId="39199EA8" w14:textId="71BB565C" w:rsidR="006206B8" w:rsidRPr="00395252" w:rsidRDefault="006A4C0E" w:rsidP="00054C41">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K reguláciám 1 až 4: </w:t>
      </w:r>
      <w:r w:rsidR="006206B8" w:rsidRPr="00395252">
        <w:rPr>
          <w:rFonts w:ascii="Times New Roman" w:eastAsia="Calibri" w:hAnsi="Times New Roman" w:cs="Times New Roman"/>
          <w:iCs/>
          <w:sz w:val="24"/>
          <w:szCs w:val="24"/>
        </w:rPr>
        <w:t>Pri výpočte počtu povinných osôb sa vychádzalo z údajov z registra účtovných závierok. Účtovné jednotky boli rozdelené podľa jednotlivých kritérií vychádzajúcich zo smernice (EÚ) 2026/470, ktorých sa</w:t>
      </w:r>
      <w:r w:rsidR="00017150" w:rsidRPr="00395252">
        <w:rPr>
          <w:rFonts w:ascii="Times New Roman" w:eastAsia="Calibri" w:hAnsi="Times New Roman" w:cs="Times New Roman"/>
          <w:iCs/>
          <w:sz w:val="24"/>
          <w:szCs w:val="24"/>
        </w:rPr>
        <w:t xml:space="preserve"> ich</w:t>
      </w:r>
      <w:r w:rsidR="006206B8" w:rsidRPr="00395252">
        <w:rPr>
          <w:rFonts w:ascii="Times New Roman" w:eastAsia="Calibri" w:hAnsi="Times New Roman" w:cs="Times New Roman"/>
          <w:iCs/>
          <w:sz w:val="24"/>
          <w:szCs w:val="24"/>
        </w:rPr>
        <w:t xml:space="preserve"> už</w:t>
      </w:r>
      <w:r w:rsidR="0059616E" w:rsidRPr="00395252">
        <w:rPr>
          <w:rFonts w:ascii="Times New Roman" w:eastAsia="Calibri" w:hAnsi="Times New Roman" w:cs="Times New Roman"/>
          <w:iCs/>
          <w:sz w:val="24"/>
          <w:szCs w:val="24"/>
        </w:rPr>
        <w:t xml:space="preserve"> povinnosť</w:t>
      </w:r>
      <w:r w:rsidR="006206B8" w:rsidRPr="00395252">
        <w:rPr>
          <w:rFonts w:ascii="Times New Roman" w:eastAsia="Calibri" w:hAnsi="Times New Roman" w:cs="Times New Roman"/>
          <w:iCs/>
          <w:sz w:val="24"/>
          <w:szCs w:val="24"/>
        </w:rPr>
        <w:t xml:space="preserve"> nebude </w:t>
      </w:r>
      <w:r w:rsidR="0059616E" w:rsidRPr="00395252">
        <w:rPr>
          <w:rFonts w:ascii="Times New Roman" w:eastAsia="Calibri" w:hAnsi="Times New Roman" w:cs="Times New Roman"/>
          <w:iCs/>
          <w:sz w:val="24"/>
          <w:szCs w:val="24"/>
        </w:rPr>
        <w:t>týka</w:t>
      </w:r>
      <w:r w:rsidR="006206B8" w:rsidRPr="00395252">
        <w:rPr>
          <w:rFonts w:ascii="Times New Roman" w:eastAsia="Calibri" w:hAnsi="Times New Roman" w:cs="Times New Roman"/>
          <w:iCs/>
          <w:sz w:val="24"/>
          <w:szCs w:val="24"/>
        </w:rPr>
        <w:t xml:space="preserve">ť:  </w:t>
      </w:r>
    </w:p>
    <w:p w14:paraId="18D9F779" w14:textId="52914990" w:rsidR="00DD74AD" w:rsidRPr="00395252" w:rsidRDefault="006206B8" w:rsidP="006206B8">
      <w:pPr>
        <w:pStyle w:val="Odsekzoznamu"/>
        <w:numPr>
          <w:ilvl w:val="0"/>
          <w:numId w:val="15"/>
        </w:numPr>
        <w:jc w:val="both"/>
        <w:rPr>
          <w:rFonts w:ascii="Times New Roman" w:eastAsia="Calibri" w:hAnsi="Times New Roman" w:cs="Times New Roman"/>
          <w:iCs/>
          <w:sz w:val="24"/>
          <w:szCs w:val="24"/>
        </w:rPr>
      </w:pPr>
      <w:r w:rsidRPr="00395252">
        <w:rPr>
          <w:rFonts w:ascii="Times New Roman" w:eastAsia="Calibri" w:hAnsi="Times New Roman" w:cs="Times New Roman"/>
          <w:iCs/>
          <w:sz w:val="24"/>
          <w:szCs w:val="24"/>
        </w:rPr>
        <w:t>veľká účtovná jednotka spĺňajúca 2 z 3 kritérií: viac ako 250 zamestnancov, 25 mil. € majetku, 50 mil. € obrat</w:t>
      </w:r>
      <w:r w:rsidR="00017150" w:rsidRPr="00395252">
        <w:rPr>
          <w:rFonts w:ascii="Times New Roman" w:eastAsia="Calibri" w:hAnsi="Times New Roman" w:cs="Times New Roman"/>
          <w:iCs/>
          <w:sz w:val="24"/>
          <w:szCs w:val="24"/>
        </w:rPr>
        <w:t>,</w:t>
      </w:r>
    </w:p>
    <w:p w14:paraId="3A723D8B" w14:textId="203C1837" w:rsidR="006206B8" w:rsidRPr="00395252" w:rsidRDefault="00017150" w:rsidP="007D01F2">
      <w:pPr>
        <w:pStyle w:val="Odsekzoznamu"/>
        <w:numPr>
          <w:ilvl w:val="0"/>
          <w:numId w:val="15"/>
        </w:numPr>
        <w:jc w:val="both"/>
        <w:rPr>
          <w:rFonts w:ascii="Times New Roman" w:eastAsia="Calibri" w:hAnsi="Times New Roman" w:cs="Times New Roman"/>
          <w:iCs/>
          <w:sz w:val="24"/>
          <w:szCs w:val="24"/>
        </w:rPr>
      </w:pPr>
      <w:r w:rsidRPr="00395252">
        <w:rPr>
          <w:rFonts w:ascii="Times New Roman" w:eastAsia="Calibri" w:hAnsi="Times New Roman" w:cs="Times New Roman"/>
          <w:iCs/>
          <w:sz w:val="24"/>
          <w:szCs w:val="24"/>
        </w:rPr>
        <w:t>účtovná jednotka</w:t>
      </w:r>
      <w:r w:rsidR="006206B8" w:rsidRPr="00395252">
        <w:rPr>
          <w:rFonts w:ascii="Times New Roman" w:eastAsia="Calibri" w:hAnsi="Times New Roman" w:cs="Times New Roman"/>
          <w:iCs/>
          <w:sz w:val="24"/>
          <w:szCs w:val="24"/>
        </w:rPr>
        <w:t xml:space="preserve"> spĺňajúca 2 z 3 kritérií (kótovaný malý a stredný podnik) počet zamestnancov presiahol 50 a nepresiahol 250,  majetok presiahol 5 mil. € a nepresiahol 25 mil. €, obrat presiahol 10 mil. € a nepresiahol 50 mil. €</w:t>
      </w:r>
      <w:r w:rsidRPr="00395252">
        <w:rPr>
          <w:rFonts w:ascii="Times New Roman" w:eastAsia="Calibri" w:hAnsi="Times New Roman" w:cs="Times New Roman"/>
          <w:iCs/>
          <w:sz w:val="24"/>
          <w:szCs w:val="24"/>
        </w:rPr>
        <w:t>,</w:t>
      </w:r>
    </w:p>
    <w:p w14:paraId="3C79ADBA" w14:textId="7B01ED6A" w:rsidR="00017150" w:rsidRPr="00395252" w:rsidRDefault="00017150" w:rsidP="007D01F2">
      <w:pPr>
        <w:pStyle w:val="Odsekzoznamu"/>
        <w:numPr>
          <w:ilvl w:val="0"/>
          <w:numId w:val="15"/>
        </w:numPr>
        <w:jc w:val="both"/>
        <w:rPr>
          <w:rFonts w:ascii="Times New Roman" w:eastAsia="Calibri" w:hAnsi="Times New Roman" w:cs="Times New Roman"/>
          <w:iCs/>
          <w:sz w:val="24"/>
          <w:szCs w:val="24"/>
        </w:rPr>
      </w:pPr>
      <w:r w:rsidRPr="00395252">
        <w:rPr>
          <w:rFonts w:ascii="Times New Roman" w:eastAsia="Calibri" w:hAnsi="Times New Roman" w:cs="Times New Roman"/>
          <w:iCs/>
          <w:sz w:val="24"/>
          <w:szCs w:val="24"/>
        </w:rPr>
        <w:t>veľká účtovná jednotka, ktorá je zároveň subjektom verejného záujmu, počet zamestnancov presiahol  500  a nepresiahol 1000 a prekračuje 25 mil. € majetku alebo 50 mil. € obrat,</w:t>
      </w:r>
    </w:p>
    <w:p w14:paraId="13FDF5DE" w14:textId="4D971C5D" w:rsidR="00017150" w:rsidRPr="00395252" w:rsidRDefault="00017150" w:rsidP="007D01F2">
      <w:pPr>
        <w:pStyle w:val="Odsekzoznamu"/>
        <w:numPr>
          <w:ilvl w:val="0"/>
          <w:numId w:val="15"/>
        </w:numPr>
        <w:jc w:val="both"/>
        <w:rPr>
          <w:rFonts w:ascii="Times New Roman" w:eastAsia="Calibri" w:hAnsi="Times New Roman" w:cs="Times New Roman"/>
          <w:iCs/>
          <w:sz w:val="24"/>
          <w:szCs w:val="24"/>
        </w:rPr>
      </w:pPr>
      <w:r w:rsidRPr="00395252">
        <w:rPr>
          <w:rFonts w:ascii="Times New Roman" w:eastAsia="Calibri" w:hAnsi="Times New Roman" w:cs="Times New Roman"/>
          <w:iCs/>
          <w:sz w:val="24"/>
          <w:szCs w:val="24"/>
        </w:rPr>
        <w:t>materská účtovná jednotka veľkej skupiny  (počet zamestnancov presiahol 250 a nepresiahol 1000).</w:t>
      </w:r>
    </w:p>
    <w:p w14:paraId="08627B15" w14:textId="3218C6EE" w:rsidR="00DF3190" w:rsidRDefault="00DF3190" w:rsidP="00054C41">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V závislosti od veľkosti účtovnej jednotky a rozsahu jej aktivít sa podľa expertov z aplikačnej praxe počítalo, že na získavaní informácií a následnom </w:t>
      </w:r>
      <w:r w:rsidR="00A7668A">
        <w:rPr>
          <w:rFonts w:ascii="Times New Roman" w:eastAsia="Calibri" w:hAnsi="Times New Roman" w:cs="Times New Roman"/>
          <w:iCs/>
          <w:sz w:val="24"/>
          <w:szCs w:val="24"/>
        </w:rPr>
        <w:t xml:space="preserve">spracovaní </w:t>
      </w:r>
      <w:r>
        <w:rPr>
          <w:rFonts w:ascii="Times New Roman" w:eastAsia="Calibri" w:hAnsi="Times New Roman" w:cs="Times New Roman"/>
          <w:iCs/>
          <w:sz w:val="24"/>
          <w:szCs w:val="24"/>
        </w:rPr>
        <w:t>informácií o</w:t>
      </w:r>
      <w:r w:rsidR="00A7668A">
        <w:rPr>
          <w:rFonts w:ascii="Times New Roman" w:eastAsia="Calibri" w:hAnsi="Times New Roman" w:cs="Times New Roman"/>
          <w:iCs/>
          <w:sz w:val="24"/>
          <w:szCs w:val="24"/>
        </w:rPr>
        <w:t> </w:t>
      </w:r>
      <w:r>
        <w:rPr>
          <w:rFonts w:ascii="Times New Roman" w:eastAsia="Calibri" w:hAnsi="Times New Roman" w:cs="Times New Roman"/>
          <w:iCs/>
          <w:sz w:val="24"/>
          <w:szCs w:val="24"/>
        </w:rPr>
        <w:t>udržateľnosti</w:t>
      </w:r>
      <w:r w:rsidR="00A7668A">
        <w:rPr>
          <w:rFonts w:ascii="Times New Roman" w:eastAsia="Calibri" w:hAnsi="Times New Roman" w:cs="Times New Roman"/>
          <w:iCs/>
          <w:sz w:val="24"/>
          <w:szCs w:val="24"/>
        </w:rPr>
        <w:t>, audit</w:t>
      </w:r>
      <w:r w:rsidR="00744F8E">
        <w:rPr>
          <w:rFonts w:ascii="Times New Roman" w:eastAsia="Calibri" w:hAnsi="Times New Roman" w:cs="Times New Roman"/>
          <w:iCs/>
          <w:sz w:val="24"/>
          <w:szCs w:val="24"/>
        </w:rPr>
        <w:t>e informácií</w:t>
      </w:r>
      <w:r w:rsidR="00A7668A">
        <w:rPr>
          <w:rFonts w:ascii="Times New Roman" w:eastAsia="Calibri" w:hAnsi="Times New Roman" w:cs="Times New Roman"/>
          <w:iCs/>
          <w:sz w:val="24"/>
          <w:szCs w:val="24"/>
        </w:rPr>
        <w:t>, samotnom vykazovaní a zverejňovaní v registri účtovných závierok</w:t>
      </w:r>
      <w:r>
        <w:rPr>
          <w:rFonts w:ascii="Times New Roman" w:eastAsia="Calibri" w:hAnsi="Times New Roman" w:cs="Times New Roman"/>
          <w:iCs/>
          <w:sz w:val="24"/>
          <w:szCs w:val="24"/>
        </w:rPr>
        <w:t xml:space="preserve"> sú zapojení minimálne 3 zamestnanci</w:t>
      </w:r>
      <w:r w:rsidR="00A7668A">
        <w:rPr>
          <w:rFonts w:ascii="Times New Roman" w:eastAsia="Calibri" w:hAnsi="Times New Roman" w:cs="Times New Roman"/>
          <w:iCs/>
          <w:sz w:val="24"/>
          <w:szCs w:val="24"/>
        </w:rPr>
        <w:t xml:space="preserve"> zhruba</w:t>
      </w:r>
      <w:r>
        <w:rPr>
          <w:rFonts w:ascii="Times New Roman" w:eastAsia="Calibri" w:hAnsi="Times New Roman" w:cs="Times New Roman"/>
          <w:iCs/>
          <w:sz w:val="24"/>
          <w:szCs w:val="24"/>
        </w:rPr>
        <w:t xml:space="preserve"> </w:t>
      </w:r>
      <w:r w:rsidR="00A7668A">
        <w:rPr>
          <w:rFonts w:ascii="Times New Roman" w:eastAsia="Calibri" w:hAnsi="Times New Roman" w:cs="Times New Roman"/>
          <w:iCs/>
          <w:sz w:val="24"/>
          <w:szCs w:val="24"/>
        </w:rPr>
        <w:t xml:space="preserve">4 až 5 mesiacov. Z uvedených informácií bol výsledný expertný odhad v hodnote 150 000 minút.  </w:t>
      </w:r>
      <w:r>
        <w:rPr>
          <w:rFonts w:ascii="Times New Roman" w:eastAsia="Calibri" w:hAnsi="Times New Roman" w:cs="Times New Roman"/>
          <w:iCs/>
          <w:sz w:val="24"/>
          <w:szCs w:val="24"/>
        </w:rPr>
        <w:t xml:space="preserve">  </w:t>
      </w:r>
    </w:p>
    <w:p w14:paraId="2FEF1482" w14:textId="6EA40AC3" w:rsidR="0077196B" w:rsidRDefault="006A4C0E" w:rsidP="00054C41">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K reguláciám 5 až 13</w:t>
      </w:r>
      <w:r w:rsidR="007134D7">
        <w:rPr>
          <w:rFonts w:ascii="Times New Roman" w:eastAsia="Calibri" w:hAnsi="Times New Roman" w:cs="Times New Roman"/>
          <w:iCs/>
          <w:sz w:val="24"/>
          <w:szCs w:val="24"/>
        </w:rPr>
        <w:t xml:space="preserve"> a 15</w:t>
      </w:r>
      <w:r>
        <w:rPr>
          <w:rFonts w:ascii="Times New Roman" w:eastAsia="Calibri" w:hAnsi="Times New Roman" w:cs="Times New Roman"/>
          <w:iCs/>
          <w:sz w:val="24"/>
          <w:szCs w:val="24"/>
        </w:rPr>
        <w:t xml:space="preserve">: </w:t>
      </w:r>
      <w:r w:rsidR="0025724D">
        <w:rPr>
          <w:rFonts w:ascii="Times New Roman" w:eastAsia="Calibri" w:hAnsi="Times New Roman" w:cs="Times New Roman"/>
          <w:iCs/>
          <w:sz w:val="24"/>
          <w:szCs w:val="24"/>
        </w:rPr>
        <w:t xml:space="preserve">Vplyvy na podnikateľské prostredie boli identifikované </w:t>
      </w:r>
      <w:r w:rsidR="00017150">
        <w:rPr>
          <w:rFonts w:ascii="Times New Roman" w:eastAsia="Calibri" w:hAnsi="Times New Roman" w:cs="Times New Roman"/>
          <w:iCs/>
          <w:sz w:val="24"/>
          <w:szCs w:val="24"/>
        </w:rPr>
        <w:t xml:space="preserve">aj </w:t>
      </w:r>
      <w:r w:rsidR="0025724D">
        <w:rPr>
          <w:rFonts w:ascii="Times New Roman" w:eastAsia="Calibri" w:hAnsi="Times New Roman" w:cs="Times New Roman"/>
          <w:iCs/>
          <w:sz w:val="24"/>
          <w:szCs w:val="24"/>
        </w:rPr>
        <w:t>na základe úprav z aplikačnej praxe napr. zohľadnenia inflácie, konkrétne ide o zvýšenie poplatkov, ktoré sú hradené Úradu pre dohľad nad výkonom auditu.</w:t>
      </w:r>
      <w:r w:rsidR="0018572A">
        <w:rPr>
          <w:rFonts w:ascii="Times New Roman" w:eastAsia="Calibri" w:hAnsi="Times New Roman" w:cs="Times New Roman"/>
          <w:iCs/>
          <w:sz w:val="24"/>
          <w:szCs w:val="24"/>
        </w:rPr>
        <w:t xml:space="preserve"> </w:t>
      </w:r>
      <w:r w:rsidR="0018572A" w:rsidRPr="00863709">
        <w:rPr>
          <w:rFonts w:ascii="Times New Roman" w:eastAsia="Calibri" w:hAnsi="Times New Roman" w:cs="Times New Roman"/>
          <w:iCs/>
          <w:sz w:val="24"/>
          <w:szCs w:val="24"/>
        </w:rPr>
        <w:t xml:space="preserve">Nakoľko výška ročného príspevku a ročného registračného poplatku nebola od prijatia zákona č. 423/2015 Z. z. o štatutárnom audite a o zmene a doplnení zákona č. 431/2002 Z. z. o účtovníctve v znení neskorších predpisov (ďalej len „zákon o štatutárnom audite“) v roku 2015 menená, v nadväznosti na infláciu za posledné roky sa navrhuje úprava ich výšky o 10 % ich súčasnej hodnoty. </w:t>
      </w:r>
    </w:p>
    <w:p w14:paraId="2B73E47D" w14:textId="77777777" w:rsidR="007134D7" w:rsidRDefault="0018572A" w:rsidP="00054C41">
      <w:pPr>
        <w:jc w:val="both"/>
        <w:rPr>
          <w:rFonts w:ascii="Times New Roman" w:eastAsia="Calibri" w:hAnsi="Times New Roman" w:cs="Times New Roman"/>
          <w:iCs/>
          <w:sz w:val="24"/>
          <w:szCs w:val="24"/>
        </w:rPr>
      </w:pPr>
      <w:r w:rsidRPr="00863709">
        <w:rPr>
          <w:rFonts w:ascii="Times New Roman" w:eastAsia="Calibri" w:hAnsi="Times New Roman" w:cs="Times New Roman"/>
          <w:iCs/>
          <w:sz w:val="24"/>
          <w:szCs w:val="24"/>
        </w:rPr>
        <w:t>Pri výpočte sa vychádzalo z</w:t>
      </w:r>
      <w:r w:rsidR="00DD74AD">
        <w:rPr>
          <w:rFonts w:ascii="Times New Roman" w:eastAsia="Calibri" w:hAnsi="Times New Roman" w:cs="Times New Roman"/>
          <w:iCs/>
          <w:sz w:val="24"/>
          <w:szCs w:val="24"/>
        </w:rPr>
        <w:t>o zdrojov</w:t>
      </w:r>
      <w:r w:rsidRPr="00863709">
        <w:rPr>
          <w:rFonts w:ascii="Times New Roman" w:eastAsia="Calibri" w:hAnsi="Times New Roman" w:cs="Times New Roman"/>
          <w:iCs/>
          <w:sz w:val="24"/>
          <w:szCs w:val="24"/>
        </w:rPr>
        <w:t> údajov Úradu pre dohľad nad výkonom auditu a registra účtovných závierok.</w:t>
      </w:r>
      <w:r w:rsidR="00573FB1">
        <w:rPr>
          <w:rFonts w:ascii="Times New Roman" w:eastAsia="Calibri" w:hAnsi="Times New Roman" w:cs="Times New Roman"/>
          <w:iCs/>
          <w:sz w:val="24"/>
          <w:szCs w:val="24"/>
        </w:rPr>
        <w:t xml:space="preserve"> </w:t>
      </w:r>
      <w:r w:rsidR="00573FB1" w:rsidRPr="00A9186A">
        <w:rPr>
          <w:rFonts w:ascii="Times New Roman" w:eastAsia="Calibri" w:hAnsi="Times New Roman" w:cs="Times New Roman"/>
          <w:iCs/>
          <w:sz w:val="24"/>
          <w:szCs w:val="24"/>
        </w:rPr>
        <w:t>Jednotlivé položky pri zvýšení ročného príspevku a zvýšení ročného registračného poplatku</w:t>
      </w:r>
      <w:r w:rsidR="005E5F6A">
        <w:rPr>
          <w:rFonts w:ascii="Times New Roman" w:eastAsia="Calibri" w:hAnsi="Times New Roman" w:cs="Times New Roman"/>
          <w:iCs/>
          <w:sz w:val="24"/>
          <w:szCs w:val="24"/>
        </w:rPr>
        <w:t xml:space="preserve"> podľa </w:t>
      </w:r>
      <w:r w:rsidR="005E5F6A" w:rsidRPr="005E5F6A">
        <w:rPr>
          <w:rFonts w:ascii="Times New Roman" w:eastAsia="Calibri" w:hAnsi="Times New Roman" w:cs="Times New Roman"/>
          <w:iCs/>
          <w:sz w:val="24"/>
          <w:szCs w:val="24"/>
        </w:rPr>
        <w:t xml:space="preserve">§ 68 </w:t>
      </w:r>
      <w:r w:rsidR="005E5F6A">
        <w:rPr>
          <w:rFonts w:ascii="Times New Roman" w:eastAsia="Calibri" w:hAnsi="Times New Roman" w:cs="Times New Roman"/>
          <w:iCs/>
          <w:sz w:val="24"/>
          <w:szCs w:val="24"/>
        </w:rPr>
        <w:t>odsekov</w:t>
      </w:r>
      <w:r w:rsidR="005E5F6A" w:rsidRPr="005E5F6A">
        <w:rPr>
          <w:rFonts w:ascii="Times New Roman" w:eastAsia="Calibri" w:hAnsi="Times New Roman" w:cs="Times New Roman"/>
          <w:iCs/>
          <w:sz w:val="24"/>
          <w:szCs w:val="24"/>
        </w:rPr>
        <w:t xml:space="preserve"> 3</w:t>
      </w:r>
      <w:r w:rsidR="005E5F6A">
        <w:rPr>
          <w:rFonts w:ascii="Times New Roman" w:eastAsia="Calibri" w:hAnsi="Times New Roman" w:cs="Times New Roman"/>
          <w:iCs/>
          <w:sz w:val="24"/>
          <w:szCs w:val="24"/>
        </w:rPr>
        <w:t xml:space="preserve"> a 7</w:t>
      </w:r>
      <w:r w:rsidR="005E5F6A" w:rsidRPr="005E5F6A">
        <w:rPr>
          <w:rFonts w:ascii="Times New Roman" w:eastAsia="Calibri" w:hAnsi="Times New Roman" w:cs="Times New Roman"/>
          <w:iCs/>
          <w:sz w:val="24"/>
          <w:szCs w:val="24"/>
        </w:rPr>
        <w:t xml:space="preserve"> </w:t>
      </w:r>
      <w:r w:rsidR="005E5F6A">
        <w:rPr>
          <w:rFonts w:ascii="Times New Roman" w:eastAsia="Calibri" w:hAnsi="Times New Roman" w:cs="Times New Roman"/>
          <w:iCs/>
          <w:sz w:val="24"/>
          <w:szCs w:val="24"/>
        </w:rPr>
        <w:t>zákona o štatutárnom audite sú</w:t>
      </w:r>
      <w:r w:rsidR="00573FB1" w:rsidRPr="00A9186A">
        <w:rPr>
          <w:rFonts w:ascii="Times New Roman" w:eastAsia="Calibri" w:hAnsi="Times New Roman" w:cs="Times New Roman"/>
          <w:iCs/>
          <w:sz w:val="24"/>
          <w:szCs w:val="24"/>
        </w:rPr>
        <w:t xml:space="preserve"> upravené o hodnotu 10%</w:t>
      </w:r>
      <w:r w:rsidR="001A34C8">
        <w:rPr>
          <w:rFonts w:ascii="Times New Roman" w:eastAsia="Calibri" w:hAnsi="Times New Roman" w:cs="Times New Roman"/>
          <w:iCs/>
          <w:sz w:val="24"/>
          <w:szCs w:val="24"/>
        </w:rPr>
        <w:t>.</w:t>
      </w:r>
      <w:r w:rsidR="00D52618">
        <w:rPr>
          <w:rFonts w:ascii="Times New Roman" w:eastAsia="Calibri" w:hAnsi="Times New Roman" w:cs="Times New Roman"/>
          <w:iCs/>
          <w:sz w:val="24"/>
          <w:szCs w:val="24"/>
        </w:rPr>
        <w:t xml:space="preserve"> </w:t>
      </w:r>
    </w:p>
    <w:p w14:paraId="75BF0924" w14:textId="17C604EB" w:rsidR="00D52618" w:rsidRDefault="00676953" w:rsidP="00054C41">
      <w:pPr>
        <w:jc w:val="both"/>
        <w:rPr>
          <w:rFonts w:ascii="Times New Roman" w:eastAsia="Calibri" w:hAnsi="Times New Roman" w:cs="Times New Roman"/>
          <w:iCs/>
          <w:sz w:val="24"/>
          <w:szCs w:val="24"/>
        </w:rPr>
      </w:pPr>
      <w:r w:rsidRPr="00676953">
        <w:rPr>
          <w:rFonts w:ascii="Times New Roman" w:eastAsia="Calibri" w:hAnsi="Times New Roman" w:cs="Times New Roman"/>
          <w:iCs/>
          <w:sz w:val="24"/>
          <w:szCs w:val="24"/>
        </w:rPr>
        <w:t>U</w:t>
      </w:r>
      <w:r w:rsidR="00944297" w:rsidRPr="00676953">
        <w:rPr>
          <w:rFonts w:ascii="Times New Roman" w:eastAsia="Calibri" w:hAnsi="Times New Roman" w:cs="Times New Roman"/>
          <w:iCs/>
          <w:sz w:val="24"/>
          <w:szCs w:val="24"/>
        </w:rPr>
        <w:t xml:space="preserve">pravuje </w:t>
      </w:r>
      <w:r w:rsidRPr="00676953">
        <w:rPr>
          <w:rFonts w:ascii="Times New Roman" w:eastAsia="Calibri" w:hAnsi="Times New Roman" w:cs="Times New Roman"/>
          <w:iCs/>
          <w:sz w:val="24"/>
          <w:szCs w:val="24"/>
        </w:rPr>
        <w:t xml:space="preserve">sa </w:t>
      </w:r>
      <w:r w:rsidR="00944297" w:rsidRPr="00676953">
        <w:rPr>
          <w:rFonts w:ascii="Times New Roman" w:eastAsia="Calibri" w:hAnsi="Times New Roman" w:cs="Times New Roman"/>
          <w:iCs/>
          <w:sz w:val="24"/>
          <w:szCs w:val="24"/>
        </w:rPr>
        <w:t>ustanovenie k plateniu</w:t>
      </w:r>
      <w:r w:rsidR="00BD04CF" w:rsidRPr="00676953">
        <w:rPr>
          <w:rFonts w:ascii="Times New Roman" w:eastAsia="Calibri" w:hAnsi="Times New Roman" w:cs="Times New Roman"/>
          <w:iCs/>
          <w:sz w:val="24"/>
          <w:szCs w:val="24"/>
        </w:rPr>
        <w:t xml:space="preserve"> ročného</w:t>
      </w:r>
      <w:r w:rsidR="00BD04CF" w:rsidRPr="00A9186A">
        <w:rPr>
          <w:rFonts w:ascii="Times New Roman" w:eastAsia="Calibri" w:hAnsi="Times New Roman" w:cs="Times New Roman"/>
          <w:iCs/>
          <w:sz w:val="24"/>
          <w:szCs w:val="24"/>
        </w:rPr>
        <w:t xml:space="preserve"> príspevku pre emitentov</w:t>
      </w:r>
      <w:r w:rsidR="00573FB1" w:rsidRPr="00A9186A">
        <w:rPr>
          <w:rFonts w:ascii="Times New Roman" w:eastAsia="Calibri" w:hAnsi="Times New Roman" w:cs="Times New Roman"/>
          <w:iCs/>
          <w:sz w:val="24"/>
          <w:szCs w:val="24"/>
        </w:rPr>
        <w:t xml:space="preserve"> </w:t>
      </w:r>
      <w:r w:rsidR="00BD04CF" w:rsidRPr="00A9186A">
        <w:rPr>
          <w:rFonts w:ascii="Times New Roman" w:eastAsia="Calibri" w:hAnsi="Times New Roman" w:cs="Times New Roman"/>
          <w:iCs/>
          <w:sz w:val="24"/>
          <w:szCs w:val="24"/>
        </w:rPr>
        <w:t>cenných papierov</w:t>
      </w:r>
      <w:r w:rsidR="001A34C8">
        <w:rPr>
          <w:rFonts w:ascii="Times New Roman" w:eastAsia="Calibri" w:hAnsi="Times New Roman" w:cs="Times New Roman"/>
          <w:iCs/>
          <w:sz w:val="24"/>
          <w:szCs w:val="24"/>
        </w:rPr>
        <w:t>,</w:t>
      </w:r>
      <w:r w:rsidR="001A34C8" w:rsidRPr="001A34C8">
        <w:t xml:space="preserve"> </w:t>
      </w:r>
      <w:r w:rsidR="001A34C8" w:rsidRPr="001A34C8">
        <w:rPr>
          <w:rFonts w:ascii="Times New Roman" w:eastAsia="Calibri" w:hAnsi="Times New Roman" w:cs="Times New Roman"/>
          <w:iCs/>
          <w:sz w:val="24"/>
          <w:szCs w:val="24"/>
        </w:rPr>
        <w:t xml:space="preserve">ktoré boli prijaté na obchodovanie na regulovanom trhu ktoréhokoľvek členského štátu, ak spĺňajú </w:t>
      </w:r>
      <w:r w:rsidR="001A34C8" w:rsidRPr="001A34C8">
        <w:rPr>
          <w:rFonts w:ascii="Times New Roman" w:eastAsia="Calibri" w:hAnsi="Times New Roman" w:cs="Times New Roman"/>
          <w:iCs/>
          <w:sz w:val="24"/>
          <w:szCs w:val="24"/>
        </w:rPr>
        <w:lastRenderedPageBreak/>
        <w:t xml:space="preserve">veľkostné podmienky podľa § 2 ods. 15 písm. f) prvého bodu zákona o štatutárnom audite. Cieľom je zabezpečiť jednotný prístup k veľkým obchodným spoločnostiam spĺňajúcim uvedené kritériá bez ohľadu na to, či sú emitentmi alebo nie. </w:t>
      </w:r>
    </w:p>
    <w:p w14:paraId="1D40EAA8" w14:textId="5E6E8BFB" w:rsidR="00851A53" w:rsidRPr="00A9186A" w:rsidRDefault="001A34C8" w:rsidP="00054C41">
      <w:pPr>
        <w:jc w:val="both"/>
        <w:rPr>
          <w:rFonts w:ascii="Times New Roman" w:eastAsia="Calibri" w:hAnsi="Times New Roman" w:cs="Times New Roman"/>
          <w:iCs/>
          <w:sz w:val="24"/>
          <w:szCs w:val="24"/>
        </w:rPr>
      </w:pPr>
      <w:r w:rsidRPr="001A34C8">
        <w:rPr>
          <w:rFonts w:ascii="Times New Roman" w:eastAsia="Calibri" w:hAnsi="Times New Roman" w:cs="Times New Roman"/>
          <w:iCs/>
          <w:sz w:val="24"/>
          <w:szCs w:val="24"/>
        </w:rPr>
        <w:t>Uvedené rešpektuje nastavený kombinovaný spôsob financovania úradu z viacerých zdrojov s cieľom zabezpečiť jeho nezávislosť potrebnú na plnenie jeho úloh.</w:t>
      </w:r>
      <w:r>
        <w:rPr>
          <w:rFonts w:ascii="Times New Roman" w:eastAsia="Calibri" w:hAnsi="Times New Roman" w:cs="Times New Roman"/>
          <w:iCs/>
          <w:sz w:val="24"/>
          <w:szCs w:val="24"/>
        </w:rPr>
        <w:t xml:space="preserve"> V</w:t>
      </w:r>
      <w:r w:rsidR="00573FB1" w:rsidRPr="00A9186A">
        <w:rPr>
          <w:rFonts w:ascii="Times New Roman" w:eastAsia="Calibri" w:hAnsi="Times New Roman" w:cs="Times New Roman"/>
          <w:iCs/>
          <w:sz w:val="24"/>
          <w:szCs w:val="24"/>
        </w:rPr>
        <w:t> sumáre predstavuj</w:t>
      </w:r>
      <w:r>
        <w:rPr>
          <w:rFonts w:ascii="Times New Roman" w:eastAsia="Calibri" w:hAnsi="Times New Roman" w:cs="Times New Roman"/>
          <w:iCs/>
          <w:sz w:val="24"/>
          <w:szCs w:val="24"/>
        </w:rPr>
        <w:t>e</w:t>
      </w:r>
      <w:r w:rsidR="00573FB1" w:rsidRPr="00A9186A">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 xml:space="preserve">toto </w:t>
      </w:r>
      <w:r w:rsidR="00573FB1" w:rsidRPr="00A9186A">
        <w:rPr>
          <w:rFonts w:ascii="Times New Roman" w:eastAsia="Calibri" w:hAnsi="Times New Roman" w:cs="Times New Roman"/>
          <w:iCs/>
          <w:sz w:val="24"/>
          <w:szCs w:val="24"/>
        </w:rPr>
        <w:t xml:space="preserve">navýšenie </w:t>
      </w:r>
      <w:r w:rsidR="00466DA9" w:rsidRPr="00A9186A">
        <w:rPr>
          <w:rFonts w:ascii="Times New Roman" w:eastAsia="Calibri" w:hAnsi="Times New Roman" w:cs="Times New Roman"/>
          <w:iCs/>
          <w:sz w:val="24"/>
          <w:szCs w:val="24"/>
        </w:rPr>
        <w:t xml:space="preserve">finančných </w:t>
      </w:r>
      <w:r w:rsidR="00573FB1" w:rsidRPr="00A9186A">
        <w:rPr>
          <w:rFonts w:ascii="Times New Roman" w:eastAsia="Calibri" w:hAnsi="Times New Roman" w:cs="Times New Roman"/>
          <w:iCs/>
          <w:sz w:val="24"/>
          <w:szCs w:val="24"/>
        </w:rPr>
        <w:t xml:space="preserve">zdrojov </w:t>
      </w:r>
      <w:r w:rsidR="00466DA9" w:rsidRPr="00A9186A">
        <w:rPr>
          <w:rFonts w:ascii="Times New Roman" w:eastAsia="Calibri" w:hAnsi="Times New Roman" w:cs="Times New Roman"/>
          <w:iCs/>
          <w:sz w:val="24"/>
          <w:szCs w:val="24"/>
        </w:rPr>
        <w:t xml:space="preserve">Úradu pre dohľad nad výkonom auditu </w:t>
      </w:r>
      <w:r w:rsidRPr="00676953">
        <w:rPr>
          <w:rFonts w:ascii="Times New Roman" w:eastAsia="Calibri" w:hAnsi="Times New Roman" w:cs="Times New Roman"/>
          <w:iCs/>
          <w:sz w:val="24"/>
          <w:szCs w:val="24"/>
        </w:rPr>
        <w:t>h</w:t>
      </w:r>
      <w:r w:rsidR="00466DA9" w:rsidRPr="00676953">
        <w:rPr>
          <w:rFonts w:ascii="Times New Roman" w:eastAsia="Calibri" w:hAnsi="Times New Roman" w:cs="Times New Roman"/>
          <w:iCs/>
          <w:sz w:val="24"/>
          <w:szCs w:val="24"/>
        </w:rPr>
        <w:t>o</w:t>
      </w:r>
      <w:r w:rsidRPr="00676953">
        <w:rPr>
          <w:rFonts w:ascii="Times New Roman" w:eastAsia="Calibri" w:hAnsi="Times New Roman" w:cs="Times New Roman"/>
          <w:iCs/>
          <w:sz w:val="24"/>
          <w:szCs w:val="24"/>
        </w:rPr>
        <w:t>dnotu</w:t>
      </w:r>
      <w:r w:rsidR="00466DA9" w:rsidRPr="00676953">
        <w:rPr>
          <w:rFonts w:ascii="Times New Roman" w:eastAsia="Calibri" w:hAnsi="Times New Roman" w:cs="Times New Roman"/>
          <w:iCs/>
          <w:sz w:val="24"/>
          <w:szCs w:val="24"/>
        </w:rPr>
        <w:t xml:space="preserve"> 1</w:t>
      </w:r>
      <w:r w:rsidR="007134D7" w:rsidRPr="00676953">
        <w:rPr>
          <w:rFonts w:ascii="Times New Roman" w:eastAsia="Calibri" w:hAnsi="Times New Roman" w:cs="Times New Roman"/>
          <w:iCs/>
          <w:sz w:val="24"/>
          <w:szCs w:val="24"/>
        </w:rPr>
        <w:t>35</w:t>
      </w:r>
      <w:r w:rsidR="00466DA9" w:rsidRPr="00676953">
        <w:rPr>
          <w:rFonts w:ascii="Times New Roman" w:eastAsia="Calibri" w:hAnsi="Times New Roman" w:cs="Times New Roman"/>
          <w:iCs/>
          <w:sz w:val="24"/>
          <w:szCs w:val="24"/>
        </w:rPr>
        <w:t> </w:t>
      </w:r>
      <w:r w:rsidR="007134D7" w:rsidRPr="00676953">
        <w:rPr>
          <w:rFonts w:ascii="Times New Roman" w:eastAsia="Calibri" w:hAnsi="Times New Roman" w:cs="Times New Roman"/>
          <w:iCs/>
          <w:sz w:val="24"/>
          <w:szCs w:val="24"/>
        </w:rPr>
        <w:t>6</w:t>
      </w:r>
      <w:r w:rsidR="00466DA9" w:rsidRPr="00676953">
        <w:rPr>
          <w:rFonts w:ascii="Times New Roman" w:eastAsia="Calibri" w:hAnsi="Times New Roman" w:cs="Times New Roman"/>
          <w:iCs/>
          <w:sz w:val="24"/>
          <w:szCs w:val="24"/>
        </w:rPr>
        <w:t>50 eur.</w:t>
      </w:r>
    </w:p>
    <w:p w14:paraId="48DA661D" w14:textId="23DD9A70" w:rsidR="0025724D" w:rsidRDefault="006A4C0E" w:rsidP="00054C41">
      <w:pPr>
        <w:jc w:val="both"/>
        <w:rPr>
          <w:rFonts w:ascii="Times New Roman" w:hAnsi="Times New Roman"/>
          <w:sz w:val="24"/>
          <w:szCs w:val="24"/>
        </w:rPr>
      </w:pPr>
      <w:r>
        <w:rPr>
          <w:rFonts w:ascii="Times New Roman" w:eastAsia="Calibri" w:hAnsi="Times New Roman" w:cs="Times New Roman"/>
          <w:iCs/>
          <w:sz w:val="24"/>
          <w:szCs w:val="24"/>
        </w:rPr>
        <w:t xml:space="preserve">K regulácii 14: </w:t>
      </w:r>
      <w:r w:rsidR="00851A53" w:rsidRPr="00A9186A">
        <w:rPr>
          <w:rFonts w:ascii="Times New Roman" w:eastAsia="Calibri" w:hAnsi="Times New Roman" w:cs="Times New Roman"/>
          <w:iCs/>
          <w:sz w:val="24"/>
          <w:szCs w:val="24"/>
        </w:rPr>
        <w:t>Na základe údajov z Úradu pre dohľad nad výkonom auditu</w:t>
      </w:r>
      <w:r w:rsidR="00851A53" w:rsidRPr="00395252">
        <w:rPr>
          <w:rFonts w:ascii="Times New Roman" w:eastAsia="Calibri" w:hAnsi="Times New Roman" w:cs="Times New Roman"/>
          <w:iCs/>
          <w:sz w:val="24"/>
          <w:szCs w:val="24"/>
        </w:rPr>
        <w:t xml:space="preserve"> </w:t>
      </w:r>
      <w:r w:rsidR="00573FB1" w:rsidRPr="00395252">
        <w:rPr>
          <w:rFonts w:ascii="Times New Roman" w:eastAsia="Calibri" w:hAnsi="Times New Roman" w:cs="Times New Roman"/>
          <w:iCs/>
          <w:sz w:val="24"/>
          <w:szCs w:val="24"/>
        </w:rPr>
        <w:t xml:space="preserve">k počtu audítorov, ktorých </w:t>
      </w:r>
      <w:r w:rsidR="00851A53" w:rsidRPr="00395252">
        <w:rPr>
          <w:rFonts w:ascii="Times New Roman" w:eastAsia="Calibri" w:hAnsi="Times New Roman" w:cs="Times New Roman"/>
          <w:iCs/>
          <w:sz w:val="24"/>
          <w:szCs w:val="24"/>
        </w:rPr>
        <w:t>sa</w:t>
      </w:r>
      <w:r w:rsidR="00573FB1" w:rsidRPr="00395252">
        <w:rPr>
          <w:rFonts w:ascii="Times New Roman" w:eastAsia="Calibri" w:hAnsi="Times New Roman" w:cs="Times New Roman"/>
          <w:iCs/>
          <w:sz w:val="24"/>
          <w:szCs w:val="24"/>
        </w:rPr>
        <w:t xml:space="preserve"> dotkne regulácia povinného vzdelávania</w:t>
      </w:r>
      <w:r w:rsidR="00727E3A" w:rsidRPr="00395252">
        <w:rPr>
          <w:rFonts w:ascii="Times New Roman" w:eastAsia="Calibri" w:hAnsi="Times New Roman" w:cs="Times New Roman"/>
          <w:iCs/>
          <w:sz w:val="24"/>
          <w:szCs w:val="24"/>
        </w:rPr>
        <w:t xml:space="preserve"> a z</w:t>
      </w:r>
      <w:r w:rsidR="00573FB1" w:rsidRPr="00395252">
        <w:rPr>
          <w:rFonts w:ascii="Times New Roman" w:hAnsi="Times New Roman"/>
          <w:sz w:val="24"/>
          <w:szCs w:val="24"/>
        </w:rPr>
        <w:t>níženi</w:t>
      </w:r>
      <w:r w:rsidR="00727E3A" w:rsidRPr="00395252">
        <w:rPr>
          <w:rFonts w:ascii="Times New Roman" w:hAnsi="Times New Roman"/>
          <w:sz w:val="24"/>
          <w:szCs w:val="24"/>
        </w:rPr>
        <w:t>a</w:t>
      </w:r>
      <w:r w:rsidR="00573FB1" w:rsidRPr="00395252">
        <w:rPr>
          <w:rFonts w:ascii="Times New Roman" w:hAnsi="Times New Roman"/>
          <w:sz w:val="24"/>
          <w:szCs w:val="24"/>
        </w:rPr>
        <w:t xml:space="preserve"> počtu hodín praktickej odbornej prípravy zameranej na oblasť uistenia v oblasti vykazovania informácií o udržateľnosti alebo iných služieb súvisiacich s udržateľnosťou a počtu hodín sústavného vzdelávania v oblasti udržateľnosti zároveň zodpovedá aj zrušeniu zjednodušených štandardov a sektorovo špecifických štandardov v oblasti vykazovania informácií o udržateľnosti v nadväznosti na čl. 2 ods. 6 a 7 smernice (EÚ) 2026/470 a očakávanej výraznej revízii ESRS štandardov, v dôsledku ktorej dôjde k významnému zníženiu počtu vykazovaných informácií, ktoré sú predmetom uistenia</w:t>
      </w:r>
      <w:r w:rsidR="00727E3A" w:rsidRPr="00395252">
        <w:rPr>
          <w:rFonts w:ascii="Times New Roman" w:hAnsi="Times New Roman"/>
          <w:sz w:val="24"/>
          <w:szCs w:val="24"/>
        </w:rPr>
        <w:t>,</w:t>
      </w:r>
      <w:r w:rsidR="00573FB1" w:rsidRPr="00395252">
        <w:rPr>
          <w:rFonts w:ascii="Times New Roman" w:hAnsi="Times New Roman"/>
          <w:sz w:val="24"/>
          <w:szCs w:val="24"/>
        </w:rPr>
        <w:t xml:space="preserve"> sa znižuje regulácia v</w:t>
      </w:r>
      <w:r w:rsidR="001D605F" w:rsidRPr="00395252">
        <w:rPr>
          <w:rFonts w:ascii="Times New Roman" w:hAnsi="Times New Roman"/>
          <w:sz w:val="24"/>
          <w:szCs w:val="24"/>
        </w:rPr>
        <w:t xml:space="preserve"> celkovej </w:t>
      </w:r>
      <w:r w:rsidR="00573FB1" w:rsidRPr="00395252">
        <w:rPr>
          <w:rFonts w:ascii="Times New Roman" w:hAnsi="Times New Roman"/>
          <w:sz w:val="24"/>
          <w:szCs w:val="24"/>
        </w:rPr>
        <w:t xml:space="preserve">hodnote 83 160 </w:t>
      </w:r>
      <w:r w:rsidR="00466DA9" w:rsidRPr="00395252">
        <w:rPr>
          <w:rFonts w:ascii="Times New Roman" w:hAnsi="Times New Roman"/>
          <w:sz w:val="24"/>
          <w:szCs w:val="24"/>
        </w:rPr>
        <w:t>eur</w:t>
      </w:r>
      <w:r w:rsidR="00573FB1" w:rsidRPr="00395252">
        <w:rPr>
          <w:rFonts w:ascii="Times New Roman" w:hAnsi="Times New Roman"/>
          <w:sz w:val="24"/>
          <w:szCs w:val="24"/>
        </w:rPr>
        <w:t>.</w:t>
      </w:r>
    </w:p>
    <w:p w14:paraId="6DB4D680" w14:textId="77777777" w:rsidR="00573FB1" w:rsidRPr="00851A53" w:rsidRDefault="00573FB1" w:rsidP="00054C41">
      <w:pPr>
        <w:jc w:val="both"/>
        <w:rPr>
          <w:rFonts w:ascii="Times New Roman" w:eastAsia="Calibri" w:hAnsi="Times New Roman" w:cs="Times New Roman"/>
          <w:iCs/>
          <w:sz w:val="24"/>
          <w:szCs w:val="24"/>
        </w:rPr>
      </w:pP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goldplating</w:t>
      </w:r>
      <w:r w:rsidR="0016512E">
        <w:rPr>
          <w:rFonts w:ascii="Times New Roman" w:eastAsia="Calibri" w:hAnsi="Times New Roman" w:cs="Times New Roman"/>
          <w:b/>
          <w:bCs/>
          <w:i/>
          <w:sz w:val="24"/>
          <w:szCs w:val="24"/>
          <w:u w:val="single"/>
        </w:rPr>
        <w:t>u</w:t>
      </w:r>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535CABE4" w14:textId="34D47DC7" w:rsidR="00D114ED" w:rsidRPr="001E4572" w:rsidRDefault="001E4572" w:rsidP="00751DA9">
      <w:pPr>
        <w:jc w:val="both"/>
        <w:rPr>
          <w:rFonts w:ascii="Times New Roman" w:eastAsia="Calibri" w:hAnsi="Times New Roman" w:cs="Times New Roman"/>
          <w:bCs/>
          <w:i/>
          <w:iCs/>
          <w:sz w:val="24"/>
          <w:szCs w:val="24"/>
        </w:rPr>
      </w:pPr>
      <w:r w:rsidRPr="001E4572">
        <w:rPr>
          <w:rFonts w:ascii="Times New Roman" w:hAnsi="Times New Roman" w:cs="Times New Roman"/>
          <w:sz w:val="24"/>
          <w:szCs w:val="24"/>
        </w:rPr>
        <w:t xml:space="preserve">V súlade s čl. </w:t>
      </w:r>
      <w:r w:rsidR="00ED087F">
        <w:rPr>
          <w:rFonts w:ascii="Times New Roman" w:hAnsi="Times New Roman" w:cs="Times New Roman"/>
          <w:sz w:val="24"/>
          <w:szCs w:val="24"/>
        </w:rPr>
        <w:t>9</w:t>
      </w:r>
      <w:r w:rsidRPr="001E4572">
        <w:rPr>
          <w:rFonts w:ascii="Times New Roman" w:hAnsi="Times New Roman" w:cs="Times New Roman"/>
          <w:sz w:val="24"/>
          <w:szCs w:val="24"/>
        </w:rPr>
        <w:t xml:space="preserve"> ods. 9 Legislatívnych pravidiel vlády</w:t>
      </w:r>
      <w:r w:rsidR="00C34B1F">
        <w:rPr>
          <w:rFonts w:ascii="Times New Roman" w:hAnsi="Times New Roman" w:cs="Times New Roman"/>
          <w:sz w:val="24"/>
          <w:szCs w:val="24"/>
        </w:rPr>
        <w:t xml:space="preserve"> SR,</w:t>
      </w:r>
      <w:r w:rsidRPr="001E4572">
        <w:rPr>
          <w:rFonts w:ascii="Times New Roman" w:hAnsi="Times New Roman" w:cs="Times New Roman"/>
          <w:sz w:val="24"/>
          <w:szCs w:val="24"/>
        </w:rPr>
        <w:t xml:space="preserve"> ak návrh zákona upravuje právne vzťahy, ktoré sú viazané na začiatok opakujúceho sa časového obdobia, napríklad rozpočtový rok, účtovný rok, je potrebné navrhnúť, ak je to možné, deň nadobudnutia účinnosti takého návrhu zákona na začiatok príslušného obdobia. Navrhuje sa skoršia účinnosť ako je transpozičná lehota (19. marec 2027), a to 1. január 2027, v nadväznosti na smernicou </w:t>
      </w:r>
      <w:r w:rsidR="00052179">
        <w:rPr>
          <w:rFonts w:ascii="Times New Roman" w:hAnsi="Times New Roman" w:cs="Times New Roman"/>
          <w:sz w:val="24"/>
          <w:szCs w:val="24"/>
        </w:rPr>
        <w:t xml:space="preserve">(EÚ) 2026/470 </w:t>
      </w:r>
      <w:r w:rsidRPr="001E4572">
        <w:rPr>
          <w:rFonts w:ascii="Times New Roman" w:hAnsi="Times New Roman" w:cs="Times New Roman"/>
          <w:sz w:val="24"/>
          <w:szCs w:val="24"/>
        </w:rPr>
        <w:t xml:space="preserve">ustanovený nový rozsah účtovných jednotiek s povinnosťou vykazovania informácií o udržateľnosti (čl. 2  </w:t>
      </w:r>
      <w:r w:rsidR="00337BD2">
        <w:rPr>
          <w:rFonts w:ascii="Times New Roman" w:hAnsi="Times New Roman" w:cs="Times New Roman"/>
          <w:sz w:val="24"/>
          <w:szCs w:val="24"/>
        </w:rPr>
        <w:t>o</w:t>
      </w:r>
      <w:r w:rsidRPr="001E4572">
        <w:rPr>
          <w:rFonts w:ascii="Times New Roman" w:hAnsi="Times New Roman" w:cs="Times New Roman"/>
          <w:sz w:val="24"/>
          <w:szCs w:val="24"/>
        </w:rPr>
        <w:t>d</w:t>
      </w:r>
      <w:r w:rsidR="00337BD2">
        <w:rPr>
          <w:rFonts w:ascii="Times New Roman" w:hAnsi="Times New Roman" w:cs="Times New Roman"/>
          <w:sz w:val="24"/>
          <w:szCs w:val="24"/>
        </w:rPr>
        <w:t>s.</w:t>
      </w:r>
      <w:r w:rsidRPr="001E4572">
        <w:rPr>
          <w:rFonts w:ascii="Times New Roman" w:hAnsi="Times New Roman" w:cs="Times New Roman"/>
          <w:sz w:val="24"/>
          <w:szCs w:val="24"/>
        </w:rPr>
        <w:t xml:space="preserve"> 4 a</w:t>
      </w:r>
      <w:r w:rsidR="00C34B1F">
        <w:rPr>
          <w:rFonts w:ascii="Times New Roman" w:hAnsi="Times New Roman" w:cs="Times New Roman"/>
          <w:sz w:val="24"/>
          <w:szCs w:val="24"/>
        </w:rPr>
        <w:t> </w:t>
      </w:r>
      <w:r w:rsidRPr="001E4572">
        <w:rPr>
          <w:rFonts w:ascii="Times New Roman" w:hAnsi="Times New Roman" w:cs="Times New Roman"/>
          <w:sz w:val="24"/>
          <w:szCs w:val="24"/>
        </w:rPr>
        <w:t>5</w:t>
      </w:r>
      <w:r w:rsidR="00C34B1F">
        <w:rPr>
          <w:rFonts w:ascii="Times New Roman" w:hAnsi="Times New Roman" w:cs="Times New Roman"/>
          <w:sz w:val="24"/>
          <w:szCs w:val="24"/>
        </w:rPr>
        <w:t xml:space="preserve"> smernice (EÚ</w:t>
      </w:r>
      <w:r w:rsidR="00CB70A8">
        <w:rPr>
          <w:rFonts w:ascii="Times New Roman" w:hAnsi="Times New Roman" w:cs="Times New Roman"/>
          <w:sz w:val="24"/>
          <w:szCs w:val="24"/>
        </w:rPr>
        <w:t>)</w:t>
      </w:r>
      <w:r w:rsidR="00C34B1F">
        <w:rPr>
          <w:rFonts w:ascii="Times New Roman" w:hAnsi="Times New Roman" w:cs="Times New Roman"/>
          <w:sz w:val="24"/>
          <w:szCs w:val="24"/>
        </w:rPr>
        <w:t xml:space="preserve"> 2026/470</w:t>
      </w:r>
      <w:r w:rsidRPr="001E4572">
        <w:rPr>
          <w:rFonts w:ascii="Times New Roman" w:hAnsi="Times New Roman" w:cs="Times New Roman"/>
          <w:sz w:val="24"/>
          <w:szCs w:val="24"/>
        </w:rPr>
        <w:t>) vo výročnej správe už za účtovné obdobie začínajúce 1. januára 2027. Goldplating má pozitívny vplyv na dotknuté účtovné jednotky, keďže cieľom navrhovanej skoršej účinnosti je zabezpečiť pre tieto účtovné jednotky právnu istotu týkajúcu sa vzniku ich povinností.</w:t>
      </w:r>
    </w:p>
    <w:p w14:paraId="69CB5DAB" w14:textId="77777777" w:rsidR="00054C41" w:rsidRPr="00D8247C" w:rsidRDefault="00054C41" w:rsidP="00054C41">
      <w:pPr>
        <w:rPr>
          <w:rFonts w:ascii="Times New Roman" w:eastAsia="Calibri" w:hAnsi="Times New Roman" w:cs="Times New Roman"/>
          <w:i/>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3.2 Vyhodnotenie konzultácií s podnikateľskými subjektmi pred predbežným </w:t>
      </w:r>
      <w:r w:rsidRPr="009020EE">
        <w:rPr>
          <w:rFonts w:ascii="Times New Roman" w:eastAsia="Calibri" w:hAnsi="Times New Roman" w:cs="Times New Roman"/>
          <w:b/>
          <w:sz w:val="24"/>
          <w:szCs w:val="24"/>
        </w:rPr>
        <w:t>pripomienkovým konaním</w:t>
      </w:r>
    </w:p>
    <w:p w14:paraId="5504E972" w14:textId="0F1B63E7" w:rsidR="00593848" w:rsidRDefault="00593848" w:rsidP="00054C41">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Ministerstvo financií Slovenskej republiky zverejnením predbežnej informácie č. PI/2026/63 dňa 13. 3. 2026 informovalo verejnosť zverejnením oznámenia o príprave návrhu zákona, </w:t>
      </w:r>
      <w:r w:rsidRPr="00696370">
        <w:rPr>
          <w:rFonts w:ascii="Times New Roman" w:eastAsia="Times New Roman" w:hAnsi="Times New Roman" w:cs="Times New Roman"/>
          <w:sz w:val="24"/>
          <w:szCs w:val="24"/>
          <w:lang w:eastAsia="sk-SK"/>
        </w:rPr>
        <w:t xml:space="preserve">ktorým sa mení a dopĺňa zákon č. 431/2002 Z. z. o účtovníctve v znení neskorších predpisov a ktorým sa </w:t>
      </w:r>
      <w:r w:rsidRPr="00696370">
        <w:rPr>
          <w:rFonts w:ascii="Times New Roman" w:hAnsi="Times New Roman" w:cs="Times New Roman"/>
          <w:sz w:val="24"/>
          <w:szCs w:val="24"/>
        </w:rPr>
        <w:t xml:space="preserve">mení a dopĺňa zákon č. 423/2015 Z. z. o štatutárnom audite a o zmene a doplnení </w:t>
      </w:r>
      <w:r w:rsidRPr="00696370">
        <w:rPr>
          <w:rFonts w:ascii="Times New Roman" w:hAnsi="Times New Roman" w:cs="Times New Roman"/>
          <w:sz w:val="24"/>
          <w:szCs w:val="24"/>
        </w:rPr>
        <w:lastRenderedPageBreak/>
        <w:t>zákona č. 431/2002 Z. z. o účtovníctve v znení neskorších predpisov v znení neskorších predpisov</w:t>
      </w:r>
      <w:r>
        <w:rPr>
          <w:rFonts w:ascii="Times New Roman" w:hAnsi="Times New Roman" w:cs="Times New Roman"/>
          <w:sz w:val="24"/>
          <w:szCs w:val="24"/>
        </w:rPr>
        <w:t xml:space="preserve"> s termínom ukončenia pripomienkového konania dňa 20. 3. 2026.</w:t>
      </w:r>
      <w:r>
        <w:rPr>
          <w:rFonts w:ascii="Times New Roman" w:eastAsia="Calibri" w:hAnsi="Times New Roman" w:cs="Times New Roman"/>
          <w:iCs/>
          <w:sz w:val="24"/>
          <w:szCs w:val="24"/>
        </w:rPr>
        <w:t xml:space="preserve"> </w:t>
      </w:r>
    </w:p>
    <w:p w14:paraId="227AC34F" w14:textId="74AD680E" w:rsidR="00593848" w:rsidRDefault="00593848" w:rsidP="00054C41">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Na základe vyjadrení k predbežnej informáci</w:t>
      </w:r>
      <w:r w:rsidR="00C34B1F">
        <w:rPr>
          <w:rFonts w:ascii="Times New Roman" w:eastAsia="Calibri" w:hAnsi="Times New Roman" w:cs="Times New Roman"/>
          <w:iCs/>
          <w:sz w:val="24"/>
          <w:szCs w:val="24"/>
        </w:rPr>
        <w:t>i</w:t>
      </w:r>
      <w:r>
        <w:rPr>
          <w:rFonts w:ascii="Times New Roman" w:eastAsia="Calibri" w:hAnsi="Times New Roman" w:cs="Times New Roman"/>
          <w:iCs/>
          <w:sz w:val="24"/>
          <w:szCs w:val="24"/>
        </w:rPr>
        <w:t xml:space="preserve"> sa konali konzultácie so zástupcami</w:t>
      </w:r>
      <w:r w:rsidR="00314BDD">
        <w:rPr>
          <w:rFonts w:ascii="Times New Roman" w:eastAsia="Calibri" w:hAnsi="Times New Roman" w:cs="Times New Roman"/>
          <w:iCs/>
          <w:sz w:val="24"/>
          <w:szCs w:val="24"/>
        </w:rPr>
        <w:t xml:space="preserve"> Asociácie </w:t>
      </w:r>
      <w:r>
        <w:rPr>
          <w:rFonts w:ascii="Times New Roman" w:eastAsia="Calibri" w:hAnsi="Times New Roman" w:cs="Times New Roman"/>
          <w:iCs/>
          <w:sz w:val="24"/>
          <w:szCs w:val="24"/>
        </w:rPr>
        <w:t xml:space="preserve"> </w:t>
      </w:r>
      <w:r w:rsidR="00314BDD" w:rsidRPr="00337BD2">
        <w:rPr>
          <w:rFonts w:ascii="Times New Roman" w:eastAsia="Calibri" w:hAnsi="Times New Roman" w:cs="Times New Roman"/>
          <w:iCs/>
          <w:sz w:val="24"/>
          <w:szCs w:val="24"/>
        </w:rPr>
        <w:t>priemyselných zväzov a</w:t>
      </w:r>
      <w:r w:rsidR="00314BDD">
        <w:rPr>
          <w:rFonts w:ascii="Times New Roman" w:eastAsia="Calibri" w:hAnsi="Times New Roman" w:cs="Times New Roman"/>
          <w:iCs/>
          <w:sz w:val="24"/>
          <w:szCs w:val="24"/>
        </w:rPr>
        <w:t> </w:t>
      </w:r>
      <w:r w:rsidR="00314BDD" w:rsidRPr="00337BD2">
        <w:rPr>
          <w:rFonts w:ascii="Times New Roman" w:eastAsia="Calibri" w:hAnsi="Times New Roman" w:cs="Times New Roman"/>
          <w:iCs/>
          <w:sz w:val="24"/>
          <w:szCs w:val="24"/>
        </w:rPr>
        <w:t>dopravy</w:t>
      </w:r>
      <w:r w:rsidR="00314BDD">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Republikovej únie zamestnávateľov</w:t>
      </w:r>
      <w:r w:rsidR="00314BDD">
        <w:rPr>
          <w:rFonts w:ascii="Times New Roman" w:eastAsia="Calibri" w:hAnsi="Times New Roman" w:cs="Times New Roman"/>
          <w:iCs/>
          <w:sz w:val="24"/>
          <w:szCs w:val="24"/>
        </w:rPr>
        <w:t xml:space="preserve"> SR</w:t>
      </w:r>
      <w:r>
        <w:rPr>
          <w:rFonts w:ascii="Times New Roman" w:eastAsia="Calibri" w:hAnsi="Times New Roman" w:cs="Times New Roman"/>
          <w:iCs/>
          <w:sz w:val="24"/>
          <w:szCs w:val="24"/>
        </w:rPr>
        <w:t>, Klub</w:t>
      </w:r>
      <w:r w:rsidR="00314BDD">
        <w:rPr>
          <w:rFonts w:ascii="Times New Roman" w:eastAsia="Calibri" w:hAnsi="Times New Roman" w:cs="Times New Roman"/>
          <w:iCs/>
          <w:sz w:val="24"/>
          <w:szCs w:val="24"/>
        </w:rPr>
        <w:t>u</w:t>
      </w:r>
      <w:r>
        <w:rPr>
          <w:rFonts w:ascii="Times New Roman" w:eastAsia="Calibri" w:hAnsi="Times New Roman" w:cs="Times New Roman"/>
          <w:iCs/>
          <w:sz w:val="24"/>
          <w:szCs w:val="24"/>
        </w:rPr>
        <w:t xml:space="preserve"> 500,</w:t>
      </w:r>
      <w:r w:rsidR="00314BDD">
        <w:rPr>
          <w:rFonts w:ascii="Times New Roman" w:eastAsia="Calibri" w:hAnsi="Times New Roman" w:cs="Times New Roman"/>
          <w:iCs/>
          <w:sz w:val="24"/>
          <w:szCs w:val="24"/>
        </w:rPr>
        <w:t xml:space="preserve"> Slovenskej bankovej asociácie,</w:t>
      </w:r>
      <w:r>
        <w:rPr>
          <w:rFonts w:ascii="Times New Roman" w:eastAsia="Calibri" w:hAnsi="Times New Roman" w:cs="Times New Roman"/>
          <w:iCs/>
          <w:sz w:val="24"/>
          <w:szCs w:val="24"/>
        </w:rPr>
        <w:t xml:space="preserve"> Slovensk</w:t>
      </w:r>
      <w:r w:rsidR="00314BDD">
        <w:rPr>
          <w:rFonts w:ascii="Times New Roman" w:eastAsia="Calibri" w:hAnsi="Times New Roman" w:cs="Times New Roman"/>
          <w:iCs/>
          <w:sz w:val="24"/>
          <w:szCs w:val="24"/>
        </w:rPr>
        <w:t>ej</w:t>
      </w:r>
      <w:r>
        <w:rPr>
          <w:rFonts w:ascii="Times New Roman" w:eastAsia="Calibri" w:hAnsi="Times New Roman" w:cs="Times New Roman"/>
          <w:iCs/>
          <w:sz w:val="24"/>
          <w:szCs w:val="24"/>
        </w:rPr>
        <w:t xml:space="preserve"> komor</w:t>
      </w:r>
      <w:r w:rsidR="00314BDD">
        <w:rPr>
          <w:rFonts w:ascii="Times New Roman" w:eastAsia="Calibri" w:hAnsi="Times New Roman" w:cs="Times New Roman"/>
          <w:iCs/>
          <w:sz w:val="24"/>
          <w:szCs w:val="24"/>
        </w:rPr>
        <w:t>y</w:t>
      </w:r>
      <w:r>
        <w:rPr>
          <w:rFonts w:ascii="Times New Roman" w:eastAsia="Calibri" w:hAnsi="Times New Roman" w:cs="Times New Roman"/>
          <w:iCs/>
          <w:sz w:val="24"/>
          <w:szCs w:val="24"/>
        </w:rPr>
        <w:t xml:space="preserve"> audítorov a Úrad</w:t>
      </w:r>
      <w:r w:rsidR="00314BDD">
        <w:rPr>
          <w:rFonts w:ascii="Times New Roman" w:eastAsia="Calibri" w:hAnsi="Times New Roman" w:cs="Times New Roman"/>
          <w:iCs/>
          <w:sz w:val="24"/>
          <w:szCs w:val="24"/>
        </w:rPr>
        <w:t>u</w:t>
      </w:r>
      <w:r>
        <w:rPr>
          <w:rFonts w:ascii="Times New Roman" w:eastAsia="Calibri" w:hAnsi="Times New Roman" w:cs="Times New Roman"/>
          <w:iCs/>
          <w:sz w:val="24"/>
          <w:szCs w:val="24"/>
        </w:rPr>
        <w:t xml:space="preserve"> pre dohľad nad výkonom auditu.</w:t>
      </w:r>
    </w:p>
    <w:p w14:paraId="08FCAD96" w14:textId="77777777" w:rsidR="00054C41" w:rsidRPr="00D8247C" w:rsidRDefault="00054C41" w:rsidP="00054C41">
      <w:pPr>
        <w:spacing w:after="0"/>
        <w:jc w:val="both"/>
        <w:rPr>
          <w:rFonts w:ascii="Times New Roman" w:eastAsia="Calibri" w:hAnsi="Times New Roman" w:cs="Times New Roman"/>
          <w:i/>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14:paraId="48FD3567" w14:textId="77777777" w:rsidR="00CB70A8" w:rsidRDefault="00CB70A8" w:rsidP="00054C41">
      <w:pPr>
        <w:spacing w:after="0"/>
        <w:jc w:val="both"/>
        <w:rPr>
          <w:rFonts w:ascii="Times New Roman" w:eastAsia="Calibri" w:hAnsi="Times New Roman" w:cs="Times New Roman"/>
          <w:i/>
          <w:sz w:val="24"/>
          <w:szCs w:val="24"/>
        </w:rPr>
      </w:pPr>
    </w:p>
    <w:p w14:paraId="5CAF52B4" w14:textId="4CA74B36"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6B6A3793" w14:textId="0C60AA23" w:rsidR="007259CB" w:rsidRPr="001E4572" w:rsidRDefault="001E4572" w:rsidP="00054C41">
      <w:pPr>
        <w:spacing w:after="0"/>
        <w:jc w:val="both"/>
        <w:rPr>
          <w:rFonts w:ascii="Times New Roman" w:eastAsia="Calibri" w:hAnsi="Times New Roman" w:cs="Times New Roman"/>
          <w:iCs/>
          <w:sz w:val="24"/>
          <w:szCs w:val="24"/>
        </w:rPr>
      </w:pPr>
      <w:r w:rsidRPr="001E4572">
        <w:rPr>
          <w:rFonts w:ascii="Times New Roman" w:eastAsia="Calibri" w:hAnsi="Times New Roman" w:cs="Times New Roman"/>
          <w:iCs/>
          <w:sz w:val="24"/>
          <w:szCs w:val="24"/>
        </w:rPr>
        <w:t>Nedochádza</w:t>
      </w:r>
      <w:r w:rsidR="007B266E">
        <w:rPr>
          <w:rFonts w:ascii="Times New Roman" w:eastAsia="Calibri" w:hAnsi="Times New Roman" w:cs="Times New Roman"/>
          <w:iCs/>
          <w:sz w:val="24"/>
          <w:szCs w:val="24"/>
        </w:rPr>
        <w:t xml:space="preserve"> k vytváraniu bariér na trhu. </w:t>
      </w:r>
      <w:r w:rsidR="007B266E" w:rsidRPr="007B266E">
        <w:rPr>
          <w:rFonts w:ascii="Times New Roman" w:eastAsia="Calibri" w:hAnsi="Times New Roman" w:cs="Times New Roman"/>
          <w:iCs/>
          <w:sz w:val="24"/>
          <w:szCs w:val="24"/>
        </w:rPr>
        <w:t xml:space="preserve">V dôsledku výrazného zníženia počtu účtovných jednotiek s povinnosťou vykazovania informácií o udržateľnosti sa očakáva zvýšený záujem o iné služby štatutárnych audítorov a audítorských spoločností napríklad dobrovoľné uistenie v oblasti vykazovania informácií súvisiacich len s niektorými vybranými aspektmi udržateľnosti alebo požiadavky na overenie súladu vykazovaných informácií súvisiacich s aspektmi udržateľnosti s inými rámcami vykazovania (napr. GRI </w:t>
      </w:r>
      <w:proofErr w:type="spellStart"/>
      <w:r w:rsidR="007B266E" w:rsidRPr="007B266E">
        <w:rPr>
          <w:rFonts w:ascii="Times New Roman" w:eastAsia="Calibri" w:hAnsi="Times New Roman" w:cs="Times New Roman"/>
          <w:iCs/>
          <w:sz w:val="24"/>
          <w:szCs w:val="24"/>
        </w:rPr>
        <w:t>Standards</w:t>
      </w:r>
      <w:proofErr w:type="spellEnd"/>
      <w:r w:rsidR="007B266E" w:rsidRPr="007B266E">
        <w:rPr>
          <w:rFonts w:ascii="Times New Roman" w:eastAsia="Calibri" w:hAnsi="Times New Roman" w:cs="Times New Roman"/>
          <w:iCs/>
          <w:sz w:val="24"/>
          <w:szCs w:val="24"/>
        </w:rPr>
        <w:t xml:space="preserve"> – </w:t>
      </w:r>
      <w:proofErr w:type="spellStart"/>
      <w:r w:rsidR="007B266E" w:rsidRPr="007B266E">
        <w:rPr>
          <w:rFonts w:ascii="Times New Roman" w:eastAsia="Calibri" w:hAnsi="Times New Roman" w:cs="Times New Roman"/>
          <w:iCs/>
          <w:sz w:val="24"/>
          <w:szCs w:val="24"/>
        </w:rPr>
        <w:t>Global</w:t>
      </w:r>
      <w:proofErr w:type="spellEnd"/>
      <w:r w:rsidR="007B266E" w:rsidRPr="007B266E">
        <w:rPr>
          <w:rFonts w:ascii="Times New Roman" w:eastAsia="Calibri" w:hAnsi="Times New Roman" w:cs="Times New Roman"/>
          <w:iCs/>
          <w:sz w:val="24"/>
          <w:szCs w:val="24"/>
        </w:rPr>
        <w:t xml:space="preserve"> </w:t>
      </w:r>
      <w:proofErr w:type="spellStart"/>
      <w:r w:rsidR="007B266E" w:rsidRPr="007B266E">
        <w:rPr>
          <w:rFonts w:ascii="Times New Roman" w:eastAsia="Calibri" w:hAnsi="Times New Roman" w:cs="Times New Roman"/>
          <w:iCs/>
          <w:sz w:val="24"/>
          <w:szCs w:val="24"/>
        </w:rPr>
        <w:t>Reporting</w:t>
      </w:r>
      <w:proofErr w:type="spellEnd"/>
      <w:r w:rsidR="007B266E" w:rsidRPr="007B266E">
        <w:rPr>
          <w:rFonts w:ascii="Times New Roman" w:eastAsia="Calibri" w:hAnsi="Times New Roman" w:cs="Times New Roman"/>
          <w:iCs/>
          <w:sz w:val="24"/>
          <w:szCs w:val="24"/>
        </w:rPr>
        <w:t xml:space="preserve"> </w:t>
      </w:r>
      <w:proofErr w:type="spellStart"/>
      <w:r w:rsidR="007B266E" w:rsidRPr="007B266E">
        <w:rPr>
          <w:rFonts w:ascii="Times New Roman" w:eastAsia="Calibri" w:hAnsi="Times New Roman" w:cs="Times New Roman"/>
          <w:iCs/>
          <w:sz w:val="24"/>
          <w:szCs w:val="24"/>
        </w:rPr>
        <w:t>Initiative</w:t>
      </w:r>
      <w:proofErr w:type="spellEnd"/>
      <w:r w:rsidR="007B266E" w:rsidRPr="007B266E">
        <w:rPr>
          <w:rFonts w:ascii="Times New Roman" w:eastAsia="Calibri" w:hAnsi="Times New Roman" w:cs="Times New Roman"/>
          <w:iCs/>
          <w:sz w:val="24"/>
          <w:szCs w:val="24"/>
        </w:rPr>
        <w:t>) vyplývajúce z požiadaviek zahraničného materského subjektu, či požiadavky na primerané uistenie namiesto limitovaného uistenia. V nadväznosti na uvedené sa zavádza pojem uistenie v oblasti vykazovania informácií súvisiacich s aspektmi udržateľnosti, pod ktorým sa rozumie služba poskytovaná štatutárnym audítorom v súvislosti s vykazovaním podľa iných štandardov ako sú štandardy podľa delegovaného nariadenia (EÚ) 2023/2772 a postup štatutárneho audítora pri výkone tohto uistenia. Služby uistenia v oblasti vykazovania informácií o udržateľnosti a uistenia v oblasti vykazovania informácií súvisiacich s aspektmi udržateľnosti budú môcť poskytovať len štatutárni audítori a audítorské spoločnosti s licenciou pre oblasť udržateľnosti.</w:t>
      </w:r>
    </w:p>
    <w:p w14:paraId="262A95DE" w14:textId="77777777" w:rsidR="00CB70A8" w:rsidRDefault="00CB70A8" w:rsidP="00CB70A8">
      <w:pPr>
        <w:spacing w:after="0"/>
        <w:jc w:val="both"/>
        <w:rPr>
          <w:rFonts w:ascii="Times New Roman" w:eastAsia="Calibri" w:hAnsi="Times New Roman" w:cs="Times New Roman"/>
          <w:i/>
          <w:sz w:val="24"/>
          <w:szCs w:val="24"/>
        </w:rPr>
      </w:pPr>
    </w:p>
    <w:p w14:paraId="1B0A7AD8" w14:textId="4AC42E54" w:rsidR="00CB70A8" w:rsidRDefault="00CB70A8" w:rsidP="00CB70A8">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14:paraId="5A5F629B" w14:textId="62A87C14" w:rsidR="00CB70A8" w:rsidRDefault="00CB70A8" w:rsidP="00CB70A8">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Navrhovaná úprava má za cieľ z</w:t>
      </w:r>
      <w:r w:rsidRPr="00483A94">
        <w:rPr>
          <w:rFonts w:ascii="Times New Roman" w:eastAsia="Calibri" w:hAnsi="Times New Roman" w:cs="Times New Roman"/>
          <w:iCs/>
          <w:sz w:val="24"/>
          <w:szCs w:val="24"/>
        </w:rPr>
        <w:t>nížen</w:t>
      </w:r>
      <w:r>
        <w:rPr>
          <w:rFonts w:ascii="Times New Roman" w:eastAsia="Calibri" w:hAnsi="Times New Roman" w:cs="Times New Roman"/>
          <w:iCs/>
          <w:sz w:val="24"/>
          <w:szCs w:val="24"/>
        </w:rPr>
        <w:t>ie</w:t>
      </w:r>
      <w:r w:rsidRPr="00483A94">
        <w:rPr>
          <w:rFonts w:ascii="Times New Roman" w:eastAsia="Calibri" w:hAnsi="Times New Roman" w:cs="Times New Roman"/>
          <w:iCs/>
          <w:sz w:val="24"/>
          <w:szCs w:val="24"/>
        </w:rPr>
        <w:t xml:space="preserve"> administratívnej záťaže</w:t>
      </w:r>
      <w:r>
        <w:rPr>
          <w:rFonts w:ascii="Times New Roman" w:eastAsia="Calibri" w:hAnsi="Times New Roman" w:cs="Times New Roman"/>
          <w:iCs/>
          <w:sz w:val="24"/>
          <w:szCs w:val="24"/>
        </w:rPr>
        <w:t xml:space="preserve"> </w:t>
      </w:r>
      <w:r>
        <w:rPr>
          <w:rFonts w:ascii="Times New Roman" w:hAnsi="Times New Roman"/>
          <w:sz w:val="24"/>
          <w:szCs w:val="24"/>
        </w:rPr>
        <w:t>vrátane významného zníženia rozsahu účtovných jednotiek s povinnosťou vykazovania informácií o udržateľnosti. V nadväznosti na aplikačnú prax súvisiacu s plnením povinnosti vykazovania informácií o udržateľnosti vykazujúcimi účtovnými jednotkami vo väzbe na získanie informácií od subjektov v hodnotovom reťazci týchto vykazujúcich účtovných jednotiek je tiež cieľom smernice (EÚ) 2026/470 zaviesť ochranné opatrenia pre subjekty v hodnotovom reťazci, ktorých priemerný prepočítaný počet zamestnancov za bezprostredne predchádzajúce účtovné obdobie neprekročil 1 000, a to najmä obmedzenie rozsahu poskytovaných informácií.</w:t>
      </w:r>
      <w:r>
        <w:rPr>
          <w:rFonts w:ascii="Times New Roman" w:eastAsia="Calibri" w:hAnsi="Times New Roman" w:cs="Times New Roman"/>
          <w:iCs/>
          <w:sz w:val="24"/>
          <w:szCs w:val="24"/>
        </w:rPr>
        <w:t xml:space="preserve"> Z uvedeného dôvodu sa v súlade so smernicou </w:t>
      </w:r>
      <w:r>
        <w:rPr>
          <w:rFonts w:ascii="Times New Roman" w:hAnsi="Times New Roman" w:cs="Times New Roman"/>
          <w:sz w:val="24"/>
          <w:szCs w:val="24"/>
        </w:rPr>
        <w:t xml:space="preserve">(EÚ) </w:t>
      </w:r>
      <w:r>
        <w:rPr>
          <w:rFonts w:ascii="Times New Roman" w:eastAsia="Calibri" w:hAnsi="Times New Roman" w:cs="Times New Roman"/>
          <w:iCs/>
          <w:sz w:val="24"/>
          <w:szCs w:val="24"/>
        </w:rPr>
        <w:t>2026/470 navrhovaná úprava</w:t>
      </w:r>
      <w:r w:rsidR="004D31EB">
        <w:rPr>
          <w:rFonts w:ascii="Times New Roman" w:eastAsia="Calibri" w:hAnsi="Times New Roman" w:cs="Times New Roman"/>
          <w:iCs/>
          <w:sz w:val="24"/>
          <w:szCs w:val="24"/>
        </w:rPr>
        <w:t xml:space="preserve"> vykazovania informácií o udržateľnosti</w:t>
      </w:r>
      <w:r>
        <w:rPr>
          <w:rFonts w:ascii="Times New Roman" w:eastAsia="Calibri" w:hAnsi="Times New Roman" w:cs="Times New Roman"/>
          <w:iCs/>
          <w:sz w:val="24"/>
          <w:szCs w:val="24"/>
        </w:rPr>
        <w:t xml:space="preserve"> nebude týkať MSP.</w:t>
      </w:r>
    </w:p>
    <w:p w14:paraId="74ACF656" w14:textId="21BC4207" w:rsidR="004D31EB" w:rsidRDefault="004D31EB" w:rsidP="00CB70A8">
      <w:pPr>
        <w:spacing w:after="0"/>
        <w:jc w:val="both"/>
        <w:rPr>
          <w:rFonts w:ascii="Times New Roman" w:eastAsia="Calibri" w:hAnsi="Times New Roman" w:cs="Times New Roman"/>
          <w:iCs/>
          <w:sz w:val="24"/>
          <w:szCs w:val="24"/>
        </w:rPr>
      </w:pPr>
    </w:p>
    <w:p w14:paraId="7C176584" w14:textId="1F358C9C" w:rsidR="00CB70A8" w:rsidRDefault="00CB70A8" w:rsidP="00CB70A8">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64600C65" w14:textId="5EC2FB18" w:rsidR="00CB70A8" w:rsidRDefault="00CB70A8" w:rsidP="00CB70A8">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Nie, zmena sa netýka </w:t>
      </w:r>
      <w:r w:rsidR="004D31EB">
        <w:rPr>
          <w:rFonts w:ascii="Times New Roman" w:eastAsia="Calibri" w:hAnsi="Times New Roman" w:cs="Times New Roman"/>
          <w:iCs/>
          <w:sz w:val="24"/>
          <w:szCs w:val="24"/>
        </w:rPr>
        <w:t>cezhraničných investícií.</w:t>
      </w:r>
    </w:p>
    <w:p w14:paraId="7927A274" w14:textId="77777777" w:rsidR="004D31EB" w:rsidRPr="00CB70A8" w:rsidRDefault="004D31EB" w:rsidP="00CB70A8">
      <w:pPr>
        <w:spacing w:after="0"/>
        <w:jc w:val="both"/>
        <w:rPr>
          <w:rFonts w:ascii="Times New Roman" w:eastAsia="Calibri" w:hAnsi="Times New Roman" w:cs="Times New Roman"/>
          <w:iCs/>
          <w:sz w:val="24"/>
          <w:szCs w:val="24"/>
        </w:rPr>
      </w:pPr>
    </w:p>
    <w:p w14:paraId="289E69DF" w14:textId="5EABEB15" w:rsidR="00CB70A8" w:rsidRDefault="00CB70A8" w:rsidP="00CB70A8">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04666990" w14:textId="259666CC" w:rsidR="00706A1E" w:rsidRDefault="00706A1E" w:rsidP="00CB70A8">
      <w:pPr>
        <w:spacing w:after="0"/>
        <w:jc w:val="both"/>
        <w:rPr>
          <w:rFonts w:ascii="Times New Roman" w:eastAsia="Calibri" w:hAnsi="Times New Roman" w:cs="Times New Roman"/>
          <w:iCs/>
          <w:sz w:val="24"/>
          <w:szCs w:val="24"/>
        </w:rPr>
      </w:pPr>
      <w:r w:rsidRPr="00706A1E">
        <w:rPr>
          <w:rFonts w:ascii="Times New Roman" w:eastAsia="Calibri" w:hAnsi="Times New Roman" w:cs="Times New Roman"/>
          <w:iCs/>
          <w:sz w:val="24"/>
          <w:szCs w:val="24"/>
        </w:rPr>
        <w:lastRenderedPageBreak/>
        <w:t>Navrhuje sa zníženie počtu hodín sústavného vzdelávania v oblasti udržateľnosti podľa § 31 ods. 2 zákona o štatutárnom audite, ktorý sú štatutárni audítori s licenciou pre oblasť udržateľnosti povinní absolvovať. Toto zníženie počtu hodín prispeje k zhodnoteniu úspor a nákladov štatutárnych audítorov, ktorých sa dotkne regulácia povinného vzdelávania a zníženia počtu hodín praktickej odbornej prípravy zameranej na oblasť uistenia v oblasti vykazovania informácií o udržateľnosti alebo iných služieb súvisiacich s udržateľnosťou a počtu hodín sústavného vzdelávania v oblasti udržateľnosti zároveň zodpovedá aj zrušeniu zjednodušených štandardov a sektorovo špecifických štandardov v oblasti vykazovania informácií o udržateľnosti v nadväznosti na čl. 2 ods. 6 a 7 smernice (EÚ) 2026/470 a očakávanej výraznej revízii ESRS štandardov, v dôsledku ktorej dôjde k významnému zníženiu počtu vykazovaných informácií, ktoré sú predmetom uistenia. V dôsledku zavedenia ochranných opatrení sa očakáva pozitívny vplyv týkajúci sa zníženia administratívnej a finančnej záťaže subjektov v hodnotovom reťazci vykazujúcej účtovnej jednotky, ktorý z dôvodu absencie počtu týkajúcich sa subjektov nie je možné kvantifikovať.</w:t>
      </w:r>
    </w:p>
    <w:p w14:paraId="15F264D2" w14:textId="77777777" w:rsidR="00706A1E" w:rsidRPr="00706A1E" w:rsidRDefault="00706A1E" w:rsidP="00CB70A8">
      <w:pPr>
        <w:spacing w:after="0"/>
        <w:jc w:val="both"/>
        <w:rPr>
          <w:rFonts w:ascii="Times New Roman" w:eastAsia="Calibri" w:hAnsi="Times New Roman" w:cs="Times New Roman"/>
          <w:iCs/>
          <w:sz w:val="24"/>
          <w:szCs w:val="24"/>
        </w:rPr>
      </w:pPr>
    </w:p>
    <w:p w14:paraId="60505FA9" w14:textId="00903B13" w:rsidR="00CB70A8" w:rsidRDefault="00CB70A8" w:rsidP="00CB70A8">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3836EFFD" w14:textId="33962277" w:rsidR="004D31EB" w:rsidRDefault="00C40492" w:rsidP="00CB70A8">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Navrhovaná úprava nemá priamy vplyv na inovácie, vedu a výskum. Veľké spoločnosti presahujúce určitú veľkosť majú povinnosť zabezpečiť náležitú starostlivosť v oblasti environmentálnych a sociálnych aspektov, ktorá môže vyvolať potrebu inovácií a</w:t>
      </w:r>
      <w:r w:rsidR="004E0809">
        <w:rPr>
          <w:rFonts w:ascii="Times New Roman" w:eastAsia="Calibri" w:hAnsi="Times New Roman" w:cs="Times New Roman"/>
          <w:iCs/>
          <w:sz w:val="24"/>
          <w:szCs w:val="24"/>
        </w:rPr>
        <w:t> motivácie pre vedu a výskum.</w:t>
      </w:r>
    </w:p>
    <w:p w14:paraId="5071A4AD" w14:textId="77777777" w:rsidR="00C40492" w:rsidRPr="00706A1E" w:rsidRDefault="00C40492" w:rsidP="00CB70A8">
      <w:pPr>
        <w:spacing w:after="0"/>
        <w:jc w:val="both"/>
        <w:rPr>
          <w:rFonts w:ascii="Times New Roman" w:eastAsia="Calibri" w:hAnsi="Times New Roman" w:cs="Times New Roman"/>
          <w:iCs/>
          <w:sz w:val="24"/>
          <w:szCs w:val="24"/>
        </w:rPr>
      </w:pPr>
    </w:p>
    <w:p w14:paraId="0685B08F" w14:textId="28F45869" w:rsidR="00706A1E" w:rsidRDefault="00CB70A8" w:rsidP="00706A1E">
      <w:pPr>
        <w:spacing w:after="0"/>
        <w:jc w:val="both"/>
        <w:rPr>
          <w:rFonts w:ascii="Times New Roman" w:eastAsia="Calibri" w:hAnsi="Times New Roman" w:cs="Times New Roman"/>
          <w:iCs/>
          <w:sz w:val="24"/>
          <w:szCs w:val="24"/>
        </w:rPr>
      </w:pPr>
      <w:r>
        <w:rPr>
          <w:rFonts w:ascii="Times New Roman" w:eastAsia="Calibri" w:hAnsi="Times New Roman" w:cs="Times New Roman"/>
          <w:i/>
          <w:sz w:val="24"/>
          <w:szCs w:val="24"/>
        </w:rPr>
        <w:t>Ak bol identifikovaný goldplating, prispieva k zníženiu konkurencieschopnosti a produktivity?</w:t>
      </w:r>
      <w:r w:rsidR="00706A1E" w:rsidRPr="00706A1E">
        <w:rPr>
          <w:rFonts w:ascii="Times New Roman" w:eastAsia="Calibri" w:hAnsi="Times New Roman" w:cs="Times New Roman"/>
          <w:i/>
          <w:sz w:val="24"/>
          <w:szCs w:val="24"/>
        </w:rPr>
        <w:t xml:space="preserve"> </w:t>
      </w:r>
      <w:r w:rsidR="00706A1E">
        <w:rPr>
          <w:rFonts w:ascii="Times New Roman" w:eastAsia="Calibri" w:hAnsi="Times New Roman" w:cs="Times New Roman"/>
          <w:i/>
          <w:sz w:val="24"/>
          <w:szCs w:val="24"/>
        </w:rPr>
        <w:t>Akým spôsobom?</w:t>
      </w:r>
    </w:p>
    <w:p w14:paraId="1183A8E2" w14:textId="02F28F3E" w:rsidR="007B266E" w:rsidRDefault="007B266E" w:rsidP="00CB70A8">
      <w:pPr>
        <w:spacing w:after="0"/>
        <w:jc w:val="both"/>
        <w:rPr>
          <w:rFonts w:ascii="Times New Roman" w:eastAsia="Calibri" w:hAnsi="Times New Roman" w:cs="Times New Roman"/>
          <w:i/>
          <w:sz w:val="24"/>
          <w:szCs w:val="24"/>
        </w:rPr>
      </w:pPr>
      <w:r w:rsidRPr="007B266E">
        <w:rPr>
          <w:rFonts w:ascii="Times New Roman" w:eastAsia="Calibri" w:hAnsi="Times New Roman" w:cs="Times New Roman"/>
          <w:iCs/>
          <w:sz w:val="24"/>
          <w:szCs w:val="24"/>
        </w:rPr>
        <w:t>Goldplating má pozitívny vplyv na dotknuté účtovné jednotky, keďže cieľom navrhovanej skoršej účinnosti je zabezpečiť pre účtovné jednotky právnu istotu týkajúcu sa vzniku ich povinností.</w:t>
      </w:r>
      <w:r w:rsidR="00CB70A8">
        <w:rPr>
          <w:rFonts w:ascii="Times New Roman" w:eastAsia="Calibri" w:hAnsi="Times New Roman" w:cs="Times New Roman"/>
          <w:i/>
          <w:sz w:val="24"/>
          <w:szCs w:val="24"/>
        </w:rPr>
        <w:t xml:space="preserve"> </w:t>
      </w:r>
    </w:p>
    <w:p w14:paraId="716C9BE6" w14:textId="77777777" w:rsidR="007B266E" w:rsidRDefault="007B266E" w:rsidP="00CB70A8">
      <w:pPr>
        <w:spacing w:after="0"/>
        <w:jc w:val="both"/>
        <w:rPr>
          <w:rFonts w:ascii="Times New Roman" w:eastAsia="Calibri" w:hAnsi="Times New Roman" w:cs="Times New Roman"/>
          <w:i/>
          <w:sz w:val="24"/>
          <w:szCs w:val="24"/>
        </w:rPr>
      </w:pPr>
    </w:p>
    <w:p w14:paraId="4928512B" w14:textId="15234206" w:rsidR="007B266E" w:rsidRPr="007B266E" w:rsidRDefault="007B266E" w:rsidP="00CB70A8">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Navrhovanou úpravou zákona o účtovníctve sa upúšťa od povinnosti vykazovania informácií o udržateľnosti pre tie účtovné jednotky, ktorých čistý obrat nedosiahol 450 000 000 eur a priemerný prepočítaný počet zamestnancov počas účtovného obdobia nedosiahol 1 000 zamestnancov. </w:t>
      </w:r>
    </w:p>
    <w:p w14:paraId="5297214E" w14:textId="77777777" w:rsidR="007B266E" w:rsidRDefault="007B266E" w:rsidP="00CB70A8">
      <w:pPr>
        <w:spacing w:after="0"/>
        <w:jc w:val="both"/>
        <w:rPr>
          <w:rFonts w:ascii="Times New Roman" w:eastAsia="Calibri" w:hAnsi="Times New Roman" w:cs="Times New Roman"/>
          <w:i/>
          <w:iCs/>
          <w:sz w:val="24"/>
          <w:szCs w:val="24"/>
        </w:rPr>
      </w:pPr>
    </w:p>
    <w:p w14:paraId="795B59E8" w14:textId="04A89635" w:rsidR="00CB70A8" w:rsidRPr="00D8247C" w:rsidRDefault="00CB70A8" w:rsidP="00CB70A8">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4BD53B80" w14:textId="77777777" w:rsidR="001E4572" w:rsidRDefault="001E4572" w:rsidP="00054C41">
      <w:pPr>
        <w:spacing w:after="0"/>
        <w:jc w:val="both"/>
        <w:rPr>
          <w:rFonts w:ascii="Times New Roman" w:eastAsia="Calibri" w:hAnsi="Times New Roman" w:cs="Times New Roman"/>
          <w:i/>
          <w:sz w:val="24"/>
          <w:szCs w:val="24"/>
        </w:rPr>
      </w:pPr>
    </w:p>
    <w:p w14:paraId="78681465" w14:textId="46033B47" w:rsidR="00054C41" w:rsidRPr="00483A94" w:rsidRDefault="00483A94" w:rsidP="00054C41">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Navrhovaná úprava má za cieľ z</w:t>
      </w:r>
      <w:r w:rsidRPr="00483A94">
        <w:rPr>
          <w:rFonts w:ascii="Times New Roman" w:eastAsia="Calibri" w:hAnsi="Times New Roman" w:cs="Times New Roman"/>
          <w:iCs/>
          <w:sz w:val="24"/>
          <w:szCs w:val="24"/>
        </w:rPr>
        <w:t>nížen</w:t>
      </w:r>
      <w:r>
        <w:rPr>
          <w:rFonts w:ascii="Times New Roman" w:eastAsia="Calibri" w:hAnsi="Times New Roman" w:cs="Times New Roman"/>
          <w:iCs/>
          <w:sz w:val="24"/>
          <w:szCs w:val="24"/>
        </w:rPr>
        <w:t>ie</w:t>
      </w:r>
      <w:r w:rsidRPr="00483A94">
        <w:rPr>
          <w:rFonts w:ascii="Times New Roman" w:eastAsia="Calibri" w:hAnsi="Times New Roman" w:cs="Times New Roman"/>
          <w:iCs/>
          <w:sz w:val="24"/>
          <w:szCs w:val="24"/>
        </w:rPr>
        <w:t xml:space="preserve"> administratívnej záťaže </w:t>
      </w:r>
      <w:r>
        <w:rPr>
          <w:rFonts w:ascii="Times New Roman" w:eastAsia="Calibri" w:hAnsi="Times New Roman" w:cs="Times New Roman"/>
          <w:iCs/>
          <w:sz w:val="24"/>
          <w:szCs w:val="24"/>
        </w:rPr>
        <w:t xml:space="preserve">a </w:t>
      </w:r>
      <w:r w:rsidRPr="00483A94">
        <w:rPr>
          <w:rFonts w:ascii="Times New Roman" w:eastAsia="Calibri" w:hAnsi="Times New Roman" w:cs="Times New Roman"/>
          <w:iCs/>
          <w:sz w:val="24"/>
          <w:szCs w:val="24"/>
        </w:rPr>
        <w:t>zlepšen</w:t>
      </w:r>
      <w:r>
        <w:rPr>
          <w:rFonts w:ascii="Times New Roman" w:eastAsia="Calibri" w:hAnsi="Times New Roman" w:cs="Times New Roman"/>
          <w:iCs/>
          <w:sz w:val="24"/>
          <w:szCs w:val="24"/>
        </w:rPr>
        <w:t>ie</w:t>
      </w:r>
      <w:r w:rsidRPr="00483A94">
        <w:rPr>
          <w:rFonts w:ascii="Times New Roman" w:eastAsia="Calibri" w:hAnsi="Times New Roman" w:cs="Times New Roman"/>
          <w:iCs/>
          <w:sz w:val="24"/>
          <w:szCs w:val="24"/>
        </w:rPr>
        <w:t xml:space="preserve"> riadenia aspektov udržateľnosti</w:t>
      </w:r>
      <w:r>
        <w:rPr>
          <w:rFonts w:ascii="Times New Roman" w:eastAsia="Calibri" w:hAnsi="Times New Roman" w:cs="Times New Roman"/>
          <w:iCs/>
          <w:sz w:val="24"/>
          <w:szCs w:val="24"/>
        </w:rPr>
        <w:t>, čím sa môže</w:t>
      </w:r>
      <w:r w:rsidRPr="00483A94">
        <w:rPr>
          <w:rFonts w:ascii="Times New Roman" w:eastAsia="Calibri" w:hAnsi="Times New Roman" w:cs="Times New Roman"/>
          <w:iCs/>
          <w:sz w:val="24"/>
          <w:szCs w:val="24"/>
        </w:rPr>
        <w:t xml:space="preserve"> posiln</w:t>
      </w:r>
      <w:r>
        <w:rPr>
          <w:rFonts w:ascii="Times New Roman" w:eastAsia="Calibri" w:hAnsi="Times New Roman" w:cs="Times New Roman"/>
          <w:iCs/>
          <w:sz w:val="24"/>
          <w:szCs w:val="24"/>
        </w:rPr>
        <w:t>iť</w:t>
      </w:r>
      <w:r w:rsidRPr="00483A94">
        <w:rPr>
          <w:rFonts w:ascii="Times New Roman" w:eastAsia="Calibri" w:hAnsi="Times New Roman" w:cs="Times New Roman"/>
          <w:iCs/>
          <w:sz w:val="24"/>
          <w:szCs w:val="24"/>
        </w:rPr>
        <w:t xml:space="preserve"> konkurencieschopnosť a odolnosť </w:t>
      </w:r>
      <w:r>
        <w:rPr>
          <w:rFonts w:ascii="Times New Roman" w:eastAsia="Calibri" w:hAnsi="Times New Roman" w:cs="Times New Roman"/>
          <w:iCs/>
          <w:sz w:val="24"/>
          <w:szCs w:val="24"/>
        </w:rPr>
        <w:t>účtovných jednotiek.</w:t>
      </w:r>
    </w:p>
    <w:p w14:paraId="62F420C7" w14:textId="77777777" w:rsidR="00483A94" w:rsidRPr="00D8247C" w:rsidRDefault="00483A94"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597E1EB8" w:rsidR="00054C41" w:rsidRPr="00D8247C" w:rsidRDefault="00000000"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rPr>
            <w:i w:val="0"/>
            <w:iCs/>
          </w:rPr>
        </w:sdtEndPr>
        <w:sdtContent>
          <w:sdt>
            <w:sdtPr>
              <w:rPr>
                <w:rFonts w:ascii="Times New Roman" w:eastAsia="Calibri" w:hAnsi="Times New Roman" w:cs="Times New Roman"/>
                <w:iCs/>
                <w:sz w:val="24"/>
                <w:szCs w:val="24"/>
              </w:rPr>
              <w:id w:val="1729873660"/>
            </w:sdtPr>
            <w:sdtContent>
              <w:r w:rsidR="00483A94" w:rsidRPr="00483A94">
                <w:rPr>
                  <w:rFonts w:ascii="Times New Roman" w:eastAsia="Calibri" w:hAnsi="Times New Roman" w:cs="Times New Roman"/>
                  <w:iCs/>
                  <w:sz w:val="24"/>
                  <w:szCs w:val="24"/>
                </w:rPr>
                <w:t>x</w:t>
              </w:r>
            </w:sdtContent>
          </w:sdt>
        </w:sdtContent>
      </w:sdt>
      <w:r w:rsidR="00054C41" w:rsidRPr="00483A94">
        <w:rPr>
          <w:rFonts w:ascii="Times New Roman" w:eastAsia="Calibri" w:hAnsi="Times New Roman" w:cs="Times New Roman"/>
          <w:iCs/>
          <w:sz w:val="24"/>
          <w:szCs w:val="24"/>
        </w:rPr>
        <w:t xml:space="preserve"> </w:t>
      </w:r>
      <w:r w:rsidR="00483A94">
        <w:rPr>
          <w:rFonts w:ascii="Times New Roman" w:eastAsia="Calibri" w:hAnsi="Times New Roman" w:cs="Times New Roman"/>
          <w:i/>
          <w:sz w:val="24"/>
          <w:szCs w:val="24"/>
        </w:rPr>
        <w:t xml:space="preserve"> </w:t>
      </w:r>
      <w:r w:rsidR="00054C41" w:rsidRPr="00D8247C">
        <w:rPr>
          <w:rFonts w:ascii="Times New Roman" w:eastAsia="Calibri" w:hAnsi="Times New Roman" w:cs="Times New Roman"/>
          <w:i/>
          <w:sz w:val="24"/>
          <w:szCs w:val="24"/>
        </w:rPr>
        <w:t xml:space="preserve">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Content>
          <w:sdt>
            <w:sdtPr>
              <w:rPr>
                <w:rFonts w:ascii="Times New Roman" w:eastAsia="Calibri" w:hAnsi="Times New Roman" w:cs="Times New Roman"/>
                <w:i/>
                <w:sz w:val="24"/>
                <w:szCs w:val="24"/>
              </w:rPr>
              <w:id w:val="-80300261"/>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Content>
          <w:sdt>
            <w:sdtPr>
              <w:rPr>
                <w:rFonts w:ascii="Times New Roman" w:eastAsia="Calibri" w:hAnsi="Times New Roman" w:cs="Times New Roman"/>
                <w:i/>
                <w:sz w:val="24"/>
                <w:szCs w:val="24"/>
              </w:rPr>
              <w:id w:val="-1706551548"/>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5DCEDB08" w:rsidR="00054C41" w:rsidRPr="0077196B" w:rsidRDefault="0077196B" w:rsidP="0077196B">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Cieľom návrhu je </w:t>
      </w:r>
      <w:r w:rsidRPr="0077196B">
        <w:rPr>
          <w:rFonts w:ascii="Times New Roman" w:eastAsia="Calibri" w:hAnsi="Times New Roman" w:cs="Times New Roman"/>
          <w:iCs/>
          <w:sz w:val="24"/>
          <w:szCs w:val="24"/>
        </w:rPr>
        <w:t>zlepšenie riadenia aspektov</w:t>
      </w:r>
      <w:r>
        <w:rPr>
          <w:rFonts w:ascii="Times New Roman" w:eastAsia="Calibri" w:hAnsi="Times New Roman" w:cs="Times New Roman"/>
          <w:iCs/>
          <w:sz w:val="24"/>
          <w:szCs w:val="24"/>
        </w:rPr>
        <w:t xml:space="preserve"> </w:t>
      </w:r>
      <w:r w:rsidRPr="0077196B">
        <w:rPr>
          <w:rFonts w:ascii="Times New Roman" w:eastAsia="Calibri" w:hAnsi="Times New Roman" w:cs="Times New Roman"/>
          <w:iCs/>
          <w:sz w:val="24"/>
          <w:szCs w:val="24"/>
        </w:rPr>
        <w:t>udržateľnosti, vrátane environmentálnych a sociálnych aspektov, a to spôsobom, ktorý posilní konkurencieschopnosť a odolnosť podnikov</w:t>
      </w:r>
      <w:r w:rsidR="00664FE0">
        <w:rPr>
          <w:rFonts w:ascii="Times New Roman" w:eastAsia="Calibri" w:hAnsi="Times New Roman" w:cs="Times New Roman"/>
          <w:iCs/>
          <w:sz w:val="24"/>
          <w:szCs w:val="24"/>
        </w:rPr>
        <w:t>.</w:t>
      </w:r>
    </w:p>
    <w:p w14:paraId="56D263E4" w14:textId="77777777" w:rsidR="0077196B" w:rsidRDefault="0077196B" w:rsidP="00054C41">
      <w:pPr>
        <w:spacing w:after="0"/>
        <w:jc w:val="both"/>
        <w:rPr>
          <w:rFonts w:ascii="Times New Roman" w:eastAsia="Calibri" w:hAnsi="Times New Roman" w:cs="Times New Roman"/>
          <w:b/>
          <w:i/>
          <w:sz w:val="24"/>
          <w:szCs w:val="24"/>
        </w:rPr>
      </w:pPr>
    </w:p>
    <w:p w14:paraId="5861187D" w14:textId="379128AE"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61395D34" w:rsidR="00054C41" w:rsidRDefault="00664FE0" w:rsidP="00054C41">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lastRenderedPageBreak/>
        <w:t>Navrhovaná úprava nemení pomer medzi produkciou podnikov a ich nákladmi.</w:t>
      </w:r>
    </w:p>
    <w:p w14:paraId="70B98BEC" w14:textId="77777777" w:rsidR="00664FE0" w:rsidRPr="00664FE0" w:rsidRDefault="00664FE0" w:rsidP="00054C41">
      <w:pPr>
        <w:spacing w:after="0"/>
        <w:jc w:val="both"/>
        <w:rPr>
          <w:rFonts w:ascii="Times New Roman" w:eastAsia="Calibri" w:hAnsi="Times New Roman" w:cs="Times New Roman"/>
          <w:iCs/>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4FCFB278" w:rsidR="00054C41" w:rsidRPr="00D8247C" w:rsidRDefault="00000000"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Content>
          <w:sdt>
            <w:sdtPr>
              <w:rPr>
                <w:rFonts w:ascii="Times New Roman" w:eastAsia="Calibri" w:hAnsi="Times New Roman" w:cs="Times New Roman"/>
                <w:i/>
                <w:sz w:val="24"/>
                <w:szCs w:val="24"/>
              </w:rPr>
              <w:id w:val="825715010"/>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r w:rsidR="00483A94">
        <w:rPr>
          <w:rFonts w:ascii="Times New Roman" w:eastAsia="Calibri" w:hAnsi="Times New Roman" w:cs="Times New Roman"/>
          <w:i/>
          <w:sz w:val="24"/>
          <w:szCs w:val="24"/>
        </w:rPr>
        <w:t>x</w:t>
      </w:r>
      <w:sdt>
        <w:sdtPr>
          <w:rPr>
            <w:rFonts w:ascii="Times New Roman" w:eastAsia="Calibri" w:hAnsi="Times New Roman" w:cs="Times New Roman"/>
            <w:i/>
            <w:sz w:val="24"/>
            <w:szCs w:val="24"/>
          </w:rPr>
          <w:id w:val="-353966921"/>
        </w:sdtPr>
        <w:sdtContent>
          <w:sdt>
            <w:sdtPr>
              <w:rPr>
                <w:rFonts w:ascii="Times New Roman" w:eastAsia="Calibri" w:hAnsi="Times New Roman" w:cs="Times New Roman"/>
                <w:i/>
                <w:sz w:val="24"/>
                <w:szCs w:val="24"/>
              </w:rPr>
              <w:id w:val="-1222205104"/>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Content>
          <w:sdt>
            <w:sdtPr>
              <w:rPr>
                <w:rFonts w:ascii="Times New Roman" w:eastAsia="Calibri" w:hAnsi="Times New Roman" w:cs="Times New Roman"/>
                <w:i/>
                <w:sz w:val="24"/>
                <w:szCs w:val="24"/>
              </w:rPr>
              <w:id w:val="-623767955"/>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FFE92DA" w14:textId="77777777" w:rsidR="00054C41" w:rsidRPr="00D8247C" w:rsidRDefault="00054C41" w:rsidP="00054C41">
      <w:pPr>
        <w:spacing w:after="0"/>
        <w:jc w:val="both"/>
        <w:rPr>
          <w:rFonts w:ascii="Times New Roman" w:eastAsia="Calibri" w:hAnsi="Times New Roman" w:cs="Times New Roman"/>
          <w:i/>
          <w:sz w:val="24"/>
          <w:szCs w:val="24"/>
        </w:rPr>
      </w:pPr>
    </w:p>
    <w:p w14:paraId="3814BF91" w14:textId="77777777" w:rsidR="00E30D85" w:rsidRPr="00D8247C" w:rsidRDefault="00E30D85" w:rsidP="00054C41">
      <w:pPr>
        <w:spacing w:after="0"/>
        <w:jc w:val="both"/>
        <w:rPr>
          <w:rFonts w:ascii="Times New Roman" w:eastAsia="Calibri" w:hAnsi="Times New Roman" w:cs="Times New Roman"/>
          <w:i/>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424DBDFC" w14:textId="77777777" w:rsidR="00B21D1F" w:rsidRDefault="00B21D1F" w:rsidP="0025724D">
      <w:pPr>
        <w:spacing w:after="0" w:line="240" w:lineRule="auto"/>
        <w:rPr>
          <w:rFonts w:ascii="Times New Roman" w:eastAsia="Times New Roman" w:hAnsi="Times New Roman" w:cs="Times New Roman"/>
          <w:b/>
          <w:sz w:val="28"/>
          <w:szCs w:val="28"/>
          <w:lang w:eastAsia="sk-SK"/>
        </w:rPr>
      </w:pPr>
    </w:p>
    <w:sectPr w:rsidR="00B21D1F"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6341D" w14:textId="77777777" w:rsidR="00AC73BA" w:rsidRDefault="00AC73BA" w:rsidP="00054C41">
      <w:pPr>
        <w:spacing w:after="0" w:line="240" w:lineRule="auto"/>
      </w:pPr>
      <w:r>
        <w:separator/>
      </w:r>
    </w:p>
  </w:endnote>
  <w:endnote w:type="continuationSeparator" w:id="0">
    <w:p w14:paraId="0969D44A" w14:textId="77777777" w:rsidR="00AC73BA" w:rsidRDefault="00AC73BA"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241D" w14:textId="16CB35B7" w:rsidR="00090F58" w:rsidRDefault="00090F5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5F2F5" w14:textId="6D37F552" w:rsidR="00F244DC" w:rsidRPr="006045CB" w:rsidRDefault="00000000" w:rsidP="00054C41">
    <w:pPr>
      <w:pStyle w:val="Pta"/>
      <w:jc w:val="right"/>
      <w:rPr>
        <w:rFonts w:ascii="Times New Roman" w:hAnsi="Times New Roman" w:cs="Times New Roman"/>
        <w:sz w:val="24"/>
        <w:szCs w:val="24"/>
      </w:rPr>
    </w:pPr>
    <w:sdt>
      <w:sdtPr>
        <w:id w:val="726035099"/>
        <w:docPartObj>
          <w:docPartGallery w:val="Page Numbers (Bottom of Page)"/>
          <w:docPartUnique/>
        </w:docPartObj>
      </w:sdtPr>
      <w:sdtEndPr>
        <w:rPr>
          <w:rFonts w:ascii="Times New Roman" w:hAnsi="Times New Roman" w:cs="Times New Roman"/>
          <w:sz w:val="24"/>
          <w:szCs w:val="24"/>
        </w:rPr>
      </w:sdtEndPr>
      <w:sdtContent>
        <w:r w:rsidR="00F244DC" w:rsidRPr="006045CB">
          <w:rPr>
            <w:rFonts w:ascii="Times New Roman" w:hAnsi="Times New Roman" w:cs="Times New Roman"/>
            <w:sz w:val="24"/>
            <w:szCs w:val="24"/>
          </w:rPr>
          <w:fldChar w:fldCharType="begin"/>
        </w:r>
        <w:r w:rsidR="00F244DC" w:rsidRPr="006045CB">
          <w:rPr>
            <w:rFonts w:ascii="Times New Roman" w:hAnsi="Times New Roman" w:cs="Times New Roman"/>
            <w:sz w:val="24"/>
            <w:szCs w:val="24"/>
          </w:rPr>
          <w:instrText>PAGE   \* MERGEFORMAT</w:instrText>
        </w:r>
        <w:r w:rsidR="00F244DC" w:rsidRPr="006045CB">
          <w:rPr>
            <w:rFonts w:ascii="Times New Roman" w:hAnsi="Times New Roman" w:cs="Times New Roman"/>
            <w:sz w:val="24"/>
            <w:szCs w:val="24"/>
          </w:rPr>
          <w:fldChar w:fldCharType="separate"/>
        </w:r>
        <w:r w:rsidR="0048237B">
          <w:rPr>
            <w:rFonts w:ascii="Times New Roman" w:hAnsi="Times New Roman" w:cs="Times New Roman"/>
            <w:noProof/>
            <w:sz w:val="24"/>
            <w:szCs w:val="24"/>
          </w:rPr>
          <w:t>17</w:t>
        </w:r>
        <w:r w:rsidR="00F244DC" w:rsidRPr="006045CB">
          <w:rPr>
            <w:rFonts w:ascii="Times New Roman" w:hAnsi="Times New Roman" w:cs="Times New Roman"/>
            <w:sz w:val="24"/>
            <w:szCs w:val="24"/>
          </w:rPr>
          <w:fldChar w:fldCharType="end"/>
        </w:r>
      </w:sdtContent>
    </w:sdt>
  </w:p>
  <w:p w14:paraId="4556761F" w14:textId="77777777" w:rsidR="00F244DC" w:rsidRPr="00FF7125" w:rsidRDefault="00F244DC" w:rsidP="00054C41">
    <w:pPr>
      <w:pStyle w:val="Pta"/>
      <w:rPr>
        <w:sz w:val="24"/>
        <w:szCs w:val="24"/>
      </w:rPr>
    </w:pPr>
  </w:p>
  <w:p w14:paraId="20FE6A4A" w14:textId="77777777" w:rsidR="00F244DC" w:rsidRDefault="00F244D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DC66" w14:textId="2C4BA64F" w:rsidR="00090F58" w:rsidRDefault="00090F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5AA3C" w14:textId="77777777" w:rsidR="00AC73BA" w:rsidRDefault="00AC73BA" w:rsidP="00054C41">
      <w:pPr>
        <w:spacing w:after="0" w:line="240" w:lineRule="auto"/>
      </w:pPr>
      <w:r>
        <w:separator/>
      </w:r>
    </w:p>
  </w:footnote>
  <w:footnote w:type="continuationSeparator" w:id="0">
    <w:p w14:paraId="45DC3C7F" w14:textId="77777777" w:rsidR="00AC73BA" w:rsidRDefault="00AC73BA" w:rsidP="00054C41">
      <w:pPr>
        <w:spacing w:after="0" w:line="240" w:lineRule="auto"/>
      </w:pPr>
      <w:r>
        <w:continuationSeparator/>
      </w:r>
    </w:p>
  </w:footnote>
  <w:footnote w:id="1">
    <w:p w14:paraId="6CC680CB" w14:textId="6BF8CDC6" w:rsidR="00F244DC" w:rsidRPr="000A6B7F" w:rsidRDefault="00F244DC"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1647D7DF" w14:textId="77777777" w:rsidR="00F244DC" w:rsidRPr="00804BC8" w:rsidRDefault="00F244DC"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5D313DAF" w14:textId="77777777" w:rsidR="00F244DC" w:rsidRDefault="00F244DC"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8E6B" w14:textId="77777777" w:rsidR="00F244DC" w:rsidRPr="006045CB" w:rsidRDefault="00F244DC"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4B2D726A" w14:textId="77777777" w:rsidR="00F244DC" w:rsidRPr="006045CB" w:rsidRDefault="00F244DC"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F5F7819"/>
    <w:multiLevelType w:val="hybridMultilevel"/>
    <w:tmpl w:val="42F8A5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821191651">
    <w:abstractNumId w:val="1"/>
  </w:num>
  <w:num w:numId="2" w16cid:durableId="511645746">
    <w:abstractNumId w:val="10"/>
  </w:num>
  <w:num w:numId="3" w16cid:durableId="1031537516">
    <w:abstractNumId w:val="11"/>
  </w:num>
  <w:num w:numId="4" w16cid:durableId="1604025960">
    <w:abstractNumId w:val="9"/>
  </w:num>
  <w:num w:numId="5" w16cid:durableId="591623442">
    <w:abstractNumId w:val="6"/>
  </w:num>
  <w:num w:numId="6" w16cid:durableId="4585011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7251720">
    <w:abstractNumId w:val="11"/>
  </w:num>
  <w:num w:numId="8" w16cid:durableId="882332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9407657">
    <w:abstractNumId w:val="8"/>
  </w:num>
  <w:num w:numId="10" w16cid:durableId="2103918341">
    <w:abstractNumId w:val="3"/>
  </w:num>
  <w:num w:numId="11" w16cid:durableId="1088043876">
    <w:abstractNumId w:val="4"/>
  </w:num>
  <w:num w:numId="12" w16cid:durableId="1222639992">
    <w:abstractNumId w:val="0"/>
  </w:num>
  <w:num w:numId="13" w16cid:durableId="1516076361">
    <w:abstractNumId w:val="12"/>
  </w:num>
  <w:num w:numId="14" w16cid:durableId="979651782">
    <w:abstractNumId w:val="5"/>
  </w:num>
  <w:num w:numId="15" w16cid:durableId="573903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C41"/>
    <w:rsid w:val="00017150"/>
    <w:rsid w:val="0002425A"/>
    <w:rsid w:val="00024EE4"/>
    <w:rsid w:val="00047C70"/>
    <w:rsid w:val="00050AAB"/>
    <w:rsid w:val="00052179"/>
    <w:rsid w:val="00054A53"/>
    <w:rsid w:val="00054C41"/>
    <w:rsid w:val="00060DA1"/>
    <w:rsid w:val="00061E85"/>
    <w:rsid w:val="000820E0"/>
    <w:rsid w:val="00090F58"/>
    <w:rsid w:val="00091A43"/>
    <w:rsid w:val="0009490E"/>
    <w:rsid w:val="000A6B7F"/>
    <w:rsid w:val="000C5419"/>
    <w:rsid w:val="000C5E9A"/>
    <w:rsid w:val="000D15F0"/>
    <w:rsid w:val="0011003B"/>
    <w:rsid w:val="001133DA"/>
    <w:rsid w:val="00122C5C"/>
    <w:rsid w:val="00126A2B"/>
    <w:rsid w:val="00136B0A"/>
    <w:rsid w:val="00142154"/>
    <w:rsid w:val="001476A4"/>
    <w:rsid w:val="0016199A"/>
    <w:rsid w:val="00162C6C"/>
    <w:rsid w:val="0016512E"/>
    <w:rsid w:val="0018572A"/>
    <w:rsid w:val="0018715C"/>
    <w:rsid w:val="001A1561"/>
    <w:rsid w:val="001A34C8"/>
    <w:rsid w:val="001B4C03"/>
    <w:rsid w:val="001C7B91"/>
    <w:rsid w:val="001D1083"/>
    <w:rsid w:val="001D3FA0"/>
    <w:rsid w:val="001D605F"/>
    <w:rsid w:val="001E24E8"/>
    <w:rsid w:val="001E4572"/>
    <w:rsid w:val="001E53CB"/>
    <w:rsid w:val="001E7747"/>
    <w:rsid w:val="00207F43"/>
    <w:rsid w:val="002232D3"/>
    <w:rsid w:val="00225A83"/>
    <w:rsid w:val="00231B8F"/>
    <w:rsid w:val="0025724D"/>
    <w:rsid w:val="00270EA5"/>
    <w:rsid w:val="002712B9"/>
    <w:rsid w:val="00274869"/>
    <w:rsid w:val="00284B8C"/>
    <w:rsid w:val="0029483F"/>
    <w:rsid w:val="002A74E0"/>
    <w:rsid w:val="002C2FC0"/>
    <w:rsid w:val="00302A17"/>
    <w:rsid w:val="00314BDD"/>
    <w:rsid w:val="00314D25"/>
    <w:rsid w:val="00315BE2"/>
    <w:rsid w:val="003322EE"/>
    <w:rsid w:val="00337630"/>
    <w:rsid w:val="00337BD2"/>
    <w:rsid w:val="00340CFD"/>
    <w:rsid w:val="003413D5"/>
    <w:rsid w:val="00342621"/>
    <w:rsid w:val="00354A95"/>
    <w:rsid w:val="00357F22"/>
    <w:rsid w:val="0036748D"/>
    <w:rsid w:val="00376039"/>
    <w:rsid w:val="0038255E"/>
    <w:rsid w:val="00391648"/>
    <w:rsid w:val="0039304E"/>
    <w:rsid w:val="0039334E"/>
    <w:rsid w:val="00394AD2"/>
    <w:rsid w:val="00395252"/>
    <w:rsid w:val="003A02AF"/>
    <w:rsid w:val="003A3124"/>
    <w:rsid w:val="003A686F"/>
    <w:rsid w:val="003E58B8"/>
    <w:rsid w:val="003F06D7"/>
    <w:rsid w:val="00400224"/>
    <w:rsid w:val="00400BA5"/>
    <w:rsid w:val="0040276D"/>
    <w:rsid w:val="00410E62"/>
    <w:rsid w:val="00414FA7"/>
    <w:rsid w:val="00420090"/>
    <w:rsid w:val="004239D1"/>
    <w:rsid w:val="00445638"/>
    <w:rsid w:val="00446432"/>
    <w:rsid w:val="00446512"/>
    <w:rsid w:val="00466D7A"/>
    <w:rsid w:val="00466DA9"/>
    <w:rsid w:val="0048237B"/>
    <w:rsid w:val="00482F01"/>
    <w:rsid w:val="00483A94"/>
    <w:rsid w:val="00484D16"/>
    <w:rsid w:val="00491853"/>
    <w:rsid w:val="004A14CD"/>
    <w:rsid w:val="004A2C6B"/>
    <w:rsid w:val="004B7A81"/>
    <w:rsid w:val="004D20CB"/>
    <w:rsid w:val="004D31EB"/>
    <w:rsid w:val="004D65B2"/>
    <w:rsid w:val="004D681D"/>
    <w:rsid w:val="004E0809"/>
    <w:rsid w:val="004E2324"/>
    <w:rsid w:val="004F63E6"/>
    <w:rsid w:val="00503366"/>
    <w:rsid w:val="00504761"/>
    <w:rsid w:val="00505AE4"/>
    <w:rsid w:val="005103DA"/>
    <w:rsid w:val="00511F8F"/>
    <w:rsid w:val="00512BA7"/>
    <w:rsid w:val="00515726"/>
    <w:rsid w:val="00550BBF"/>
    <w:rsid w:val="00562527"/>
    <w:rsid w:val="00562A1E"/>
    <w:rsid w:val="00563427"/>
    <w:rsid w:val="00573FB1"/>
    <w:rsid w:val="00581EB9"/>
    <w:rsid w:val="00593848"/>
    <w:rsid w:val="0059616E"/>
    <w:rsid w:val="005B4E6E"/>
    <w:rsid w:val="005B56E4"/>
    <w:rsid w:val="005C795C"/>
    <w:rsid w:val="005D0E50"/>
    <w:rsid w:val="005D39D8"/>
    <w:rsid w:val="005E5F6A"/>
    <w:rsid w:val="0061097B"/>
    <w:rsid w:val="0061612F"/>
    <w:rsid w:val="006177C8"/>
    <w:rsid w:val="006206B8"/>
    <w:rsid w:val="0062600A"/>
    <w:rsid w:val="0063777D"/>
    <w:rsid w:val="00643358"/>
    <w:rsid w:val="00646084"/>
    <w:rsid w:val="006564C3"/>
    <w:rsid w:val="006578CB"/>
    <w:rsid w:val="006623DB"/>
    <w:rsid w:val="00664FE0"/>
    <w:rsid w:val="00676953"/>
    <w:rsid w:val="00696370"/>
    <w:rsid w:val="006A4C0E"/>
    <w:rsid w:val="006A4E85"/>
    <w:rsid w:val="006A60C0"/>
    <w:rsid w:val="006A712F"/>
    <w:rsid w:val="006B5D74"/>
    <w:rsid w:val="006C25BE"/>
    <w:rsid w:val="006D7AD8"/>
    <w:rsid w:val="006F1D57"/>
    <w:rsid w:val="0070364C"/>
    <w:rsid w:val="00706A1E"/>
    <w:rsid w:val="00710EDF"/>
    <w:rsid w:val="007134D7"/>
    <w:rsid w:val="0072221D"/>
    <w:rsid w:val="0072357C"/>
    <w:rsid w:val="007259CB"/>
    <w:rsid w:val="00726031"/>
    <w:rsid w:val="00727E3A"/>
    <w:rsid w:val="007419AE"/>
    <w:rsid w:val="00744F8E"/>
    <w:rsid w:val="00751DA9"/>
    <w:rsid w:val="00755E69"/>
    <w:rsid w:val="007648EE"/>
    <w:rsid w:val="00770337"/>
    <w:rsid w:val="0077106D"/>
    <w:rsid w:val="0077196B"/>
    <w:rsid w:val="00780ACC"/>
    <w:rsid w:val="00787A11"/>
    <w:rsid w:val="007935BA"/>
    <w:rsid w:val="00797B40"/>
    <w:rsid w:val="007A0C9D"/>
    <w:rsid w:val="007B266E"/>
    <w:rsid w:val="007B40FB"/>
    <w:rsid w:val="007B62AF"/>
    <w:rsid w:val="007D21B9"/>
    <w:rsid w:val="007E0984"/>
    <w:rsid w:val="007E24B2"/>
    <w:rsid w:val="007E2DA4"/>
    <w:rsid w:val="007E6815"/>
    <w:rsid w:val="007E7632"/>
    <w:rsid w:val="007F1C84"/>
    <w:rsid w:val="007F4579"/>
    <w:rsid w:val="00801596"/>
    <w:rsid w:val="00804BC8"/>
    <w:rsid w:val="00806E23"/>
    <w:rsid w:val="00807981"/>
    <w:rsid w:val="00823F5A"/>
    <w:rsid w:val="00845D3B"/>
    <w:rsid w:val="00845F98"/>
    <w:rsid w:val="00851A53"/>
    <w:rsid w:val="008634E9"/>
    <w:rsid w:val="00863709"/>
    <w:rsid w:val="008801B5"/>
    <w:rsid w:val="00880578"/>
    <w:rsid w:val="00882407"/>
    <w:rsid w:val="00883FF8"/>
    <w:rsid w:val="00891F0F"/>
    <w:rsid w:val="008920C3"/>
    <w:rsid w:val="00894052"/>
    <w:rsid w:val="00894718"/>
    <w:rsid w:val="008A7B87"/>
    <w:rsid w:val="008B4AA1"/>
    <w:rsid w:val="008C1C71"/>
    <w:rsid w:val="008E0425"/>
    <w:rsid w:val="008E1AD0"/>
    <w:rsid w:val="008E315F"/>
    <w:rsid w:val="008E5239"/>
    <w:rsid w:val="008E6B82"/>
    <w:rsid w:val="008F6ADE"/>
    <w:rsid w:val="009020EE"/>
    <w:rsid w:val="0091269B"/>
    <w:rsid w:val="00923C0C"/>
    <w:rsid w:val="00944297"/>
    <w:rsid w:val="0095170D"/>
    <w:rsid w:val="00952CF6"/>
    <w:rsid w:val="00960413"/>
    <w:rsid w:val="00960FEA"/>
    <w:rsid w:val="00981995"/>
    <w:rsid w:val="00981C7F"/>
    <w:rsid w:val="00985515"/>
    <w:rsid w:val="00990813"/>
    <w:rsid w:val="0099544D"/>
    <w:rsid w:val="00997513"/>
    <w:rsid w:val="009A0E2C"/>
    <w:rsid w:val="009A4D56"/>
    <w:rsid w:val="009B1F04"/>
    <w:rsid w:val="009B322A"/>
    <w:rsid w:val="009E09F7"/>
    <w:rsid w:val="009E2D5C"/>
    <w:rsid w:val="009E3E44"/>
    <w:rsid w:val="009F4175"/>
    <w:rsid w:val="009F66A4"/>
    <w:rsid w:val="009F6C80"/>
    <w:rsid w:val="00A000DA"/>
    <w:rsid w:val="00A1736E"/>
    <w:rsid w:val="00A216DF"/>
    <w:rsid w:val="00A33F2C"/>
    <w:rsid w:val="00A42778"/>
    <w:rsid w:val="00A50EE3"/>
    <w:rsid w:val="00A62F35"/>
    <w:rsid w:val="00A7668A"/>
    <w:rsid w:val="00A83E11"/>
    <w:rsid w:val="00A9186A"/>
    <w:rsid w:val="00A94A0F"/>
    <w:rsid w:val="00AA3C6D"/>
    <w:rsid w:val="00AB57C4"/>
    <w:rsid w:val="00AC73BA"/>
    <w:rsid w:val="00B11CF5"/>
    <w:rsid w:val="00B209FA"/>
    <w:rsid w:val="00B21D1F"/>
    <w:rsid w:val="00B410BA"/>
    <w:rsid w:val="00B43D68"/>
    <w:rsid w:val="00B44A3A"/>
    <w:rsid w:val="00B5600C"/>
    <w:rsid w:val="00B66E33"/>
    <w:rsid w:val="00B72FB1"/>
    <w:rsid w:val="00B953DA"/>
    <w:rsid w:val="00BA19B0"/>
    <w:rsid w:val="00BB3870"/>
    <w:rsid w:val="00BB45A7"/>
    <w:rsid w:val="00BD04CF"/>
    <w:rsid w:val="00BD0EF7"/>
    <w:rsid w:val="00BD6778"/>
    <w:rsid w:val="00C01599"/>
    <w:rsid w:val="00C048D1"/>
    <w:rsid w:val="00C05563"/>
    <w:rsid w:val="00C11132"/>
    <w:rsid w:val="00C115B9"/>
    <w:rsid w:val="00C12FDD"/>
    <w:rsid w:val="00C145AA"/>
    <w:rsid w:val="00C14655"/>
    <w:rsid w:val="00C21399"/>
    <w:rsid w:val="00C34B1F"/>
    <w:rsid w:val="00C40492"/>
    <w:rsid w:val="00C446E2"/>
    <w:rsid w:val="00C535F5"/>
    <w:rsid w:val="00C560C4"/>
    <w:rsid w:val="00C6748F"/>
    <w:rsid w:val="00C67999"/>
    <w:rsid w:val="00C74337"/>
    <w:rsid w:val="00C75DC8"/>
    <w:rsid w:val="00C929AE"/>
    <w:rsid w:val="00C92BC6"/>
    <w:rsid w:val="00CA4344"/>
    <w:rsid w:val="00CA6348"/>
    <w:rsid w:val="00CB1232"/>
    <w:rsid w:val="00CB17A0"/>
    <w:rsid w:val="00CB70A8"/>
    <w:rsid w:val="00CB7D2F"/>
    <w:rsid w:val="00CC3B7D"/>
    <w:rsid w:val="00CD5AE4"/>
    <w:rsid w:val="00CD5E86"/>
    <w:rsid w:val="00CE3B21"/>
    <w:rsid w:val="00CF4D09"/>
    <w:rsid w:val="00D005F2"/>
    <w:rsid w:val="00D03A8E"/>
    <w:rsid w:val="00D114ED"/>
    <w:rsid w:val="00D3032C"/>
    <w:rsid w:val="00D31A3B"/>
    <w:rsid w:val="00D52618"/>
    <w:rsid w:val="00D5309D"/>
    <w:rsid w:val="00D631FA"/>
    <w:rsid w:val="00D63669"/>
    <w:rsid w:val="00D71064"/>
    <w:rsid w:val="00D74B4D"/>
    <w:rsid w:val="00D811BB"/>
    <w:rsid w:val="00D82356"/>
    <w:rsid w:val="00D84EEE"/>
    <w:rsid w:val="00D90A61"/>
    <w:rsid w:val="00D946EF"/>
    <w:rsid w:val="00D95553"/>
    <w:rsid w:val="00DC355F"/>
    <w:rsid w:val="00DD1E4C"/>
    <w:rsid w:val="00DD74AD"/>
    <w:rsid w:val="00DE331A"/>
    <w:rsid w:val="00DE6ACB"/>
    <w:rsid w:val="00DE7C7D"/>
    <w:rsid w:val="00DF02CE"/>
    <w:rsid w:val="00DF1462"/>
    <w:rsid w:val="00DF3190"/>
    <w:rsid w:val="00E030DA"/>
    <w:rsid w:val="00E214C0"/>
    <w:rsid w:val="00E30D85"/>
    <w:rsid w:val="00E444EB"/>
    <w:rsid w:val="00E6777F"/>
    <w:rsid w:val="00E77A69"/>
    <w:rsid w:val="00E81A42"/>
    <w:rsid w:val="00E961E8"/>
    <w:rsid w:val="00E96244"/>
    <w:rsid w:val="00E96DE0"/>
    <w:rsid w:val="00EB2BEC"/>
    <w:rsid w:val="00EB74BF"/>
    <w:rsid w:val="00EC0704"/>
    <w:rsid w:val="00EC508B"/>
    <w:rsid w:val="00ED087F"/>
    <w:rsid w:val="00ED5CC2"/>
    <w:rsid w:val="00ED6B5D"/>
    <w:rsid w:val="00EE4C99"/>
    <w:rsid w:val="00F00DB6"/>
    <w:rsid w:val="00F153D7"/>
    <w:rsid w:val="00F1599C"/>
    <w:rsid w:val="00F2433F"/>
    <w:rsid w:val="00F244DC"/>
    <w:rsid w:val="00F378F4"/>
    <w:rsid w:val="00F47912"/>
    <w:rsid w:val="00F541B6"/>
    <w:rsid w:val="00F57702"/>
    <w:rsid w:val="00F61361"/>
    <w:rsid w:val="00F613E8"/>
    <w:rsid w:val="00F74D3C"/>
    <w:rsid w:val="00F74FC9"/>
    <w:rsid w:val="00F77C79"/>
    <w:rsid w:val="00F91F47"/>
    <w:rsid w:val="00FA4F36"/>
    <w:rsid w:val="00FA6FFE"/>
    <w:rsid w:val="00FC121B"/>
    <w:rsid w:val="00FD3DFB"/>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F509634-EAD7-4553-A28C-7EA4AF6FF563}">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2650</Words>
  <Characters>15106</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Pavlikova Katarina</dc:creator>
  <cp:lastModifiedBy>Matulová Silvia</cp:lastModifiedBy>
  <cp:revision>3</cp:revision>
  <cp:lastPrinted>2026-06-12T06:30:00Z</cp:lastPrinted>
  <dcterms:created xsi:type="dcterms:W3CDTF">2026-07-30T11:36:00Z</dcterms:created>
  <dcterms:modified xsi:type="dcterms:W3CDTF">2026-07-30T11:42:00Z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y fmtid="{D5CDD505-2E9C-101B-9397-08002B2CF9AE}" pid="153" name="MSIP_Label_d8d4986f-dcbf-4623-ae9a-8251714e0a88_Enabled">
    <vt:lpwstr>true</vt:lpwstr>
  </property>
  <property fmtid="{D5CDD505-2E9C-101B-9397-08002B2CF9AE}" pid="154" name="MSIP_Label_d8d4986f-dcbf-4623-ae9a-8251714e0a88_SetDate">
    <vt:lpwstr>2026-05-25T11:34:03Z</vt:lpwstr>
  </property>
  <property fmtid="{D5CDD505-2E9C-101B-9397-08002B2CF9AE}" pid="155" name="MSIP_Label_d8d4986f-dcbf-4623-ae9a-8251714e0a88_Method">
    <vt:lpwstr>Privileged</vt:lpwstr>
  </property>
  <property fmtid="{D5CDD505-2E9C-101B-9397-08002B2CF9AE}" pid="156" name="MSIP_Label_d8d4986f-dcbf-4623-ae9a-8251714e0a88_Name">
    <vt:lpwstr>Public</vt:lpwstr>
  </property>
  <property fmtid="{D5CDD505-2E9C-101B-9397-08002B2CF9AE}" pid="157" name="MSIP_Label_d8d4986f-dcbf-4623-ae9a-8251714e0a88_SiteId">
    <vt:lpwstr>579df390-dbff-49fd-8f10-624670566482</vt:lpwstr>
  </property>
  <property fmtid="{D5CDD505-2E9C-101B-9397-08002B2CF9AE}" pid="158" name="MSIP_Label_d8d4986f-dcbf-4623-ae9a-8251714e0a88_ActionId">
    <vt:lpwstr>824eec8d-5f2f-440f-9209-ed139f06b69a</vt:lpwstr>
  </property>
  <property fmtid="{D5CDD505-2E9C-101B-9397-08002B2CF9AE}" pid="159" name="MSIP_Label_d8d4986f-dcbf-4623-ae9a-8251714e0a88_ContentBits">
    <vt:lpwstr>0</vt:lpwstr>
  </property>
</Properties>
</file>