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81992C" w14:textId="332C0D4B" w:rsidR="005A598A" w:rsidRPr="00B30BBF" w:rsidRDefault="00487BFE" w:rsidP="005A598A">
      <w:pPr>
        <w:spacing w:after="240" w:line="240" w:lineRule="auto"/>
        <w:jc w:val="both"/>
        <w:rPr>
          <w:rFonts w:ascii="Times New Roman" w:eastAsia="Times New Roman" w:hAnsi="Times New Roman" w:cs="Times New Roman"/>
          <w:sz w:val="26"/>
          <w:szCs w:val="26"/>
          <w:lang w:eastAsia="sk-SK"/>
        </w:rPr>
      </w:pPr>
      <w:r w:rsidRPr="00B30BBF">
        <w:rPr>
          <w:rFonts w:ascii="Times New Roman" w:eastAsia="Times New Roman" w:hAnsi="Times New Roman" w:cs="Times New Roman"/>
          <w:b/>
          <w:sz w:val="26"/>
          <w:szCs w:val="26"/>
          <w:lang w:eastAsia="sk-SK"/>
        </w:rPr>
        <w:t>Príloha 1</w:t>
      </w:r>
      <w:r w:rsidR="006D1BF4">
        <w:rPr>
          <w:rFonts w:ascii="Times New Roman" w:eastAsia="Times New Roman" w:hAnsi="Times New Roman" w:cs="Times New Roman"/>
          <w:b/>
          <w:sz w:val="26"/>
          <w:szCs w:val="26"/>
          <w:lang w:eastAsia="sk-SK"/>
        </w:rPr>
        <w:t xml:space="preserve">: </w:t>
      </w:r>
      <w:r w:rsidRPr="00B30BBF">
        <w:rPr>
          <w:rFonts w:ascii="Times New Roman" w:eastAsia="Times New Roman" w:hAnsi="Times New Roman" w:cs="Times New Roman"/>
          <w:b/>
          <w:sz w:val="26"/>
          <w:szCs w:val="26"/>
          <w:lang w:eastAsia="sk-SK"/>
        </w:rPr>
        <w:t xml:space="preserve"> </w:t>
      </w:r>
      <w:r w:rsidR="006D1BF4">
        <w:rPr>
          <w:rFonts w:ascii="Times New Roman" w:eastAsia="Times New Roman" w:hAnsi="Times New Roman" w:cs="Times New Roman"/>
          <w:b/>
          <w:sz w:val="26"/>
          <w:szCs w:val="26"/>
          <w:lang w:eastAsia="sk-SK"/>
        </w:rPr>
        <w:t>Prehľad z</w:t>
      </w:r>
      <w:r w:rsidRPr="00B30BBF">
        <w:rPr>
          <w:rFonts w:ascii="Times New Roman" w:eastAsia="Times New Roman" w:hAnsi="Times New Roman" w:cs="Times New Roman"/>
          <w:b/>
          <w:sz w:val="26"/>
          <w:szCs w:val="26"/>
          <w:lang w:eastAsia="sk-SK"/>
        </w:rPr>
        <w:t>m</w:t>
      </w:r>
      <w:r w:rsidR="006D1BF4">
        <w:rPr>
          <w:rFonts w:ascii="Times New Roman" w:eastAsia="Times New Roman" w:hAnsi="Times New Roman" w:cs="Times New Roman"/>
          <w:b/>
          <w:sz w:val="26"/>
          <w:szCs w:val="26"/>
          <w:lang w:eastAsia="sk-SK"/>
        </w:rPr>
        <w:t>i</w:t>
      </w:r>
      <w:r w:rsidRPr="00B30BBF">
        <w:rPr>
          <w:rFonts w:ascii="Times New Roman" w:eastAsia="Times New Roman" w:hAnsi="Times New Roman" w:cs="Times New Roman"/>
          <w:b/>
          <w:sz w:val="26"/>
          <w:szCs w:val="26"/>
          <w:lang w:eastAsia="sk-SK"/>
        </w:rPr>
        <w:t xml:space="preserve">en textovej </w:t>
      </w:r>
      <w:r w:rsidR="00B30BBF" w:rsidRPr="00B30BBF">
        <w:rPr>
          <w:rFonts w:ascii="Times New Roman" w:eastAsia="Times New Roman" w:hAnsi="Times New Roman" w:cs="Times New Roman"/>
          <w:b/>
          <w:sz w:val="26"/>
          <w:szCs w:val="26"/>
          <w:lang w:eastAsia="sk-SK"/>
        </w:rPr>
        <w:t>časti</w:t>
      </w:r>
      <w:r w:rsidR="006D1BF4">
        <w:rPr>
          <w:rFonts w:ascii="Times New Roman" w:eastAsia="Times New Roman" w:hAnsi="Times New Roman" w:cs="Times New Roman"/>
          <w:b/>
          <w:sz w:val="26"/>
          <w:szCs w:val="26"/>
          <w:lang w:eastAsia="sk-SK"/>
        </w:rPr>
        <w:t xml:space="preserve"> OP KŽP </w:t>
      </w:r>
      <w:r w:rsidR="005A598A" w:rsidRPr="00B30BBF">
        <w:rPr>
          <w:rFonts w:ascii="Times New Roman" w:eastAsia="Times New Roman" w:hAnsi="Times New Roman" w:cs="Times New Roman"/>
          <w:b/>
          <w:sz w:val="26"/>
          <w:szCs w:val="26"/>
          <w:lang w:eastAsia="sk-SK"/>
        </w:rPr>
        <w:t>(formálne a ostatné úpravy)</w:t>
      </w:r>
      <w:r w:rsidR="005A598A" w:rsidRPr="00B30BBF">
        <w:rPr>
          <w:rFonts w:ascii="Times New Roman" w:eastAsia="Times New Roman" w:hAnsi="Times New Roman" w:cs="Times New Roman"/>
          <w:sz w:val="26"/>
          <w:szCs w:val="26"/>
          <w:lang w:eastAsia="sk-SK"/>
        </w:rPr>
        <w:t xml:space="preserve"> </w:t>
      </w:r>
    </w:p>
    <w:p w14:paraId="2BDE2698"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1 Stratégia operačného programu, v podkapitole 1.1.2 Odôvodnenie výberu tematických cieľov a zodpovedajúcich investičných priorít bol v Tabuľke 4 Odôvodnenie výberu tematických cieľov a investičných priorít v časti TC 5 sa vypúšťa text týkajúci sa rekultivácie uzavretých úložísk a opustených úložísk ťažobného odpadu:</w:t>
      </w:r>
    </w:p>
    <w:p w14:paraId="047B677E" w14:textId="77777777" w:rsidR="005A598A" w:rsidRPr="005A598A" w:rsidRDefault="005A598A" w:rsidP="005A598A">
      <w:pPr>
        <w:spacing w:after="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„7) Program prevencie a manažmentu rizík vyplývajúcich z opustených a uzavretých úložísk ťažobného odpadu (2014-2020) - schválený v r. 2014</w:t>
      </w:r>
    </w:p>
    <w:p w14:paraId="0D3E1130"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8) Existencia uzavretých úložísk a opustených úložísk ťažobných odpadov predstavujúcich dlhodobé riziko z hľadiska vplyvu na zdravie obyvateľov a stav ŽP a povinnosť ich inventarizácie v zmysle smernice 2006/21/ES“;</w:t>
      </w:r>
    </w:p>
    <w:p w14:paraId="21260BB2"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i/>
          <w:sz w:val="24"/>
          <w:szCs w:val="24"/>
        </w:rPr>
      </w:pPr>
      <w:r w:rsidRPr="005A598A">
        <w:rPr>
          <w:rFonts w:ascii="Times New Roman" w:eastAsia="Calibri" w:hAnsi="Times New Roman" w:cs="Times New Roman"/>
          <w:sz w:val="24"/>
          <w:szCs w:val="24"/>
        </w:rPr>
        <w:t>V kap. 1 Stratégia operačného programu, boli v podkapitole 1.2 Odôvodnenie pridelených finančných prostriedkov a v Tabuľke 5 Prehľad investičnej stratégie OP v dôsledku presunu finančných prostriedkov z PO 2 do PO 1 upravené alokácie a podiel na celkovej podpore Únie poskytnutej na OP pre tieto dve prioritné osi. Zároveň bol v Tabuľke 5 v stĺpci „Špecifické cie</w:t>
      </w:r>
      <w:bookmarkStart w:id="0" w:name="_GoBack"/>
      <w:bookmarkEnd w:id="0"/>
      <w:r w:rsidRPr="005A598A">
        <w:rPr>
          <w:rFonts w:ascii="Times New Roman" w:eastAsia="Calibri" w:hAnsi="Times New Roman" w:cs="Times New Roman"/>
          <w:sz w:val="24"/>
          <w:szCs w:val="24"/>
        </w:rPr>
        <w:t>le zodpovedajúce investičnej priorite“ a v stĺpci „Spoločné ukazovatele a špecifické výsledkové ukazovatele programu, pre ktoré boli stanovené ciele“ v rámci PO 2 vypustený text:</w:t>
      </w:r>
      <w:r w:rsidRPr="005A598A">
        <w:rPr>
          <w:rFonts w:ascii="Times New Roman" w:eastAsia="Calibri" w:hAnsi="Times New Roman" w:cs="Times New Roman"/>
          <w:i/>
          <w:sz w:val="24"/>
          <w:szCs w:val="24"/>
        </w:rPr>
        <w:t>„2.1.2 Zlepšenie účinnosti sanácie, revitalizácie a zabezpečenia úložísk ťažobného odpadu - Podiel plochy zrekultivovaných uzavretých úložísk a opustených úložísk ťažobného odpadu na celkovej ploche evidovaných uzavretých úložísk a opustených úložísk ťažobného odpadu“;</w:t>
      </w:r>
    </w:p>
    <w:p w14:paraId="4B9B7A6A"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2.1.0 Fond, kategória regiónu a základ pre výpočet podpory Únie bol zvýšený „Základ pre výpočet (celkový príspevok)“ z hodnoty „1 802 207 501 €“ na hodnotu „1 842 308 359 €“;</w:t>
      </w:r>
    </w:p>
    <w:p w14:paraId="26B40AAD"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2.1.2.1 Špecifické ciele zodpovedajúce investičnej priorite a očakávané výsledky bola v rámci ŠC 1.2.1, v Tabuľke 8 upravená cieľová hodnota výsledkového ukazovateľa „R0120 – Počet obyvateľov napojených na systém odvádzania a čistenia komunálnych odpadových vôd“ a to z pôvodnej hodnoty „3 836 296 osôb“ na hodnotu „3 851 955 osôb“. Zároveň sa aktualizuje aj zdroj údajov z „MŽP SR (Vodné hospodárstvo v SR)“ na „MŽP SR (Vodné hospodárstvo v SR, Správa o stave životného prostredia Slovenskej republiky)“. Dôvodom navrhovanej zmeny je navýšenie hodnoty ukazovateľa výstupu „CO19 – Zvýšený počet obyvateľov so zlepšeným čistením komunálnych odpadových vôd“ a jeho prepojenie na ukazovateľ „R0120“;</w:t>
      </w:r>
    </w:p>
    <w:p w14:paraId="640A6457"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2.1.2.1 Špecifické ciele zodpovedajúce investičnej priorite a očakávané výsledky bola v rámci ŠC 1.2.2, v Tabuľke 9 upravená cieľová hodnota výsledkového ukazovateľa „R0003 – Počet obyvateľov napojených na verejný vodovod“ a to z pôvodnej hodnoty „4 709 453“ na hodnotu „4 850 000“, ktorá vychádza zo súčasných štatistických údajov (r. 2016) so započítaním projektov realizovaných v rámci OP ŽP a predpokladanej hodnoty ukazovateľa projektov, ktoré sa zrealizujú z OP KŽP;</w:t>
      </w:r>
    </w:p>
    <w:p w14:paraId="7DB8411B"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Zároveň sa aktualizuje aj zdroj údajov z „Štatistický úrad SR, Vodné hospodárstvo v SR“ na „Štatistický úrad SR“, keďže uvedený údaj sa zisťuje z databázy ŠÚ SR;</w:t>
      </w:r>
    </w:p>
    <w:p w14:paraId="20A6B168"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2.1.2.6 Spoločné ukazovatele výstupu a ukazovatele výstupu na úrovni programu sa v Tabuľke 11 mení cieľová hodnota (r. 2023) ukazovateľa výstupu „CO19 – Zvýšený počet obyvateľov so zlepšeným čistením komunálnych odpadových vôd“ z pôvodnej hodnoty „205 046 EO“ na hodnotu „220 705 EO“;</w:t>
      </w:r>
    </w:p>
    <w:p w14:paraId="35F09B5A"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lastRenderedPageBreak/>
        <w:t>V kap. 2 Opis prioritných osí operačného programu, v podkapitole 2.1.3.2 Oprávnené aktivity bola v rámci ŠC 1.3.1 Aktivity A. Dobudovanie sústavy Natura 2000 a zabezpečenie starostlivosti o sústavu Natura 2000 a ďalšie chránené územia (vrátane území medzinárodného významu), ako aj chránené druhy za účelom zabezpečenie ochrany prírody upravená vysvetlivka č. 86 tak, aby výkup pozemkov nebol obmedzený len na výkup pozemkov v 5. stupni ochrany. Text vysvetlivky sa mení z pôvodného znenia:</w:t>
      </w:r>
    </w:p>
    <w:p w14:paraId="6A84AADA"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„Výkup pozemkov bude obmedzený na mieru prípustnú vo všeobecnom nariadení (čl. 69 ods. 3 písm. b) všeobecného nariadenia) a aj to iba v prípade, ak sa dané územie bude nachádzať v najvyššom stupni ochrany a nákup pozemku bude nevyhnutný na dosiahnutie cieľov projektu.“</w:t>
      </w:r>
    </w:p>
    <w:p w14:paraId="7E9B6141" w14:textId="77777777" w:rsidR="005A598A" w:rsidRPr="005A598A" w:rsidRDefault="005A598A" w:rsidP="005A598A">
      <w:pPr>
        <w:spacing w:after="0" w:line="240" w:lineRule="auto"/>
        <w:ind w:left="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na nové znenie:</w:t>
      </w:r>
    </w:p>
    <w:p w14:paraId="29EF08AE"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„Výkup pozemkov bude obmedzený na mieru prípustnú vo všeobecnom nariadení (čl. 69 ods. 3 písm. b) všeobecného nariadenia) a aj to iba v prípade, ak sa pozemky budú nachádzať v území s tretím, štvrtým alebo piatym stupňom ochrany, výkup pozemkov bude nevyhnutný na dosiahnutie cieľov projektu a pozemky budú vykúpené do vlastníctva štátu, správy odbornej organizácie ochrany prírody a krajiny s celoslovenskou pôsobnosťou zriadenou MŽP SR podľa zákona o ochrane prírody a krajiny.“;</w:t>
      </w:r>
    </w:p>
    <w:p w14:paraId="522CBDAC"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 xml:space="preserve">V kap. 2 Opis prioritných osí operačného programu, v podkapitole 2.1.4.2 Oprávnené aktivity vypúšťa nasledujúci text: </w:t>
      </w:r>
      <w:r w:rsidRPr="005A598A">
        <w:rPr>
          <w:rFonts w:ascii="Times New Roman" w:eastAsia="Calibri" w:hAnsi="Times New Roman" w:cs="Times New Roman"/>
          <w:i/>
          <w:sz w:val="24"/>
          <w:szCs w:val="24"/>
        </w:rPr>
        <w:t xml:space="preserve">„Evidencia environmentálnych záťaží v osobitnom informačnom systéme, v rámci ktorého nedochádza k </w:t>
      </w:r>
      <w:proofErr w:type="spellStart"/>
      <w:r w:rsidRPr="005A598A">
        <w:rPr>
          <w:rFonts w:ascii="Times New Roman" w:eastAsia="Calibri" w:hAnsi="Times New Roman" w:cs="Times New Roman"/>
          <w:i/>
          <w:sz w:val="24"/>
          <w:szCs w:val="24"/>
        </w:rPr>
        <w:t>prekryvom</w:t>
      </w:r>
      <w:proofErr w:type="spellEnd"/>
      <w:r w:rsidRPr="005A598A">
        <w:rPr>
          <w:rFonts w:ascii="Times New Roman" w:eastAsia="Calibri" w:hAnsi="Times New Roman" w:cs="Times New Roman"/>
          <w:i/>
          <w:sz w:val="24"/>
          <w:szCs w:val="24"/>
        </w:rPr>
        <w:t xml:space="preserve"> s evidenciou opustených a uzavretých úložísk ťažobných odpadov (ktorá je zabezpečená prostredníctvom ďalšieho osobitného systému) zároveň vytvára presnú deliacu líniu medzi týmito typmi aktivít.“;</w:t>
      </w:r>
    </w:p>
    <w:p w14:paraId="19754DBF"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2.1.4.6 Spoločné ukazovatele výstupu a ukazovatele výstupu na úrovni programu sa v Tabuľke 16 mení cieľová hodnota (r. 2023) ukazovateľa výstupu „CO22 – Celkový povrch rekultivovanej pôdy“, a to z pôvodnej hodnoty „125 ha“ na hodnotu „132 ha“;</w:t>
      </w:r>
    </w:p>
    <w:p w14:paraId="44345F32"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celom texte OP KŽP sa pôvodný názov finančného ukazovateľa F0002 „Celková suma oprávnených výdavkov po ich certifikácii certifikačným orgánom“ nahrádza novým názvom „Celková suma oprávnených výdavkov po ich certifikácii certifikačným orgánom a predložení žiadostí o platby Európskej komisii“;</w:t>
      </w:r>
    </w:p>
    <w:p w14:paraId="2834CD98"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 xml:space="preserve">V kap. 2 Opis prioritných osí operačného programu boli v podkapitole 2.1.5 Výkonnostný rámec Prioritnej osi 1 v Tabuľke 17 upravené ukazovatele výkonnostného rámca. Táto úprava spočíva v znížení hodnoty čiastkového cieľa ukazovateľa výstupu výkonnostného rámca „Celkový povrch rekultivovanej plochy“ z „15 ha“ na „0 ha“. Dopĺňa sa kľúčový implementačný krok „Celkový povrch rekultivovanej pôdy podľa plánovaného stavu </w:t>
      </w:r>
      <w:proofErr w:type="spellStart"/>
      <w:r w:rsidRPr="005A598A">
        <w:rPr>
          <w:rFonts w:ascii="Times New Roman" w:eastAsia="Calibri" w:hAnsi="Times New Roman" w:cs="Times New Roman"/>
          <w:sz w:val="24"/>
          <w:szCs w:val="24"/>
        </w:rPr>
        <w:t>zazmluvnených</w:t>
      </w:r>
      <w:proofErr w:type="spellEnd"/>
      <w:r w:rsidRPr="005A598A">
        <w:rPr>
          <w:rFonts w:ascii="Times New Roman" w:eastAsia="Calibri" w:hAnsi="Times New Roman" w:cs="Times New Roman"/>
          <w:sz w:val="24"/>
          <w:szCs w:val="24"/>
        </w:rPr>
        <w:t xml:space="preserve"> projektov, ktorých verejné obstarávanie bolo overené“ s hodnotou čiastkového cieľa pre rok 2018 „80 ha“. V nadväznosti na zníženie hodnoty čiastkového cieľa ukazovateľa výstupu „Celkový povrch rekultivovanej plochy“ z „15 ha“ na „0 ha“ sa znižuje čiastkový cieľ finančného ukazovateľa výkonnostného rámca PO 1 „Celková suma oprávnených výdavkov po ich certifikácii certifikačným orgánom a predložení žiadostí o platby Európskej komisii“ z hodnoty „430 mil. €“ na hodnotu „376,1 mil. €“ (t. j. o 53,9 mil. €). Ukazovateľ výstupu „Zvýšený počet obyvateľov so zlepšeným čistením komunálnych odpadových vôd“ sa zvyšuje z hodnoty „205 046 EO“ na hodnotu „220 705 EO“. Zároveň, v súvislosti s presunom zdrojov z PO 2 do PO 1 sa navyšuje celkový cieľ (r. 2023) finančného ukazovateľa PO 1 „Celková suma oprávnených výdavkov po ich certifikácii certifikačným orgánom a predložení žiadostí o platby Európskej komisii“ z pôvodných „1 802 207 500 €“ na hodnotu „1 842 308 359 mil. €“. Presun alokácie z PO 2 do PO 1 sa premietol aj do zvýšenia celkovej cieľovej hodnoty ukazovateľa PO 1 „Celkový povrch rekultivovanej pôdy“, vzťahujúceho s k sanácii </w:t>
      </w:r>
      <w:r w:rsidRPr="005A598A">
        <w:rPr>
          <w:rFonts w:ascii="Times New Roman" w:eastAsia="Calibri" w:hAnsi="Times New Roman" w:cs="Times New Roman"/>
          <w:sz w:val="24"/>
          <w:szCs w:val="24"/>
        </w:rPr>
        <w:lastRenderedPageBreak/>
        <w:t>environmentálnych záťaží, a to z pôvodných „125 ha“ na hodnotu „132 ha“. Zároveň dochádza k zmene podielu na alokácii prioritnej osi pre jednotlivé ukazovatele výkonnostného rámca (formálna úprava);</w:t>
      </w:r>
    </w:p>
    <w:p w14:paraId="0CBFFE30"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súvislosti s presunom finančných prostriedkov z PO 2 do PO 1 vo výške takmer 34,09 mil. € z oblasti intervencie 087 „Opatrenia v oblasti adaptácie na zmenu klímy a predchádzanie a riadenie rizík súvisiacich s klímou, ako napr. erózia, požiare, povodne, búrky a suchá, vrátane zvyšovania povedomia, civilnej ochrany a systémov a infraštruktúr na zvládanie katastrof“ do oblasti intervencie 089 „Rekultivácia priemyselných plôch a kontaminovanej pôdy“ dochádza k zmene v oblastiach intervencie v Tabuľke 18;</w:t>
      </w:r>
    </w:p>
    <w:p w14:paraId="3C87333B"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2.2.0 Fond, kategória regiónu a základ pre výpočet podpory Únie bol znížený „Základ pre výpočet (celkový príspevok)“ z hodnoty „493 348 543 €“ na hodnotu „453 247 685 €“;</w:t>
      </w:r>
    </w:p>
    <w:p w14:paraId="29C53653"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2.2.1 Investičná priorita 1 Prioritnej osi 2: 2.1 Podpora investícií na prispôsobovanie sa zmene klímy vrátane ekosystémových prístupov bol vypustený ŠC 2.1.2 Zlepšenie účinnosti sanácie, revitalizácie a zabezpečenia úložísk ťažobného odpadu;</w:t>
      </w:r>
    </w:p>
    <w:p w14:paraId="0DC1EA78"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2.2.2 Výkonnostný rámec Prioritnej osi 2 v Tabuľke 24 sa znižuje hodnota čiastkového cieľa finančného ukazovateľa výkonnostného rámca PO 2 „Celková suma oprávnených výdavkov po ich certifikácii certifikačným orgánom a predložení žiadostí o platby Európskej komisii“ z pôvodných „118 mil. €“ na „108 mil. €“. Zároveň sa znižuje jeho cieľová hodnota zo „493 348 543 €“ na „453 247 685 €“. Dopĺňa sa tiež nový zdroj údajov „ITMS/CO (MF SR)“. Mení sa aj podiel na alokácii prioritnej osi pre jednotlivé ukazovatele výkonnostného rámca (formálna úprava). Údaje boli zosúladené s Tabuľkou 76 Výkonnostný rámec operačného programu podľa fondu a kategórie regiónu;</w:t>
      </w:r>
    </w:p>
    <w:p w14:paraId="634CA8AD"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súvislosti s presunom finančných prostriedkov z PO 2 do PO 1 vo výške takmer 34,09 mil. € z oblasti intervencie 087 „Opatrenia v oblasti adaptácie na zmenu klímy a predchádzanie a riadenie rizík súvisiacich s klímou, ako napr. erózia, požiare, povodne, búrky a suchá, vrátane zvyšovania povedomia, civilnej ochrany a systémov a infraštruktúr na zvládanie katastrof“ do oblasti intervencie 089 „Rekultivácia priemyselných plôch a kontaminovanej pôdy“ dochádza k poklesu indikatívnej alokácie na podporu cieľov zmeny klímy vzhľadom na to, že indikatívna alokácia oblasti intervencie 087 v plnej výške prispieva k podpore cieľov zmeny klímy, zatiaľ čo príspevok indikatívnej alokácie 089 je k podpore cieľov zmeny klímy nulový. Zmeny, ktoré nastali v oblastiach intervencií sú zachytené v Tabuľke 25;</w:t>
      </w:r>
    </w:p>
    <w:p w14:paraId="0EEFDFB3"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2.3.2 Výkonnostný rámec Prioritnej osi 3 v Tabuľke 33 sa znižuje čiastkový cieľ finančného ukazovateľa výkonnostného rámca PO 3 „Celková suma oprávnených výdavkov po ich certifikácii certifikačným orgánom a predložení žiadostí o platby Európskej komisii“ z pôvodných „74,6 mil. €“  na „47 mil. €“. Dopĺňa sa tiež nový zdroj údajov „ITMS / CO (MF SR)“;</w:t>
      </w:r>
    </w:p>
    <w:p w14:paraId="23658A41"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v podkapitole 2.4.2.1 Špecifické ciele zodpovedajúce investičnej priorite a očakávané výsledky bol v Tabuľke 38 pôvodný zdroj údajov „MH SR“ nahradený novým zdrojom údajov „</w:t>
      </w:r>
      <w:proofErr w:type="spellStart"/>
      <w:r w:rsidRPr="005A598A">
        <w:rPr>
          <w:rFonts w:ascii="Times New Roman" w:eastAsia="Calibri" w:hAnsi="Times New Roman" w:cs="Times New Roman"/>
          <w:sz w:val="24"/>
          <w:szCs w:val="24"/>
        </w:rPr>
        <w:t>Eurostat</w:t>
      </w:r>
      <w:proofErr w:type="spellEnd"/>
      <w:r w:rsidRPr="005A598A">
        <w:rPr>
          <w:rFonts w:ascii="Times New Roman" w:eastAsia="Calibri" w:hAnsi="Times New Roman" w:cs="Times New Roman"/>
          <w:sz w:val="24"/>
          <w:szCs w:val="24"/>
        </w:rPr>
        <w:t>“ pre výsledkový ukazovateľ R0015 – Podiel energie z OZE na hrubej konečnej energetickej spotrebe SR;</w:t>
      </w:r>
    </w:p>
    <w:p w14:paraId="345150EC" w14:textId="28C05BEB" w:rsidR="00D95EE7" w:rsidRPr="00D95EE7" w:rsidRDefault="00D95EE7" w:rsidP="00D95EE7">
      <w:pPr>
        <w:pStyle w:val="Odsekzoznamu"/>
        <w:numPr>
          <w:ilvl w:val="0"/>
          <w:numId w:val="1"/>
        </w:numPr>
        <w:spacing w:after="60" w:line="240" w:lineRule="auto"/>
        <w:ind w:left="284" w:hanging="284"/>
        <w:contextualSpacing w:val="0"/>
        <w:jc w:val="both"/>
        <w:rPr>
          <w:rFonts w:ascii="Times New Roman" w:hAnsi="Times New Roman"/>
          <w:sz w:val="24"/>
          <w:szCs w:val="24"/>
        </w:rPr>
      </w:pPr>
      <w:r w:rsidRPr="005D2C4A">
        <w:rPr>
          <w:rFonts w:ascii="Times New Roman" w:hAnsi="Times New Roman"/>
          <w:sz w:val="24"/>
          <w:szCs w:val="24"/>
        </w:rPr>
        <w:t>V kap. 2 Opis prioritných osí operačného programu, podkapitole 2.4.2.2 Oprávnené aktivity, ŠC 4.1.1</w:t>
      </w:r>
      <w:r>
        <w:rPr>
          <w:rFonts w:ascii="Times New Roman" w:hAnsi="Times New Roman"/>
          <w:sz w:val="24"/>
          <w:szCs w:val="24"/>
        </w:rPr>
        <w:t xml:space="preserve"> </w:t>
      </w:r>
      <w:r w:rsidRPr="005D2C4A">
        <w:rPr>
          <w:rFonts w:ascii="Times New Roman" w:hAnsi="Times New Roman"/>
          <w:sz w:val="24"/>
          <w:szCs w:val="24"/>
        </w:rPr>
        <w:t xml:space="preserve">bola </w:t>
      </w:r>
      <w:r w:rsidRPr="005D2C4A">
        <w:rPr>
          <w:rFonts w:ascii="Times New Roman" w:hAnsi="Times New Roman"/>
          <w:i/>
          <w:sz w:val="24"/>
          <w:szCs w:val="24"/>
        </w:rPr>
        <w:t>„Aktivita B. Výstavba zariadení na...“</w:t>
      </w:r>
      <w:r w:rsidRPr="005D2C4A">
        <w:rPr>
          <w:rFonts w:ascii="Times New Roman" w:hAnsi="Times New Roman"/>
          <w:sz w:val="24"/>
          <w:szCs w:val="24"/>
        </w:rPr>
        <w:t xml:space="preserve"> doplnená o </w:t>
      </w:r>
      <w:proofErr w:type="spellStart"/>
      <w:r w:rsidRPr="005D2C4A">
        <w:rPr>
          <w:rFonts w:ascii="Times New Roman" w:hAnsi="Times New Roman"/>
          <w:sz w:val="24"/>
          <w:szCs w:val="24"/>
        </w:rPr>
        <w:t>podaktivitu</w:t>
      </w:r>
      <w:proofErr w:type="spellEnd"/>
      <w:r w:rsidRPr="005D2C4A">
        <w:rPr>
          <w:rFonts w:ascii="Times New Roman" w:hAnsi="Times New Roman"/>
          <w:sz w:val="24"/>
          <w:szCs w:val="24"/>
        </w:rPr>
        <w:t xml:space="preserve"> </w:t>
      </w:r>
      <w:r w:rsidRPr="005D2C4A">
        <w:rPr>
          <w:rFonts w:ascii="Times New Roman" w:hAnsi="Times New Roman"/>
          <w:i/>
          <w:sz w:val="24"/>
          <w:szCs w:val="24"/>
        </w:rPr>
        <w:t>„</w:t>
      </w:r>
      <w:r w:rsidRPr="00D95EE7">
        <w:rPr>
          <w:rFonts w:ascii="Times New Roman" w:hAnsi="Times New Roman"/>
          <w:bCs/>
          <w:i/>
          <w:sz w:val="24"/>
          <w:szCs w:val="24"/>
        </w:rPr>
        <w:t>využitie slnečnej energie na výrobu tepla“</w:t>
      </w:r>
      <w:r w:rsidRPr="00D95EE7">
        <w:rPr>
          <w:rFonts w:ascii="Times New Roman" w:hAnsi="Times New Roman"/>
          <w:i/>
          <w:sz w:val="24"/>
          <w:szCs w:val="24"/>
        </w:rPr>
        <w:t>.</w:t>
      </w:r>
      <w:r>
        <w:rPr>
          <w:rFonts w:ascii="Times New Roman" w:hAnsi="Times New Roman"/>
          <w:sz w:val="24"/>
          <w:szCs w:val="24"/>
        </w:rPr>
        <w:t xml:space="preserve"> Uvedená zmena bola vykonaná v nadväznosti na pripomienku Slovenské zväzu výrobcov tepla ako člena Monitorovacieho výboru pre OP KŽP v procese pripomienkovania predmetného návrhu.</w:t>
      </w:r>
    </w:p>
    <w:p w14:paraId="7E0882B3" w14:textId="7121C452" w:rsidR="00D95EE7" w:rsidRPr="00D95EE7" w:rsidRDefault="00D95EE7" w:rsidP="00D95EE7">
      <w:pPr>
        <w:numPr>
          <w:ilvl w:val="0"/>
          <w:numId w:val="1"/>
        </w:numPr>
        <w:spacing w:after="60" w:line="240" w:lineRule="auto"/>
        <w:ind w:left="284" w:hanging="284"/>
        <w:jc w:val="both"/>
        <w:rPr>
          <w:rFonts w:ascii="Times New Roman" w:eastAsia="Calibri" w:hAnsi="Times New Roman" w:cs="Times New Roman"/>
          <w:sz w:val="24"/>
          <w:szCs w:val="24"/>
        </w:rPr>
      </w:pPr>
      <w:r w:rsidRPr="00D95EE7">
        <w:rPr>
          <w:rFonts w:ascii="Times New Roman" w:eastAsia="Calibri" w:hAnsi="Times New Roman" w:cs="Times New Roman"/>
          <w:sz w:val="24"/>
          <w:szCs w:val="24"/>
        </w:rPr>
        <w:lastRenderedPageBreak/>
        <w:t xml:space="preserve">V kap. 2 Opis prioritných osí operačného programu, podkapitole 2.4.2.2 Oprávnené aktivity v rámci ŠC 4.1.1 Aktivity C. Inštalácia malých zariadení na využívanie OZE bola pôvodná </w:t>
      </w:r>
      <w:r>
        <w:rPr>
          <w:rFonts w:ascii="Times New Roman" w:eastAsia="Calibri" w:hAnsi="Times New Roman" w:cs="Times New Roman"/>
          <w:sz w:val="24"/>
          <w:szCs w:val="24"/>
        </w:rPr>
        <w:t>veta</w:t>
      </w:r>
      <w:r w:rsidRPr="00D95EE7">
        <w:rPr>
          <w:rFonts w:ascii="Times New Roman" w:eastAsia="Calibri" w:hAnsi="Times New Roman" w:cs="Times New Roman"/>
          <w:sz w:val="24"/>
          <w:szCs w:val="24"/>
        </w:rPr>
        <w:t xml:space="preserve"> </w:t>
      </w:r>
      <w:r w:rsidRPr="00D95EE7">
        <w:rPr>
          <w:rFonts w:ascii="Times New Roman" w:eastAsia="Calibri" w:hAnsi="Times New Roman" w:cs="Times New Roman"/>
          <w:i/>
          <w:sz w:val="24"/>
          <w:szCs w:val="24"/>
        </w:rPr>
        <w:t>„Podporu na kotly na spaľovanie biomasy bude možné využiť len v lokalitách, kde nie je možnosť pripojenia rodinného domu k systému centralizovaného zásobovania teplom a kotlom na biomasu sa nahradí kotol na fosílne palivá.“</w:t>
      </w:r>
      <w:r w:rsidRPr="00D95EE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doplnená </w:t>
      </w:r>
      <w:r w:rsidRPr="00D95EE7">
        <w:rPr>
          <w:rFonts w:ascii="Times New Roman" w:eastAsia="Calibri" w:hAnsi="Times New Roman" w:cs="Times New Roman"/>
          <w:sz w:val="24"/>
          <w:szCs w:val="24"/>
        </w:rPr>
        <w:t xml:space="preserve">o slovo </w:t>
      </w:r>
      <w:r w:rsidRPr="00D95EE7">
        <w:rPr>
          <w:rFonts w:ascii="Times New Roman" w:eastAsia="Calibri" w:hAnsi="Times New Roman" w:cs="Times New Roman"/>
          <w:i/>
          <w:sz w:val="24"/>
          <w:szCs w:val="24"/>
        </w:rPr>
        <w:t>„tuhé“</w:t>
      </w:r>
      <w:r w:rsidRPr="00D95EE7">
        <w:rPr>
          <w:rFonts w:ascii="Times New Roman" w:eastAsia="Calibri" w:hAnsi="Times New Roman" w:cs="Times New Roman"/>
          <w:sz w:val="24"/>
          <w:szCs w:val="24"/>
        </w:rPr>
        <w:t xml:space="preserve"> pred slovné spojenie „</w:t>
      </w:r>
      <w:r w:rsidRPr="00D95EE7">
        <w:rPr>
          <w:rFonts w:ascii="Times New Roman" w:eastAsia="Calibri" w:hAnsi="Times New Roman" w:cs="Times New Roman"/>
          <w:i/>
          <w:sz w:val="24"/>
          <w:szCs w:val="24"/>
        </w:rPr>
        <w:t>fosílne palivá“</w:t>
      </w:r>
      <w:r w:rsidRPr="00D95EE7">
        <w:rPr>
          <w:rFonts w:ascii="Times New Roman" w:eastAsia="Calibri" w:hAnsi="Times New Roman" w:cs="Times New Roman"/>
          <w:sz w:val="24"/>
          <w:szCs w:val="24"/>
        </w:rPr>
        <w:t>.</w:t>
      </w:r>
      <w:r>
        <w:rPr>
          <w:rFonts w:ascii="Times New Roman" w:eastAsia="Calibri" w:hAnsi="Times New Roman" w:cs="Times New Roman"/>
          <w:sz w:val="24"/>
          <w:szCs w:val="24"/>
        </w:rPr>
        <w:t xml:space="preserve"> Uvedená zmena bola vykonaná v nadväznosti na pripomienku Slovenského plynárenského priemyslu – distribúcia, a. s. v rámci procesu  SEA.</w:t>
      </w:r>
    </w:p>
    <w:p w14:paraId="0975AA3F"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2 Opis prioritných osí operačného programu, podkapitole 2.4.2.2 Oprávnené aktivity v rámci ŠC 4.1.1 Aktivity C. Inštalácia malých zariadení na využívanie OZE bol pôvodný text:</w:t>
      </w:r>
    </w:p>
    <w:p w14:paraId="0210E312"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 xml:space="preserve">„Pri inštalácii </w:t>
      </w:r>
      <w:proofErr w:type="spellStart"/>
      <w:r w:rsidRPr="005A598A">
        <w:rPr>
          <w:rFonts w:ascii="Times New Roman" w:eastAsia="Calibri" w:hAnsi="Times New Roman" w:cs="Times New Roman"/>
          <w:i/>
          <w:sz w:val="24"/>
          <w:szCs w:val="24"/>
        </w:rPr>
        <w:t>fotovoltických</w:t>
      </w:r>
      <w:proofErr w:type="spellEnd"/>
      <w:r w:rsidRPr="005A598A">
        <w:rPr>
          <w:rFonts w:ascii="Times New Roman" w:eastAsia="Calibri" w:hAnsi="Times New Roman" w:cs="Times New Roman"/>
          <w:i/>
          <w:sz w:val="24"/>
          <w:szCs w:val="24"/>
        </w:rPr>
        <w:t xml:space="preserve"> panelov pre domácnosti v rodinných domoch sa prioritne podporia inštalácie s čo najvyšším využitím vyrobenej elektriny v domácnosti. Prebytočná elektrina bude priebežne dodávaná bezodplatne do distribučnej sústavy a bude použitá na pokrývanie strát distribučnej sústavy.“</w:t>
      </w:r>
    </w:p>
    <w:p w14:paraId="5CE3D525" w14:textId="77777777" w:rsidR="005A598A" w:rsidRPr="005A598A" w:rsidRDefault="005A598A" w:rsidP="005A598A">
      <w:pPr>
        <w:spacing w:after="0" w:line="240" w:lineRule="auto"/>
        <w:ind w:left="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upravený nasledovne:</w:t>
      </w:r>
    </w:p>
    <w:p w14:paraId="2B74E1B5"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 xml:space="preserve">„Pri inštalácii </w:t>
      </w:r>
      <w:proofErr w:type="spellStart"/>
      <w:r w:rsidRPr="005A598A">
        <w:rPr>
          <w:rFonts w:ascii="Times New Roman" w:eastAsia="Calibri" w:hAnsi="Times New Roman" w:cs="Times New Roman"/>
          <w:i/>
          <w:sz w:val="24"/>
          <w:szCs w:val="24"/>
        </w:rPr>
        <w:t>fotovoltických</w:t>
      </w:r>
      <w:proofErr w:type="spellEnd"/>
      <w:r w:rsidRPr="005A598A">
        <w:rPr>
          <w:rFonts w:ascii="Times New Roman" w:eastAsia="Calibri" w:hAnsi="Times New Roman" w:cs="Times New Roman"/>
          <w:i/>
          <w:sz w:val="24"/>
          <w:szCs w:val="24"/>
        </w:rPr>
        <w:t xml:space="preserve"> panelov sa prebytočná elektrina bude priebežne dodávať bezodplatne do distribučnej sústavy a bude použitá na pokrývanie strát distribučnej sústavy.“</w:t>
      </w:r>
    </w:p>
    <w:p w14:paraId="3E03B180" w14:textId="77777777" w:rsidR="005A598A" w:rsidRPr="005A598A" w:rsidRDefault="005A598A" w:rsidP="005A598A">
      <w:pPr>
        <w:spacing w:after="0" w:line="240" w:lineRule="auto"/>
        <w:ind w:left="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 xml:space="preserve">Zároveň bol v poslednom odseku odstránený nasledujúci text: </w:t>
      </w:r>
    </w:p>
    <w:p w14:paraId="2EBD3FB0"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„...aby sa návratnosť vložených finančných prostriedkov pohybovala okolo 7 až 10 rokov.“;</w:t>
      </w:r>
    </w:p>
    <w:p w14:paraId="2D4101A7"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kapitole 2 Opis prioritných osí operačného programu, podkapitole 2.4.2.6 Spoločné ukazovatele výstupu a ukazovatele výstupu na úrovni program sa v Tabuľke 40 mení pôvodná merná jednotka „počet“ na novú mernú jednotku „podniky“ pre ukazovateľ „CO01 - Počet podnikov, ktorým sa poskytuje podpora“. Rovnaká zmena nastala aj v podkapitole 2.4.3.6 Spoločné ukazovatele výstupu a ukazovatele výstupu na úrovni program v Tabuľke 42;</w:t>
      </w:r>
    </w:p>
    <w:p w14:paraId="31E93EC8"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kapitole 2 Opis prioritných osí operačného programu, v podkapitole 2.4.3.1 Špecifické ciele zodpovedajúce investičnej priorite a očakávané výsledky sa v Tabuľke 41 mení pôvodná východisková hodnota „2 132 MWh/mil. €“ na novú východiskovú hodnotu „2 702 MWh/mil. €“ pre ukazovateľ „R0114 – Energetická náročnosť výroby“. Zároveň bola vypočítaná (odhadnutá) aj nová cieľová hodnota pre rok 2023 a to „2 170 MWh/mil. €“. Uvedená zmena bola navrhnutá v nadväznosti na veľkú revíziu údajov v systéme národných účtov, ktorú vykonal ŠÚ SR v roku 2014;</w:t>
      </w:r>
    </w:p>
    <w:p w14:paraId="5C1A53B3"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kapitole 2 Opis prioritných osí operačného programu, v podkapitole 2.4.3.2 Oprávnené aktivity bola vykonaná formálna úprava textu v nadväznosti na aktualizáciu legislatívy;</w:t>
      </w:r>
    </w:p>
    <w:p w14:paraId="7909DA15"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 xml:space="preserve">V kapitole 2 Opis prioritných osí operačného programu, v podkapitole 2.4.4.2 Oprávnené aktivity v rámci ŠC 4.3.1 Aktivity A. Zníženie energetickej náročnosti verejných budov bola odstránená nasledujúca veta: </w:t>
      </w:r>
    </w:p>
    <w:p w14:paraId="0A005297"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„Prioritne budú podporované budovy štátnej správy.“;</w:t>
      </w:r>
    </w:p>
    <w:p w14:paraId="496D212E"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kapitole 2 Opis prioritných osí operačného programu, podkapitole 2.4.5.2 Oprávnené aktivity bola v rámci opisu Aktivity C. Rozvoj energetických služieb na regionálnej a miestnej úrovni vypustená nasledujúca veta:</w:t>
      </w:r>
    </w:p>
    <w:p w14:paraId="7A9EAFA2"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„Príprava projektu, ktorý nebude následne realizovaný prostredníctvom poskytnutia energetickej služby alebo zabezpečením financovania z iných zdrojov, ak sa preukáže, že poskytnutie energetickej služby nie je nákladovo efektívne, bude podporené s významne nižšou intenzitou pomoci za predpokladu, že projekt bol pripravený s vysokou odbornou starostlivosťou.“;</w:t>
      </w:r>
    </w:p>
    <w:p w14:paraId="34C4D675"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lastRenderedPageBreak/>
        <w:t>V kap. 2 Opis prioritných osí operačného programu, v podkapitole 2.4.7 Výkonnostný rámec Prioritnej osi 4 v Tabuľke 49 sa zníženie čiastkového cieľa finančného ukazovateľa výkonnostného rámca PO 3 „Celková suma oprávnených výdavkov po ich certifikácii certifikačným orgánom a predložení žiadostí o platby Európskej komisii“ z pôvodných  „368 242 931 €“  na „285 242 931 €“. Dopĺňa sa tiež nový zdroj údajov „ITMS/CO (MF SR)“;</w:t>
      </w:r>
    </w:p>
    <w:p w14:paraId="7E642309"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 xml:space="preserve">V kap. 8. Koordinácia medzi fondmi, EPFRV, Európskym námorným a rybárskym fondom a inými finančnými nástrojmi Únie a vnútroštátnymi nástrojmi a s EIB, v časti  6b), bola upravená deliaca línia s IROP a to nasledovne. Pôvodný text: </w:t>
      </w:r>
    </w:p>
    <w:p w14:paraId="62A11CFC"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„IROP bude podporovať budovanie verejných kanalizácií a ČOV pre obce do 2000 obyvateľov s výnimkou obcí, ktoré sú súčasťou aglomerácií podporovaných v rámci OP KŽP.“</w:t>
      </w:r>
    </w:p>
    <w:p w14:paraId="59E1CE2E" w14:textId="77777777" w:rsidR="005A598A" w:rsidRPr="005A598A" w:rsidRDefault="005A598A" w:rsidP="005A598A">
      <w:pPr>
        <w:spacing w:after="0" w:line="240" w:lineRule="auto"/>
        <w:ind w:left="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bol nahradený novým znením:</w:t>
      </w:r>
    </w:p>
    <w:p w14:paraId="46AFA45C"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„IROP bude podporovať budovanie verejných kanalizácií a ČOV pre obce nad 1000 obyvateľov s výnimkou obcí, ktoré sú súčasťou aglomerácií podporovaných v rámci OP KŽP.“;</w:t>
      </w:r>
    </w:p>
    <w:p w14:paraId="5B413B9B" w14:textId="77777777" w:rsidR="005A598A" w:rsidRPr="005A598A" w:rsidRDefault="005A598A" w:rsidP="005A598A">
      <w:pPr>
        <w:numPr>
          <w:ilvl w:val="0"/>
          <w:numId w:val="1"/>
        </w:numPr>
        <w:spacing w:after="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 xml:space="preserve">V kap. 8. Koordinácia medzi fondmi, EPFRV, Európskym námorným a rybárskym fondom a inými finančnými nástrojmi Únie a vnútroštátnymi nástrojmi a s EIB, v časti  6e) bol odstránený nasledujúci text: </w:t>
      </w:r>
    </w:p>
    <w:p w14:paraId="70988F82" w14:textId="77777777" w:rsidR="005A598A" w:rsidRPr="005A598A" w:rsidRDefault="005A598A" w:rsidP="005A598A">
      <w:pPr>
        <w:spacing w:after="60" w:line="240" w:lineRule="auto"/>
        <w:ind w:left="284"/>
        <w:jc w:val="both"/>
        <w:rPr>
          <w:rFonts w:ascii="Times New Roman" w:eastAsia="Calibri" w:hAnsi="Times New Roman" w:cs="Times New Roman"/>
          <w:i/>
          <w:sz w:val="24"/>
          <w:szCs w:val="24"/>
        </w:rPr>
      </w:pPr>
      <w:r w:rsidRPr="005A598A">
        <w:rPr>
          <w:rFonts w:ascii="Times New Roman" w:eastAsia="Calibri" w:hAnsi="Times New Roman" w:cs="Times New Roman"/>
          <w:i/>
          <w:sz w:val="24"/>
          <w:szCs w:val="24"/>
        </w:rPr>
        <w:t xml:space="preserve">„IROP bude podporovať revitalizáciu </w:t>
      </w:r>
      <w:proofErr w:type="spellStart"/>
      <w:r w:rsidRPr="005A598A">
        <w:rPr>
          <w:rFonts w:ascii="Times New Roman" w:eastAsia="Calibri" w:hAnsi="Times New Roman" w:cs="Times New Roman"/>
          <w:i/>
          <w:sz w:val="24"/>
          <w:szCs w:val="24"/>
        </w:rPr>
        <w:t>brownfieldov</w:t>
      </w:r>
      <w:proofErr w:type="spellEnd"/>
      <w:r w:rsidRPr="005A598A">
        <w:rPr>
          <w:rFonts w:ascii="Times New Roman" w:eastAsia="Calibri" w:hAnsi="Times New Roman" w:cs="Times New Roman"/>
          <w:i/>
          <w:sz w:val="24"/>
          <w:szCs w:val="24"/>
        </w:rPr>
        <w:t xml:space="preserve"> s cieľom ich opätovného využitia, napr. pre občiansku vybavenosť, okrem prieskumu, sanácie a monitorovania EZ.“;</w:t>
      </w:r>
    </w:p>
    <w:p w14:paraId="27C66524"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V kap. 12 Samostatné prvky, v podkapitola 12.1 Výkonnostný rámec operačného programu boli do Tabuľky 76 premietnuté všetky zmeny týkajúceho sa výkonnostného rámca, ktoré sú podrobne popísané vyššie;</w:t>
      </w:r>
    </w:p>
    <w:p w14:paraId="0122D3C0" w14:textId="77777777" w:rsidR="005A598A" w:rsidRPr="005A598A" w:rsidRDefault="005A598A" w:rsidP="005A598A">
      <w:pPr>
        <w:numPr>
          <w:ilvl w:val="0"/>
          <w:numId w:val="1"/>
        </w:numPr>
        <w:spacing w:after="60" w:line="240" w:lineRule="auto"/>
        <w:ind w:left="284" w:hanging="284"/>
        <w:jc w:val="both"/>
        <w:rPr>
          <w:rFonts w:ascii="Times New Roman" w:eastAsia="Calibri" w:hAnsi="Times New Roman" w:cs="Times New Roman"/>
          <w:sz w:val="24"/>
          <w:szCs w:val="24"/>
        </w:rPr>
      </w:pPr>
      <w:r w:rsidRPr="005A598A">
        <w:rPr>
          <w:rFonts w:ascii="Times New Roman" w:eastAsia="Calibri" w:hAnsi="Times New Roman" w:cs="Times New Roman"/>
          <w:sz w:val="24"/>
          <w:szCs w:val="24"/>
        </w:rPr>
        <w:t>Kap. 13.3 Použité skratky legislatívy EÚ a SR bola aktualizovaná.</w:t>
      </w:r>
    </w:p>
    <w:p w14:paraId="30220CAC" w14:textId="77777777" w:rsidR="00B823EA" w:rsidRPr="00487BFE" w:rsidRDefault="00B823EA">
      <w:pPr>
        <w:rPr>
          <w:rFonts w:ascii="Times New Roman" w:hAnsi="Times New Roman" w:cs="Times New Roman"/>
          <w:sz w:val="24"/>
          <w:szCs w:val="24"/>
        </w:rPr>
      </w:pPr>
    </w:p>
    <w:sectPr w:rsidR="00B823EA" w:rsidRPr="00487BF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787DD2" w14:textId="77777777" w:rsidR="003C67CC" w:rsidRDefault="003C67CC" w:rsidP="00487BFE">
      <w:pPr>
        <w:spacing w:after="0" w:line="240" w:lineRule="auto"/>
      </w:pPr>
      <w:r>
        <w:separator/>
      </w:r>
    </w:p>
  </w:endnote>
  <w:endnote w:type="continuationSeparator" w:id="0">
    <w:p w14:paraId="07C6B2DA" w14:textId="77777777" w:rsidR="003C67CC" w:rsidRDefault="003C67CC" w:rsidP="00487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759771"/>
      <w:docPartObj>
        <w:docPartGallery w:val="Page Numbers (Bottom of Page)"/>
        <w:docPartUnique/>
      </w:docPartObj>
    </w:sdtPr>
    <w:sdtEndPr>
      <w:rPr>
        <w:rFonts w:ascii="Times New Roman" w:hAnsi="Times New Roman" w:cs="Times New Roman"/>
        <w:sz w:val="20"/>
        <w:szCs w:val="20"/>
      </w:rPr>
    </w:sdtEndPr>
    <w:sdtContent>
      <w:p w14:paraId="5B68B641" w14:textId="2E068A23" w:rsidR="00487BFE" w:rsidRPr="00487BFE" w:rsidRDefault="00487BFE">
        <w:pPr>
          <w:pStyle w:val="Pta"/>
          <w:jc w:val="center"/>
          <w:rPr>
            <w:rFonts w:ascii="Times New Roman" w:hAnsi="Times New Roman" w:cs="Times New Roman"/>
            <w:sz w:val="20"/>
            <w:szCs w:val="20"/>
          </w:rPr>
        </w:pPr>
        <w:r w:rsidRPr="00487BFE">
          <w:rPr>
            <w:rFonts w:ascii="Times New Roman" w:hAnsi="Times New Roman" w:cs="Times New Roman"/>
            <w:sz w:val="20"/>
            <w:szCs w:val="20"/>
          </w:rPr>
          <w:fldChar w:fldCharType="begin"/>
        </w:r>
        <w:r w:rsidRPr="00487BFE">
          <w:rPr>
            <w:rFonts w:ascii="Times New Roman" w:hAnsi="Times New Roman" w:cs="Times New Roman"/>
            <w:sz w:val="20"/>
            <w:szCs w:val="20"/>
          </w:rPr>
          <w:instrText>PAGE   \* MERGEFORMAT</w:instrText>
        </w:r>
        <w:r w:rsidRPr="00487BFE">
          <w:rPr>
            <w:rFonts w:ascii="Times New Roman" w:hAnsi="Times New Roman" w:cs="Times New Roman"/>
            <w:sz w:val="20"/>
            <w:szCs w:val="20"/>
          </w:rPr>
          <w:fldChar w:fldCharType="separate"/>
        </w:r>
        <w:r w:rsidR="006D1BF4">
          <w:rPr>
            <w:rFonts w:ascii="Times New Roman" w:hAnsi="Times New Roman" w:cs="Times New Roman"/>
            <w:noProof/>
            <w:sz w:val="20"/>
            <w:szCs w:val="20"/>
          </w:rPr>
          <w:t>1</w:t>
        </w:r>
        <w:r w:rsidRPr="00487BFE">
          <w:rPr>
            <w:rFonts w:ascii="Times New Roman" w:hAnsi="Times New Roman" w:cs="Times New Roman"/>
            <w:sz w:val="20"/>
            <w:szCs w:val="20"/>
          </w:rPr>
          <w:fldChar w:fldCharType="end"/>
        </w:r>
      </w:p>
    </w:sdtContent>
  </w:sdt>
  <w:p w14:paraId="0B080CAA" w14:textId="77777777" w:rsidR="00487BFE" w:rsidRDefault="00487BF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ABA1B" w14:textId="77777777" w:rsidR="003C67CC" w:rsidRDefault="003C67CC" w:rsidP="00487BFE">
      <w:pPr>
        <w:spacing w:after="0" w:line="240" w:lineRule="auto"/>
      </w:pPr>
      <w:r>
        <w:separator/>
      </w:r>
    </w:p>
  </w:footnote>
  <w:footnote w:type="continuationSeparator" w:id="0">
    <w:p w14:paraId="32919B21" w14:textId="77777777" w:rsidR="003C67CC" w:rsidRDefault="003C67CC" w:rsidP="00487B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D7E37"/>
    <w:multiLevelType w:val="hybridMultilevel"/>
    <w:tmpl w:val="A7A4E296"/>
    <w:lvl w:ilvl="0" w:tplc="0074DC3A">
      <w:start w:val="1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98A"/>
    <w:rsid w:val="003C67CC"/>
    <w:rsid w:val="00487BFE"/>
    <w:rsid w:val="005A598A"/>
    <w:rsid w:val="006D1BF4"/>
    <w:rsid w:val="00B30BBF"/>
    <w:rsid w:val="00B823EA"/>
    <w:rsid w:val="00D95EE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E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5A598A"/>
    <w:rPr>
      <w:sz w:val="16"/>
      <w:szCs w:val="16"/>
    </w:rPr>
  </w:style>
  <w:style w:type="paragraph" w:styleId="Textkomentra">
    <w:name w:val="annotation text"/>
    <w:basedOn w:val="Normlny"/>
    <w:link w:val="TextkomentraChar"/>
    <w:uiPriority w:val="99"/>
    <w:semiHidden/>
    <w:unhideWhenUsed/>
    <w:rsid w:val="005A598A"/>
    <w:pPr>
      <w:spacing w:after="0" w:line="240" w:lineRule="auto"/>
    </w:pPr>
    <w:rPr>
      <w:rFonts w:ascii="Times New Roman" w:eastAsia="Times New Roman" w:hAnsi="Times New Roman" w:cs="Times New Roman"/>
      <w:sz w:val="20"/>
      <w:szCs w:val="20"/>
      <w:lang w:eastAsia="sk-SK"/>
    </w:rPr>
  </w:style>
  <w:style w:type="character" w:customStyle="1" w:styleId="TextkomentraChar">
    <w:name w:val="Text komentára Char"/>
    <w:basedOn w:val="Predvolenpsmoodseku"/>
    <w:link w:val="Textkomentra"/>
    <w:uiPriority w:val="99"/>
    <w:semiHidden/>
    <w:rsid w:val="005A598A"/>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5A598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A598A"/>
    <w:rPr>
      <w:rFonts w:ascii="Segoe UI" w:hAnsi="Segoe UI" w:cs="Segoe UI"/>
      <w:sz w:val="18"/>
      <w:szCs w:val="18"/>
    </w:rPr>
  </w:style>
  <w:style w:type="paragraph" w:styleId="Hlavika">
    <w:name w:val="header"/>
    <w:basedOn w:val="Normlny"/>
    <w:link w:val="HlavikaChar"/>
    <w:uiPriority w:val="99"/>
    <w:unhideWhenUsed/>
    <w:rsid w:val="00487BF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87BFE"/>
  </w:style>
  <w:style w:type="paragraph" w:styleId="Pta">
    <w:name w:val="footer"/>
    <w:basedOn w:val="Normlny"/>
    <w:link w:val="PtaChar"/>
    <w:uiPriority w:val="99"/>
    <w:unhideWhenUsed/>
    <w:rsid w:val="00487BFE"/>
    <w:pPr>
      <w:tabs>
        <w:tab w:val="center" w:pos="4536"/>
        <w:tab w:val="right" w:pos="9072"/>
      </w:tabs>
      <w:spacing w:after="0" w:line="240" w:lineRule="auto"/>
    </w:pPr>
  </w:style>
  <w:style w:type="character" w:customStyle="1" w:styleId="PtaChar">
    <w:name w:val="Päta Char"/>
    <w:basedOn w:val="Predvolenpsmoodseku"/>
    <w:link w:val="Pta"/>
    <w:uiPriority w:val="99"/>
    <w:rsid w:val="00487BFE"/>
  </w:style>
  <w:style w:type="paragraph" w:styleId="Odsekzoznamu">
    <w:name w:val="List Paragraph"/>
    <w:basedOn w:val="Normlny"/>
    <w:uiPriority w:val="34"/>
    <w:qFormat/>
    <w:rsid w:val="00D95EE7"/>
    <w:pPr>
      <w:spacing w:after="200" w:line="276" w:lineRule="auto"/>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5A598A"/>
    <w:rPr>
      <w:sz w:val="16"/>
      <w:szCs w:val="16"/>
    </w:rPr>
  </w:style>
  <w:style w:type="paragraph" w:styleId="Textkomentra">
    <w:name w:val="annotation text"/>
    <w:basedOn w:val="Normlny"/>
    <w:link w:val="TextkomentraChar"/>
    <w:uiPriority w:val="99"/>
    <w:semiHidden/>
    <w:unhideWhenUsed/>
    <w:rsid w:val="005A598A"/>
    <w:pPr>
      <w:spacing w:after="0" w:line="240" w:lineRule="auto"/>
    </w:pPr>
    <w:rPr>
      <w:rFonts w:ascii="Times New Roman" w:eastAsia="Times New Roman" w:hAnsi="Times New Roman" w:cs="Times New Roman"/>
      <w:sz w:val="20"/>
      <w:szCs w:val="20"/>
      <w:lang w:eastAsia="sk-SK"/>
    </w:rPr>
  </w:style>
  <w:style w:type="character" w:customStyle="1" w:styleId="TextkomentraChar">
    <w:name w:val="Text komentára Char"/>
    <w:basedOn w:val="Predvolenpsmoodseku"/>
    <w:link w:val="Textkomentra"/>
    <w:uiPriority w:val="99"/>
    <w:semiHidden/>
    <w:rsid w:val="005A598A"/>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5A598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A598A"/>
    <w:rPr>
      <w:rFonts w:ascii="Segoe UI" w:hAnsi="Segoe UI" w:cs="Segoe UI"/>
      <w:sz w:val="18"/>
      <w:szCs w:val="18"/>
    </w:rPr>
  </w:style>
  <w:style w:type="paragraph" w:styleId="Hlavika">
    <w:name w:val="header"/>
    <w:basedOn w:val="Normlny"/>
    <w:link w:val="HlavikaChar"/>
    <w:uiPriority w:val="99"/>
    <w:unhideWhenUsed/>
    <w:rsid w:val="00487BF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87BFE"/>
  </w:style>
  <w:style w:type="paragraph" w:styleId="Pta">
    <w:name w:val="footer"/>
    <w:basedOn w:val="Normlny"/>
    <w:link w:val="PtaChar"/>
    <w:uiPriority w:val="99"/>
    <w:unhideWhenUsed/>
    <w:rsid w:val="00487BFE"/>
    <w:pPr>
      <w:tabs>
        <w:tab w:val="center" w:pos="4536"/>
        <w:tab w:val="right" w:pos="9072"/>
      </w:tabs>
      <w:spacing w:after="0" w:line="240" w:lineRule="auto"/>
    </w:pPr>
  </w:style>
  <w:style w:type="character" w:customStyle="1" w:styleId="PtaChar">
    <w:name w:val="Päta Char"/>
    <w:basedOn w:val="Predvolenpsmoodseku"/>
    <w:link w:val="Pta"/>
    <w:uiPriority w:val="99"/>
    <w:rsid w:val="00487BFE"/>
  </w:style>
  <w:style w:type="paragraph" w:styleId="Odsekzoznamu">
    <w:name w:val="List Paragraph"/>
    <w:basedOn w:val="Normlny"/>
    <w:uiPriority w:val="34"/>
    <w:qFormat/>
    <w:rsid w:val="00D95EE7"/>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WKX3UHSAJ2R6-2-851361</_dlc_DocId>
    <_dlc_DocIdUrl xmlns="e60a29af-d413-48d4-bd90-fe9d2a897e4b">
      <Url>https://ovdmasv601/sites/DMS/_layouts/15/DocIdRedir.aspx?ID=WKX3UHSAJ2R6-2-851361</Url>
      <Description>WKX3UHSAJ2R6-2-851361</Description>
    </_dlc_DocIdUrl>
  </documentManagement>
</p:properties>
</file>

<file path=customXml/itemProps1.xml><?xml version="1.0" encoding="utf-8"?>
<ds:datastoreItem xmlns:ds="http://schemas.openxmlformats.org/officeDocument/2006/customXml" ds:itemID="{F9078C9A-BA73-4FF5-95B0-697CDB1DB54D}"/>
</file>

<file path=customXml/itemProps2.xml><?xml version="1.0" encoding="utf-8"?>
<ds:datastoreItem xmlns:ds="http://schemas.openxmlformats.org/officeDocument/2006/customXml" ds:itemID="{BD83A178-56A7-4802-8551-6999B5D54821}"/>
</file>

<file path=customXml/itemProps3.xml><?xml version="1.0" encoding="utf-8"?>
<ds:datastoreItem xmlns:ds="http://schemas.openxmlformats.org/officeDocument/2006/customXml" ds:itemID="{F67BC738-EDC2-4362-9ADD-E02DB7F5D1AD}"/>
</file>

<file path=customXml/itemProps4.xml><?xml version="1.0" encoding="utf-8"?>
<ds:datastoreItem xmlns:ds="http://schemas.openxmlformats.org/officeDocument/2006/customXml" ds:itemID="{3664AC0C-8A59-49A2-98A7-0599F8378594}"/>
</file>

<file path=docProps/app.xml><?xml version="1.0" encoding="utf-8"?>
<Properties xmlns="http://schemas.openxmlformats.org/officeDocument/2006/extended-properties" xmlns:vt="http://schemas.openxmlformats.org/officeDocument/2006/docPropsVTypes">
  <Template>Normal</Template>
  <TotalTime>19</TotalTime>
  <Pages>5</Pages>
  <Words>2458</Words>
  <Characters>14014</Characters>
  <Application>Microsoft Office Word</Application>
  <DocSecurity>0</DocSecurity>
  <Lines>116</Lines>
  <Paragraphs>32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Ďuricová Ivana</dc:creator>
  <cp:keywords/>
  <dc:description/>
  <cp:lastModifiedBy>Hrušková Miroslava</cp:lastModifiedBy>
  <cp:revision>5</cp:revision>
  <dcterms:created xsi:type="dcterms:W3CDTF">2018-06-12T11:01:00Z</dcterms:created>
  <dcterms:modified xsi:type="dcterms:W3CDTF">2018-06-12T11:58:00Z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56bc069f-5099-4f5c-bd04-b77e0eec5d81</vt:lpwstr>
  </property>
</Properties>
</file>