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F6" w:rsidRDefault="00A72296">
      <w:pPr>
        <w:spacing w:after="200"/>
        <w:jc w:val="center"/>
      </w:pPr>
      <w:bookmarkStart w:id="0" w:name="_GoBack"/>
      <w:bookmarkEnd w:id="0"/>
      <w:r>
        <w:rPr>
          <w:b/>
          <w:sz w:val="24"/>
        </w:rPr>
        <w:t>(Návrh)</w:t>
      </w:r>
      <w:r>
        <w:rPr>
          <w:b/>
          <w:sz w:val="24"/>
        </w:rPr>
        <w:cr/>
      </w:r>
    </w:p>
    <w:p w:rsidR="000635F6" w:rsidRDefault="000635F6"/>
    <w:p w:rsidR="000635F6" w:rsidRDefault="00A72296">
      <w:pPr>
        <w:spacing w:after="200"/>
        <w:jc w:val="center"/>
      </w:pPr>
      <w:r>
        <w:rPr>
          <w:b/>
          <w:sz w:val="24"/>
        </w:rPr>
        <w:t>NARIADENIE VLÁDY SLOVENSKEJ REPUBLIKY</w:t>
      </w:r>
    </w:p>
    <w:p w:rsidR="000635F6" w:rsidRDefault="000635F6"/>
    <w:p w:rsidR="000635F6" w:rsidRDefault="000635F6"/>
    <w:p w:rsidR="000635F6" w:rsidRDefault="00A72296">
      <w:pPr>
        <w:spacing w:after="200"/>
        <w:jc w:val="center"/>
      </w:pPr>
      <w:r>
        <w:rPr>
          <w:sz w:val="24"/>
        </w:rPr>
        <w:t>z ... 2017</w:t>
      </w:r>
    </w:p>
    <w:p w:rsidR="000635F6" w:rsidRDefault="00A72296">
      <w:pPr>
        <w:spacing w:after="200"/>
        <w:jc w:val="center"/>
      </w:pPr>
      <w:r>
        <w:rPr>
          <w:b/>
          <w:sz w:val="24"/>
        </w:rPr>
        <w:t>o postupe, rozsahu a náležitostiach poskytovania informácií o návrhu technického predpisu</w:t>
      </w:r>
    </w:p>
    <w:p w:rsidR="000635F6" w:rsidRDefault="000635F6"/>
    <w:p w:rsidR="000635F6" w:rsidRDefault="000635F6">
      <w:pPr>
        <w:jc w:val="both"/>
      </w:pPr>
    </w:p>
    <w:p w:rsidR="000635F6" w:rsidRDefault="00A72296" w:rsidP="00A72296">
      <w:pPr>
        <w:jc w:val="both"/>
      </w:pPr>
      <w:r>
        <w:rPr>
          <w:sz w:val="24"/>
        </w:rPr>
        <w:t>Vláda Slovenskej republiky podľa § 8a ods. 4 zákona č. 264/1999 Z. z. o technických požiadavkách na výrobky a o posudzovaní zhody a o zmene a doplnení niektorých zákonov v znení zákona č. …/2017 Z. z. (ďalej len „zákon“) nariaďuje:</w:t>
      </w:r>
    </w:p>
    <w:p w:rsidR="00A72296" w:rsidRDefault="00A72296">
      <w:pPr>
        <w:jc w:val="center"/>
        <w:rPr>
          <w:b/>
          <w:sz w:val="24"/>
        </w:rPr>
      </w:pPr>
    </w:p>
    <w:p w:rsidR="00A72296" w:rsidRDefault="00A72296">
      <w:pPr>
        <w:jc w:val="center"/>
        <w:rPr>
          <w:b/>
          <w:sz w:val="24"/>
        </w:rPr>
      </w:pPr>
    </w:p>
    <w:p w:rsidR="000635F6" w:rsidRDefault="00A72296">
      <w:pPr>
        <w:jc w:val="center"/>
      </w:pPr>
      <w:r>
        <w:rPr>
          <w:b/>
          <w:sz w:val="24"/>
        </w:rPr>
        <w:t>§ 1</w:t>
      </w:r>
    </w:p>
    <w:p w:rsidR="000635F6" w:rsidRDefault="00A72296">
      <w:pPr>
        <w:spacing w:after="200"/>
        <w:jc w:val="center"/>
      </w:pPr>
      <w:r>
        <w:rPr>
          <w:b/>
          <w:sz w:val="24"/>
        </w:rPr>
        <w:t>Poskytovanie informácii o  návrhu technického predpisu</w:t>
      </w:r>
    </w:p>
    <w:p w:rsidR="000635F6" w:rsidRDefault="000635F6"/>
    <w:p w:rsidR="000635F6" w:rsidRDefault="00A72296">
      <w:pPr>
        <w:spacing w:after="200"/>
        <w:ind w:firstLine="450"/>
        <w:jc w:val="both"/>
      </w:pPr>
      <w:r>
        <w:rPr>
          <w:sz w:val="24"/>
        </w:rPr>
        <w:t>(1) Návrh technického predpisu podľa § 4 zákona, ktorý orgán štátnej správy alebo orgán územnej samosprávy zodpovedný za predloženie návrhu technického predpisu (ďalej len „zodpovedný orgán“) zasiela Úradu pre normalizáciu, metrológiu a skúšobníctvo Slovenskej republiky (ďalej len „úrad“), je predmetom pripomienkovania Európskou komisiou (ďalej len „Komisia“), členským štátom Európskej únie, členským štátom Európskeho združenia voľného obchodu a Tureckom (ďalej len „</w:t>
      </w:r>
      <w:proofErr w:type="spellStart"/>
      <w:r>
        <w:rPr>
          <w:sz w:val="24"/>
        </w:rPr>
        <w:t>vnútrokomunitárne</w:t>
      </w:r>
      <w:proofErr w:type="spellEnd"/>
      <w:r>
        <w:rPr>
          <w:sz w:val="24"/>
        </w:rPr>
        <w:t xml:space="preserve"> pripomienkové konanie“).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(2) Návrh technického predpisu pred jeho </w:t>
      </w:r>
      <w:r w:rsidR="00EA75B1" w:rsidRPr="00DA14F2">
        <w:rPr>
          <w:sz w:val="24"/>
          <w:szCs w:val="24"/>
        </w:rPr>
        <w:t>schválením</w:t>
      </w:r>
      <w:r>
        <w:rPr>
          <w:sz w:val="24"/>
        </w:rPr>
        <w:t xml:space="preserve"> a sprievodné dokumenty sa doručia úradu v elektronickej podobe.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>(3) Úrad informuje Komisiu podľa § 8 ods. 2 písm. a) zákona o návrhu technického predpisu prostredníctvom elektronickej databázy</w:t>
      </w:r>
      <w:r w:rsidR="00EA75B1">
        <w:rPr>
          <w:sz w:val="24"/>
        </w:rPr>
        <w:t xml:space="preserve"> Komisie</w:t>
      </w:r>
      <w:r>
        <w:rPr>
          <w:sz w:val="24"/>
        </w:rPr>
        <w:t>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>(4) Ak návrh technického predpisu obsahuje okrem technických požiadaviek podľa § 2 ods. 1 písm. d) zákona aj fiškálnu požiadavku alebo finančnú požiadavku podľa § 2 ods. 1 písm. h) zákona, k fiškálnej požiadavke alebo k finančnej požiadavke sa nepredkladajú pripomienky ani podrobné stanovisko podľa § 3.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>(5) Ak zodpovedný orgán vykoná zmeny v návrhu technického predpisu podľa § 8a ods. 3 písm. d) zákona, takto upravený návrh technického predpisu je predmetom nového vnútrokomunitárneho pripomienkového konania.</w:t>
      </w:r>
    </w:p>
    <w:p w:rsidR="00A72296" w:rsidRDefault="00A72296">
      <w:pPr>
        <w:jc w:val="center"/>
        <w:rPr>
          <w:b/>
          <w:sz w:val="24"/>
        </w:rPr>
      </w:pPr>
    </w:p>
    <w:p w:rsidR="000635F6" w:rsidRDefault="00A72296">
      <w:pPr>
        <w:jc w:val="center"/>
      </w:pPr>
      <w:r>
        <w:rPr>
          <w:b/>
          <w:sz w:val="24"/>
        </w:rPr>
        <w:t>§ 2</w:t>
      </w:r>
    </w:p>
    <w:p w:rsidR="000635F6" w:rsidRDefault="00A72296">
      <w:pPr>
        <w:spacing w:after="200"/>
        <w:jc w:val="center"/>
      </w:pPr>
      <w:r>
        <w:rPr>
          <w:b/>
          <w:sz w:val="24"/>
        </w:rPr>
        <w:t>Určená lehota</w:t>
      </w:r>
    </w:p>
    <w:p w:rsidR="000635F6" w:rsidRDefault="000635F6"/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(1) Určená lehota na </w:t>
      </w:r>
      <w:proofErr w:type="spellStart"/>
      <w:r>
        <w:rPr>
          <w:sz w:val="24"/>
        </w:rPr>
        <w:t>vnútrokomunitárne</w:t>
      </w:r>
      <w:proofErr w:type="spellEnd"/>
      <w:r>
        <w:rPr>
          <w:sz w:val="24"/>
        </w:rPr>
        <w:t xml:space="preserve"> pripomienkové konanie je tri mesiace; určená lehota začína plynúť dňom registrácie návrhu technického predpisu Komisiou.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>(2) Určená lehota podľa odseku 1 sa predĺži na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lastRenderedPageBreak/>
        <w:t>a) 4 mesiace, ak sa v určenej lehote podľa odseku 1 doručí podrobné stanovisko k návrhu technického predpisu, ktorý ustanovuje požiadavky na službu informačnej spoločnosti podľa § 2 ods. 2 zákona,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b) 6 mesiacov, ak sa v určenej lehote podľa odseku 1 doručí podrobné stanovisko k návrhu technického predpisu, okrem návrhu technického predpisu, ktorý ustanovuje požiadavky na službu informačnej spoločnosti podľa § 2 ods. 2 zákona,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 xml:space="preserve">c) 12 mesiacov, ak Komisia v určenej lehote podľa odseku 1 oznámi zámer prijať právne záväzný akt Európskej únie v oblasti, ktorú upravuje návrh technického predpisu predložený na </w:t>
      </w:r>
      <w:proofErr w:type="spellStart"/>
      <w:r>
        <w:rPr>
          <w:sz w:val="24"/>
        </w:rPr>
        <w:t>vnútrokomunitárne</w:t>
      </w:r>
      <w:proofErr w:type="spellEnd"/>
      <w:r>
        <w:rPr>
          <w:sz w:val="24"/>
        </w:rPr>
        <w:t xml:space="preserve"> pripomienkové konanie,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 xml:space="preserve">d) 12 mesiacov, ak Komisia v určenej lehote podľa odseku 1 oznámi, že oblasť, ktorú upravuje návrh technického predpisu predložený na </w:t>
      </w:r>
      <w:proofErr w:type="spellStart"/>
      <w:r>
        <w:rPr>
          <w:sz w:val="24"/>
        </w:rPr>
        <w:t>vnútrokomunitárne</w:t>
      </w:r>
      <w:proofErr w:type="spellEnd"/>
      <w:r>
        <w:rPr>
          <w:sz w:val="24"/>
        </w:rPr>
        <w:t xml:space="preserve"> pripomienkové konanie je predmetom návrhu právne záväzného aktu Európskej únie predloženého Európskemu parlamentu a Rade Európskej únie,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e) 18 mesiacov, ak Rada Európskej únie prijme svoju pozíciu v prvom čítaní podľa osobitného predpisu</w:t>
      </w:r>
      <w:r>
        <w:rPr>
          <w:sz w:val="24"/>
          <w:vertAlign w:val="superscript"/>
        </w:rPr>
        <w:footnoteReference w:id="1"/>
      </w:r>
      <w:r>
        <w:rPr>
          <w:sz w:val="24"/>
        </w:rPr>
        <w:t>) počas lehoty podľa písmena c) alebo písmena d).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(3) Ak Komisia predloží k návrhu technického predpisu podrobné stanovisko, určená lehota sa predĺži na nevyhnutne potrebný čas, kým Komisia predloží súhlas k </w:t>
      </w:r>
      <w:r w:rsidR="00EA75B1">
        <w:rPr>
          <w:sz w:val="24"/>
          <w:szCs w:val="24"/>
        </w:rPr>
        <w:t>vyjadreniu</w:t>
      </w:r>
      <w:r>
        <w:rPr>
          <w:sz w:val="24"/>
        </w:rPr>
        <w:t xml:space="preserve"> zodpovedného orgánu.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(4) Predĺžená určená lehota podľa odseku 2 písm. c) až e) uplynie dňom, ak Komisia oznámi, že nemá zámer prijať právne záväzný akt Európskej únie v oblasti, ktorú upravuje návrh technického predpisu predložený na </w:t>
      </w:r>
      <w:proofErr w:type="spellStart"/>
      <w:r>
        <w:rPr>
          <w:sz w:val="24"/>
        </w:rPr>
        <w:t>vnútrokomunitárne</w:t>
      </w:r>
      <w:proofErr w:type="spellEnd"/>
      <w:r>
        <w:rPr>
          <w:sz w:val="24"/>
        </w:rPr>
        <w:t xml:space="preserve"> pripomienkové konanie, ak Komisia stiahne svoj návrh alebo ak Rada Európskej únie, Európsky parlament alebo Komisia prijme právne záväzný akt Európskej únie v oblasti, ktorú upravuje návrh technického predpisu predložený na </w:t>
      </w:r>
      <w:proofErr w:type="spellStart"/>
      <w:r>
        <w:rPr>
          <w:sz w:val="24"/>
        </w:rPr>
        <w:t>vnútrokomunitárne</w:t>
      </w:r>
      <w:proofErr w:type="spellEnd"/>
      <w:r>
        <w:rPr>
          <w:sz w:val="24"/>
        </w:rPr>
        <w:t xml:space="preserve"> pripomienkové konanie.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>(5) Odseky 1 a 2 sa neuplatňujú, ak zodpovedný orgán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 xml:space="preserve">a) predloží na </w:t>
      </w:r>
      <w:proofErr w:type="spellStart"/>
      <w:r>
        <w:rPr>
          <w:sz w:val="24"/>
        </w:rPr>
        <w:t>vnútrokomunitárne</w:t>
      </w:r>
      <w:proofErr w:type="spellEnd"/>
      <w:r>
        <w:rPr>
          <w:sz w:val="24"/>
        </w:rPr>
        <w:t xml:space="preserve"> pripomienkové konanie</w:t>
      </w:r>
    </w:p>
    <w:p w:rsidR="000635F6" w:rsidRDefault="00A72296">
      <w:pPr>
        <w:spacing w:after="200"/>
        <w:ind w:firstLine="330"/>
        <w:jc w:val="both"/>
      </w:pPr>
      <w:r>
        <w:rPr>
          <w:sz w:val="24"/>
        </w:rPr>
        <w:t xml:space="preserve">1. návrh technického predpisu, ktorý zakazuje výrobu určitého výrobku, </w:t>
      </w:r>
      <w:r w:rsidR="00EA75B1">
        <w:rPr>
          <w:sz w:val="24"/>
        </w:rPr>
        <w:t xml:space="preserve">ale </w:t>
      </w:r>
      <w:r>
        <w:rPr>
          <w:sz w:val="24"/>
        </w:rPr>
        <w:t>neobmedzuje voľný pohyb tovaru, alebo</w:t>
      </w:r>
    </w:p>
    <w:p w:rsidR="000635F6" w:rsidRDefault="00A72296">
      <w:pPr>
        <w:spacing w:after="200"/>
        <w:ind w:firstLine="330"/>
        <w:jc w:val="both"/>
      </w:pPr>
      <w:r>
        <w:rPr>
          <w:sz w:val="24"/>
        </w:rPr>
        <w:t>2. návrh predpisu s fiškálnou požiadavkou alebo návrh predpisu s finančnou požiadavkou, alebo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b) preukáže, že Slovenská republika je nútená bez zbytočného odkladu prijať návrh technického predpisu z naliehavého dôvodu spôsobeného</w:t>
      </w:r>
    </w:p>
    <w:p w:rsidR="000635F6" w:rsidRDefault="00A72296">
      <w:pPr>
        <w:spacing w:after="200"/>
        <w:ind w:firstLine="330"/>
        <w:jc w:val="both"/>
      </w:pPr>
      <w:r>
        <w:rPr>
          <w:sz w:val="24"/>
        </w:rPr>
        <w:t xml:space="preserve">1. vážnou a nepredvídateľnou okolnosťou, ktorá súvisí s ochranou verejného zdravia, </w:t>
      </w:r>
      <w:r w:rsidR="00EA75B1" w:rsidRPr="00375544">
        <w:rPr>
          <w:sz w:val="24"/>
          <w:szCs w:val="24"/>
        </w:rPr>
        <w:t>ochranou</w:t>
      </w:r>
      <w:r w:rsidR="00EA75B1">
        <w:rPr>
          <w:sz w:val="24"/>
        </w:rPr>
        <w:t xml:space="preserve"> </w:t>
      </w:r>
      <w:r>
        <w:rPr>
          <w:sz w:val="24"/>
        </w:rPr>
        <w:t xml:space="preserve">verejnej bezpečnosti, ochranou živočíchov a rastlín, a pri pravidlách pre služby informačnej spoločnosti, ktorá súvisí s ochranou  verejného poriadku, najmä vo vzťahu k ochrane maloletých </w:t>
      </w:r>
      <w:r w:rsidR="00EA75B1" w:rsidRPr="00AD6294">
        <w:rPr>
          <w:sz w:val="24"/>
          <w:szCs w:val="24"/>
        </w:rPr>
        <w:t>detí</w:t>
      </w:r>
      <w:r>
        <w:rPr>
          <w:sz w:val="24"/>
        </w:rPr>
        <w:t>, alebo</w:t>
      </w:r>
    </w:p>
    <w:p w:rsidR="000635F6" w:rsidRDefault="00A72296">
      <w:pPr>
        <w:spacing w:after="200"/>
        <w:ind w:firstLine="330"/>
        <w:jc w:val="both"/>
      </w:pPr>
      <w:r>
        <w:rPr>
          <w:sz w:val="24"/>
        </w:rPr>
        <w:t xml:space="preserve">2. okolnosťou, ktorá súvisí s ochranou bezpečnosti finančného systému, a to najmä </w:t>
      </w:r>
      <w:r w:rsidR="00EA75B1">
        <w:rPr>
          <w:sz w:val="24"/>
        </w:rPr>
        <w:t xml:space="preserve">s </w:t>
      </w:r>
      <w:r>
        <w:rPr>
          <w:sz w:val="24"/>
        </w:rPr>
        <w:t xml:space="preserve">ochranou vkladateľov, investorov alebo </w:t>
      </w:r>
      <w:r w:rsidR="00EA75B1">
        <w:rPr>
          <w:sz w:val="24"/>
        </w:rPr>
        <w:t xml:space="preserve">s ochranou </w:t>
      </w:r>
      <w:r>
        <w:rPr>
          <w:sz w:val="24"/>
        </w:rPr>
        <w:t>poistencov.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lastRenderedPageBreak/>
        <w:t>(6) Návrh technického predpisu podľa odseku 5 písm. b) sa príjme až po doručení súhlasu Komisie.</w:t>
      </w:r>
    </w:p>
    <w:p w:rsidR="00A72296" w:rsidRDefault="00A72296">
      <w:pPr>
        <w:jc w:val="center"/>
        <w:rPr>
          <w:b/>
          <w:sz w:val="24"/>
        </w:rPr>
      </w:pPr>
    </w:p>
    <w:p w:rsidR="000635F6" w:rsidRDefault="00A72296">
      <w:pPr>
        <w:jc w:val="center"/>
      </w:pPr>
      <w:r>
        <w:rPr>
          <w:b/>
          <w:sz w:val="24"/>
        </w:rPr>
        <w:t>§ 3</w:t>
      </w:r>
    </w:p>
    <w:p w:rsidR="000635F6" w:rsidRDefault="00A72296">
      <w:pPr>
        <w:spacing w:after="200"/>
        <w:jc w:val="center"/>
      </w:pPr>
      <w:r>
        <w:rPr>
          <w:b/>
          <w:sz w:val="24"/>
        </w:rPr>
        <w:t>Podrobné stanovisko a pripomienka</w:t>
      </w:r>
    </w:p>
    <w:p w:rsidR="000635F6" w:rsidRDefault="000635F6"/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(1) Podrobné stanovisko je zásadný nesúhlas Komisie alebo členského štátu Európskej únie z dôvodu, že návrh technického predpisu obmedzuje voľný pohyb tovaru, slobodu poskytovania služieb alebo slobodu usadiť sa poskytovateľovi služieb informačnej spoločnosti </w:t>
      </w:r>
      <w:r w:rsidR="001F1A7E">
        <w:rPr>
          <w:sz w:val="24"/>
        </w:rPr>
        <w:t>a </w:t>
      </w:r>
      <w:r>
        <w:rPr>
          <w:sz w:val="24"/>
        </w:rPr>
        <w:t>predkladá</w:t>
      </w:r>
      <w:r w:rsidR="001F1A7E">
        <w:rPr>
          <w:sz w:val="24"/>
        </w:rPr>
        <w:t xml:space="preserve"> sa</w:t>
      </w:r>
      <w:r>
        <w:rPr>
          <w:sz w:val="24"/>
        </w:rPr>
        <w:t xml:space="preserve"> form</w:t>
      </w:r>
      <w:r w:rsidR="00EA75B1">
        <w:rPr>
          <w:sz w:val="24"/>
        </w:rPr>
        <w:t>ou</w:t>
      </w:r>
      <w:r>
        <w:rPr>
          <w:sz w:val="24"/>
        </w:rPr>
        <w:t xml:space="preserve"> notifikačnej správy, ktorá je sprístupnená na webovom sídle úradu.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>(2) Podrobné stanovisko sa nepredkladá k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 xml:space="preserve">a) fiškálnej požiadavke alebo </w:t>
      </w:r>
      <w:r w:rsidR="00EA75B1">
        <w:rPr>
          <w:sz w:val="24"/>
        </w:rPr>
        <w:t xml:space="preserve">k </w:t>
      </w:r>
      <w:r>
        <w:rPr>
          <w:sz w:val="24"/>
        </w:rPr>
        <w:t>finančnej požiadavke návrhu technického predpisu,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 xml:space="preserve">b) časti návrhu technického predpisu o službách informačnej spoločnosti, ktorá obsahuje podrobnosti, ktoré vyplývajú z jazykovej, kultúrnej alebo </w:t>
      </w:r>
      <w:r w:rsidR="00552F37">
        <w:rPr>
          <w:sz w:val="24"/>
        </w:rPr>
        <w:t xml:space="preserve">z </w:t>
      </w:r>
      <w:r>
        <w:rPr>
          <w:sz w:val="24"/>
        </w:rPr>
        <w:t>národnej rôznorodosti členského štátu Európskej únie, alebo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 xml:space="preserve">c) </w:t>
      </w:r>
      <w:r w:rsidR="00552F37">
        <w:rPr>
          <w:sz w:val="24"/>
        </w:rPr>
        <w:t xml:space="preserve">k </w:t>
      </w:r>
      <w:r>
        <w:rPr>
          <w:sz w:val="24"/>
        </w:rPr>
        <w:t>návrhu technického predpisu členského štátu Európskeho združenia voľného obchodu a Turecka.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>(3) Pripomienka je nesúhlas Komisie, členského štátu Európskej únie, členského štátu Európskeho združenia voľného obchodu alebo Turecka</w:t>
      </w:r>
      <w:r w:rsidR="001F1A7E">
        <w:rPr>
          <w:sz w:val="24"/>
        </w:rPr>
        <w:t xml:space="preserve"> s návrhom technického predpisu a </w:t>
      </w:r>
      <w:r>
        <w:rPr>
          <w:sz w:val="24"/>
        </w:rPr>
        <w:t>predkladá</w:t>
      </w:r>
      <w:r w:rsidR="001F1A7E">
        <w:rPr>
          <w:sz w:val="24"/>
        </w:rPr>
        <w:t xml:space="preserve"> sa</w:t>
      </w:r>
      <w:r>
        <w:rPr>
          <w:sz w:val="24"/>
        </w:rPr>
        <w:t xml:space="preserve"> form</w:t>
      </w:r>
      <w:r w:rsidR="00552F37">
        <w:rPr>
          <w:sz w:val="24"/>
        </w:rPr>
        <w:t>ou</w:t>
      </w:r>
      <w:r>
        <w:rPr>
          <w:sz w:val="24"/>
        </w:rPr>
        <w:t xml:space="preserve"> notifikačnej správy, ktorá je sprístupnená na webovom sídle úradu.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(4) </w:t>
      </w:r>
      <w:r w:rsidR="00EA75B1">
        <w:rPr>
          <w:sz w:val="24"/>
        </w:rPr>
        <w:t xml:space="preserve">Vyjadrenie </w:t>
      </w:r>
      <w:r>
        <w:rPr>
          <w:sz w:val="24"/>
        </w:rPr>
        <w:t xml:space="preserve">zodpovedného orgánu </w:t>
      </w:r>
      <w:r w:rsidR="00CD3F20">
        <w:rPr>
          <w:sz w:val="24"/>
        </w:rPr>
        <w:t xml:space="preserve">k </w:t>
      </w:r>
      <w:r>
        <w:rPr>
          <w:sz w:val="24"/>
        </w:rPr>
        <w:t>podrobné</w:t>
      </w:r>
      <w:r w:rsidR="00CD3F20">
        <w:rPr>
          <w:sz w:val="24"/>
        </w:rPr>
        <w:t>mu</w:t>
      </w:r>
      <w:r>
        <w:rPr>
          <w:sz w:val="24"/>
        </w:rPr>
        <w:t xml:space="preserve"> stanovisk</w:t>
      </w:r>
      <w:r w:rsidR="00CD3F20">
        <w:rPr>
          <w:sz w:val="24"/>
        </w:rPr>
        <w:t>u</w:t>
      </w:r>
      <w:r>
        <w:rPr>
          <w:sz w:val="24"/>
        </w:rPr>
        <w:t xml:space="preserve"> alebo </w:t>
      </w:r>
      <w:r w:rsidR="00CD3F20">
        <w:rPr>
          <w:sz w:val="24"/>
        </w:rPr>
        <w:t>k</w:t>
      </w:r>
      <w:r>
        <w:rPr>
          <w:sz w:val="24"/>
        </w:rPr>
        <w:t xml:space="preserve"> pripomienk</w:t>
      </w:r>
      <w:r w:rsidR="00CD3F20">
        <w:rPr>
          <w:sz w:val="24"/>
        </w:rPr>
        <w:t>e</w:t>
      </w:r>
      <w:r>
        <w:rPr>
          <w:sz w:val="24"/>
        </w:rPr>
        <w:t xml:space="preserve"> Komisie, </w:t>
      </w:r>
      <w:r w:rsidR="00EA75B1">
        <w:rPr>
          <w:sz w:val="24"/>
        </w:rPr>
        <w:t xml:space="preserve">vyjadrenie </w:t>
      </w:r>
      <w:r>
        <w:rPr>
          <w:sz w:val="24"/>
        </w:rPr>
        <w:t xml:space="preserve">zodpovedného orgánu </w:t>
      </w:r>
      <w:r w:rsidR="00CD3F20">
        <w:rPr>
          <w:sz w:val="24"/>
        </w:rPr>
        <w:t>k</w:t>
      </w:r>
      <w:r>
        <w:rPr>
          <w:sz w:val="24"/>
        </w:rPr>
        <w:t xml:space="preserve"> pripomienk</w:t>
      </w:r>
      <w:r w:rsidR="00CD3F20">
        <w:rPr>
          <w:sz w:val="24"/>
        </w:rPr>
        <w:t>e</w:t>
      </w:r>
      <w:r>
        <w:rPr>
          <w:sz w:val="24"/>
        </w:rPr>
        <w:t xml:space="preserve"> alebo </w:t>
      </w:r>
      <w:r w:rsidR="00CD3F20">
        <w:rPr>
          <w:sz w:val="24"/>
        </w:rPr>
        <w:t>k</w:t>
      </w:r>
      <w:r>
        <w:rPr>
          <w:sz w:val="24"/>
        </w:rPr>
        <w:t xml:space="preserve"> podrobné</w:t>
      </w:r>
      <w:r w:rsidR="00CD3F20">
        <w:rPr>
          <w:sz w:val="24"/>
        </w:rPr>
        <w:t>mu</w:t>
      </w:r>
      <w:r>
        <w:rPr>
          <w:sz w:val="24"/>
        </w:rPr>
        <w:t xml:space="preserve"> stanovisk</w:t>
      </w:r>
      <w:r w:rsidR="00CD3F20">
        <w:rPr>
          <w:sz w:val="24"/>
        </w:rPr>
        <w:t>u</w:t>
      </w:r>
      <w:r>
        <w:rPr>
          <w:sz w:val="24"/>
        </w:rPr>
        <w:t xml:space="preserve"> členského štátu Európskej únie, </w:t>
      </w:r>
      <w:r w:rsidR="00EA75B1">
        <w:rPr>
          <w:sz w:val="24"/>
        </w:rPr>
        <w:t xml:space="preserve">vyjadrenie </w:t>
      </w:r>
      <w:r>
        <w:rPr>
          <w:sz w:val="24"/>
        </w:rPr>
        <w:t xml:space="preserve">zodpovedného orgánu </w:t>
      </w:r>
      <w:r w:rsidR="00CD3F20">
        <w:rPr>
          <w:sz w:val="24"/>
        </w:rPr>
        <w:t>k</w:t>
      </w:r>
      <w:r>
        <w:rPr>
          <w:sz w:val="24"/>
        </w:rPr>
        <w:t xml:space="preserve"> pripomienk</w:t>
      </w:r>
      <w:r w:rsidR="00CD3F20">
        <w:rPr>
          <w:sz w:val="24"/>
        </w:rPr>
        <w:t>e</w:t>
      </w:r>
      <w:r>
        <w:rPr>
          <w:sz w:val="24"/>
        </w:rPr>
        <w:t xml:space="preserve"> členského štátu Európskeho združenia voľného obchodu a </w:t>
      </w:r>
      <w:r w:rsidR="00EA75B1">
        <w:rPr>
          <w:sz w:val="24"/>
        </w:rPr>
        <w:t xml:space="preserve">vyjadrenie </w:t>
      </w:r>
      <w:r>
        <w:rPr>
          <w:sz w:val="24"/>
        </w:rPr>
        <w:t xml:space="preserve">zodpovedného orgánu </w:t>
      </w:r>
      <w:r w:rsidR="00CD3F20">
        <w:rPr>
          <w:sz w:val="24"/>
        </w:rPr>
        <w:t>k</w:t>
      </w:r>
      <w:r>
        <w:rPr>
          <w:sz w:val="24"/>
        </w:rPr>
        <w:t xml:space="preserve"> pripomienk</w:t>
      </w:r>
      <w:r w:rsidR="00CD3F20">
        <w:rPr>
          <w:sz w:val="24"/>
        </w:rPr>
        <w:t>e</w:t>
      </w:r>
      <w:r>
        <w:rPr>
          <w:sz w:val="24"/>
        </w:rPr>
        <w:t xml:space="preserve"> Turecka k návrhu technického predpisu Slovenskej republiky sa predkladá form</w:t>
      </w:r>
      <w:r w:rsidR="00BB32FE">
        <w:rPr>
          <w:sz w:val="24"/>
        </w:rPr>
        <w:t>ou</w:t>
      </w:r>
      <w:r>
        <w:rPr>
          <w:sz w:val="24"/>
        </w:rPr>
        <w:t xml:space="preserve"> notifikačnej správy, ktorá je sprístupnená na webovom sídle úradu.</w:t>
      </w:r>
    </w:p>
    <w:p w:rsidR="00A72296" w:rsidRDefault="00A72296">
      <w:pPr>
        <w:jc w:val="center"/>
        <w:rPr>
          <w:b/>
          <w:sz w:val="24"/>
        </w:rPr>
      </w:pPr>
    </w:p>
    <w:p w:rsidR="000635F6" w:rsidRDefault="00A72296">
      <w:pPr>
        <w:jc w:val="center"/>
      </w:pPr>
      <w:r>
        <w:rPr>
          <w:b/>
          <w:sz w:val="24"/>
        </w:rPr>
        <w:t>§ 4</w:t>
      </w:r>
    </w:p>
    <w:p w:rsidR="000635F6" w:rsidRDefault="00A72296">
      <w:pPr>
        <w:spacing w:after="200"/>
        <w:jc w:val="center"/>
      </w:pPr>
      <w:r>
        <w:rPr>
          <w:b/>
          <w:sz w:val="24"/>
        </w:rPr>
        <w:t>Sprievodné dokumenty</w:t>
      </w:r>
    </w:p>
    <w:p w:rsidR="000635F6" w:rsidRDefault="000635F6"/>
    <w:p w:rsidR="000635F6" w:rsidRDefault="00A72296">
      <w:pPr>
        <w:spacing w:after="200"/>
        <w:ind w:firstLine="450"/>
        <w:jc w:val="both"/>
      </w:pPr>
      <w:r>
        <w:rPr>
          <w:sz w:val="24"/>
        </w:rPr>
        <w:t>(1) Sprievodným dokumentom je na účely tohto nariadenia vlády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a) notifikačný formulár, ktorý je sprístupnený na webovom sídle úradu,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b) všeobecne záväzný právny predpis,</w:t>
      </w:r>
      <w:r>
        <w:rPr>
          <w:sz w:val="24"/>
          <w:vertAlign w:val="superscript"/>
        </w:rPr>
        <w:footnoteReference w:id="2"/>
      </w:r>
      <w:r>
        <w:rPr>
          <w:sz w:val="24"/>
        </w:rPr>
        <w:t>) podľa ustanovenia ktorého sa návrh technického predpisu vydáva, alebo všeobecne záväzný právny predpis, ktorý sa návrhom technického predpisu mení alebo dopĺňa,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c) doložka vybraných vplyvov a analýza vplyvov</w:t>
      </w:r>
      <w:r>
        <w:rPr>
          <w:sz w:val="24"/>
          <w:vertAlign w:val="superscript"/>
        </w:rPr>
        <w:footnoteReference w:id="3"/>
      </w:r>
      <w:r>
        <w:rPr>
          <w:sz w:val="24"/>
        </w:rPr>
        <w:t>) návrhu technického predpisu.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>(2) Notifikačný formulár obsahuje najmä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a) názov a sídlo oznamovacieho miesta ustanoveného v § 8 ods. 1 zákona,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b) názov, sídlo, emailovú adresu a telefonický kontakt zodpovedného orgánu,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c) zodpovedným orgánom určený kód výrobku, podľa zoznamu kódov výrobkových skupín a skupín služieb informačnej spoločnosti, ktorý je zverejnený na webovom sídle úradu,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d) názov návrhu technického predpisu,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e) názov výrobku, ktorý je predmetom úpravy návrhu technického predpisu,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f) informáciu, či sa na návrh technického predpisu vzťahuje aj informačná povinnosť podľa osobitného predpisu,</w:t>
      </w:r>
      <w:r>
        <w:rPr>
          <w:sz w:val="24"/>
          <w:vertAlign w:val="superscript"/>
        </w:rPr>
        <w:footnoteReference w:id="4"/>
      </w:r>
      <w:r>
        <w:rPr>
          <w:sz w:val="24"/>
        </w:rPr>
        <w:t>)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g) predmet úpravy a stručný opis návrhu technického predpisu,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h) stručné odôvodnenie potreby prijatia návrhu technického predpisu,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i) názov všeobecne záväzného právneho predpisu podľa odseku 1 písm. b),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j) požiadavku na uplatnenie postupu podľa § 2 ods. 5 písm. b) a odôvodnenie tejto požiadavky,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k) požiadavku na zachovanie dôverného charakteru návrhu technického predpisu pri poskytovaní informácii o návrhu technického predpisu a odôvodnenie tejto požiadavky,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l) informáciu, či návrh technického predpisu obsahuje fiškálnu požiadavku alebo finančnú požiadavku,</w:t>
      </w:r>
    </w:p>
    <w:p w:rsidR="000635F6" w:rsidRDefault="00A72296">
      <w:pPr>
        <w:spacing w:after="200"/>
        <w:ind w:firstLine="300"/>
        <w:jc w:val="both"/>
      </w:pPr>
      <w:r>
        <w:rPr>
          <w:sz w:val="24"/>
        </w:rPr>
        <w:t>m) informáciu, či sa návrh technického predpisu oznamuje aj podľa medzinárodnej zmluvy.</w:t>
      </w:r>
      <w:r>
        <w:rPr>
          <w:sz w:val="24"/>
          <w:vertAlign w:val="superscript"/>
        </w:rPr>
        <w:footnoteReference w:id="5"/>
      </w:r>
      <w:r>
        <w:rPr>
          <w:sz w:val="24"/>
        </w:rPr>
        <w:t>)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(3) Sprievodným dokumentom návrhu technického predpisu, ktorý môže obmedziť predaj alebo používanie chemickej látky, chemického prípravku alebo chemického výrobku z dôvodu ochrany zdravia, ochrany spotrebiteľa alebo ochrany životného prostredia je, okrem sprievodných dokumentov uvedených v odseku 1, </w:t>
      </w:r>
      <w:r w:rsidR="00552F37">
        <w:rPr>
          <w:sz w:val="24"/>
        </w:rPr>
        <w:t xml:space="preserve">aj </w:t>
      </w:r>
      <w:r>
        <w:rPr>
          <w:sz w:val="24"/>
        </w:rPr>
        <w:t xml:space="preserve">údaj o chemickej látke, chemickom prípravku alebo </w:t>
      </w:r>
      <w:r w:rsidR="00552F37">
        <w:rPr>
          <w:sz w:val="24"/>
        </w:rPr>
        <w:t xml:space="preserve">o </w:t>
      </w:r>
      <w:r>
        <w:rPr>
          <w:sz w:val="24"/>
        </w:rPr>
        <w:t>chemickom výrobku a o ich známej dostupnej náhrade alebo odkaz na túto náhradu, ak sú takéto informácie k dispozícii a údaj o predpokladanom vplyve na zdravie, na ochranu spotrebiteľa alebo na životné prostredie spolu s</w:t>
      </w:r>
      <w:r w:rsidR="001E39A5">
        <w:rPr>
          <w:sz w:val="24"/>
        </w:rPr>
        <w:t> analýzou vykonanou</w:t>
      </w:r>
      <w:r w:rsidR="00447A5F">
        <w:rPr>
          <w:sz w:val="24"/>
        </w:rPr>
        <w:t xml:space="preserve"> zodpovedajúcim spôsobom</w:t>
      </w:r>
      <w:r w:rsidR="00C14022">
        <w:rPr>
          <w:sz w:val="24"/>
        </w:rPr>
        <w:t xml:space="preserve"> podľa </w:t>
      </w:r>
      <w:r w:rsidR="00447A5F">
        <w:rPr>
          <w:sz w:val="24"/>
        </w:rPr>
        <w:t>zásad</w:t>
      </w:r>
      <w:r>
        <w:rPr>
          <w:sz w:val="24"/>
        </w:rPr>
        <w:t xml:space="preserve"> </w:t>
      </w:r>
      <w:r w:rsidR="00C14022">
        <w:rPr>
          <w:sz w:val="24"/>
        </w:rPr>
        <w:t xml:space="preserve">uvedených v </w:t>
      </w:r>
      <w:r>
        <w:rPr>
          <w:sz w:val="24"/>
        </w:rPr>
        <w:t>osobitn</w:t>
      </w:r>
      <w:r w:rsidR="00C14022">
        <w:rPr>
          <w:sz w:val="24"/>
        </w:rPr>
        <w:t>om</w:t>
      </w:r>
      <w:r>
        <w:rPr>
          <w:sz w:val="24"/>
        </w:rPr>
        <w:t xml:space="preserve"> predpis</w:t>
      </w:r>
      <w:r w:rsidR="00C14022">
        <w:rPr>
          <w:sz w:val="24"/>
        </w:rPr>
        <w:t>e</w:t>
      </w:r>
      <w:r>
        <w:rPr>
          <w:sz w:val="24"/>
        </w:rPr>
        <w:t>.</w:t>
      </w:r>
      <w:r>
        <w:rPr>
          <w:sz w:val="24"/>
          <w:vertAlign w:val="superscript"/>
        </w:rPr>
        <w:footnoteReference w:id="6"/>
      </w:r>
      <w:r>
        <w:rPr>
          <w:sz w:val="24"/>
        </w:rPr>
        <w:t>)</w:t>
      </w:r>
    </w:p>
    <w:p w:rsidR="00A72296" w:rsidRDefault="00A72296">
      <w:pPr>
        <w:spacing w:after="200"/>
        <w:jc w:val="center"/>
        <w:rPr>
          <w:b/>
          <w:sz w:val="24"/>
        </w:rPr>
      </w:pPr>
    </w:p>
    <w:p w:rsidR="000635F6" w:rsidRDefault="00A72296">
      <w:pPr>
        <w:spacing w:after="200"/>
        <w:jc w:val="center"/>
      </w:pPr>
      <w:r>
        <w:rPr>
          <w:b/>
          <w:sz w:val="24"/>
        </w:rPr>
        <w:t>§ 5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 Týmto nariadením vlády sa preberajú právne záväzné akty Európskej únie uvedené v prílohe.</w:t>
      </w:r>
    </w:p>
    <w:p w:rsidR="00A72296" w:rsidRDefault="00A72296">
      <w:pPr>
        <w:spacing w:after="200"/>
        <w:jc w:val="center"/>
        <w:rPr>
          <w:b/>
          <w:sz w:val="24"/>
        </w:rPr>
      </w:pPr>
    </w:p>
    <w:p w:rsidR="000635F6" w:rsidRDefault="00A72296">
      <w:pPr>
        <w:spacing w:after="200"/>
        <w:jc w:val="center"/>
      </w:pPr>
      <w:r>
        <w:rPr>
          <w:b/>
          <w:sz w:val="24"/>
        </w:rPr>
        <w:t>§ 6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 Zrušuje sa nariadenie vlády Slovenskej republiky č. 453/2002 Z. z. o postupoch pri poskytovaní informácií v oblasti technických predpisov a technických noriem.</w:t>
      </w:r>
    </w:p>
    <w:p w:rsidR="00A72296" w:rsidRDefault="00A72296">
      <w:pPr>
        <w:spacing w:after="200"/>
        <w:jc w:val="center"/>
        <w:rPr>
          <w:b/>
          <w:sz w:val="24"/>
        </w:rPr>
      </w:pPr>
    </w:p>
    <w:p w:rsidR="000635F6" w:rsidRDefault="00A72296">
      <w:pPr>
        <w:spacing w:after="200"/>
        <w:jc w:val="center"/>
      </w:pPr>
      <w:r>
        <w:rPr>
          <w:b/>
          <w:sz w:val="24"/>
        </w:rPr>
        <w:t>§ 7</w:t>
      </w:r>
    </w:p>
    <w:p w:rsidR="000635F6" w:rsidRDefault="00A72296">
      <w:pPr>
        <w:spacing w:after="200"/>
        <w:ind w:firstLine="450"/>
        <w:jc w:val="both"/>
      </w:pPr>
      <w:r>
        <w:rPr>
          <w:sz w:val="24"/>
        </w:rPr>
        <w:t xml:space="preserve"> Toto nariadenie vlády nadobúda účinnosť 1. apríla 2017.</w:t>
      </w:r>
    </w:p>
    <w:p w:rsidR="000635F6" w:rsidRDefault="000635F6"/>
    <w:p w:rsidR="000635F6" w:rsidRDefault="00A72296">
      <w:r>
        <w:br w:type="page"/>
      </w:r>
    </w:p>
    <w:p w:rsidR="000635F6" w:rsidRPr="00A72296" w:rsidRDefault="00A72296">
      <w:pPr>
        <w:spacing w:after="200"/>
        <w:jc w:val="right"/>
      </w:pPr>
      <w:r w:rsidRPr="00A72296">
        <w:rPr>
          <w:sz w:val="24"/>
        </w:rPr>
        <w:t>Príloha k nariadeniu vlády č. ...2017 Z. z.</w:t>
      </w:r>
    </w:p>
    <w:p w:rsidR="000635F6" w:rsidRDefault="00A72296">
      <w:pPr>
        <w:spacing w:after="200"/>
        <w:jc w:val="center"/>
      </w:pPr>
      <w:r>
        <w:rPr>
          <w:b/>
          <w:sz w:val="24"/>
        </w:rPr>
        <w:t>ZOZNAM PREBERANÝCH PRÁVNE ZÁVÄZNÝCH AKTOV EURÓPSKEJ ÚNIE</w:t>
      </w:r>
    </w:p>
    <w:p w:rsidR="000635F6" w:rsidRDefault="000635F6"/>
    <w:p w:rsidR="000635F6" w:rsidRDefault="000635F6"/>
    <w:p w:rsidR="000635F6" w:rsidRDefault="00A72296" w:rsidP="00361AAA">
      <w:pPr>
        <w:spacing w:after="200"/>
        <w:jc w:val="both"/>
      </w:pPr>
      <w:r>
        <w:rPr>
          <w:sz w:val="24"/>
        </w:rPr>
        <w:t>Smernica Európskeho parlamentu a Rady (EÚ) 2015/1535 z 9. septembra 2015, ktorou sa stanovuje postup pri poskytovaní informácií v oblasti technických predpisov a pravidiel vzťahujúcich sa na služby informačnej spoločnosti (kodifikované znenie) (Text s významom pre EHP) (Ú. v. EÚ L 241, 17. 09. 2015).</w:t>
      </w:r>
    </w:p>
    <w:sectPr w:rsidR="00063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54" w:rsidRDefault="00297154">
      <w:r>
        <w:separator/>
      </w:r>
    </w:p>
  </w:endnote>
  <w:endnote w:type="continuationSeparator" w:id="0">
    <w:p w:rsidR="00297154" w:rsidRDefault="0029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54" w:rsidRDefault="00297154">
      <w:r>
        <w:separator/>
      </w:r>
    </w:p>
  </w:footnote>
  <w:footnote w:type="continuationSeparator" w:id="0">
    <w:p w:rsidR="00297154" w:rsidRDefault="00297154">
      <w:r>
        <w:continuationSeparator/>
      </w:r>
    </w:p>
  </w:footnote>
  <w:footnote w:id="1">
    <w:p w:rsidR="00571A13" w:rsidRDefault="00571A13">
      <w:r>
        <w:rPr>
          <w:vertAlign w:val="superscript"/>
        </w:rPr>
        <w:t>1</w:t>
      </w:r>
      <w:r>
        <w:t>) Článok 294 ods. 4 a 5 Zmluvy o fungovaní Európskej únie (Konsolidované znenie) (Ú. v. EÚ C 202, 7.6.2016).</w:t>
      </w:r>
    </w:p>
  </w:footnote>
  <w:footnote w:id="2">
    <w:p w:rsidR="00571A13" w:rsidRDefault="00571A13">
      <w:r>
        <w:rPr>
          <w:vertAlign w:val="superscript"/>
        </w:rPr>
        <w:t>2</w:t>
      </w:r>
      <w:r>
        <w:t>) § 1 ods. 1 zákona č. 400/2015 Z. z. o tvorbe právnych predpisov a o Zbierke zákonov Slovenskej republiky a o zmene a doplnení niektorých zákonov.</w:t>
      </w:r>
    </w:p>
  </w:footnote>
  <w:footnote w:id="3">
    <w:p w:rsidR="00571A13" w:rsidRDefault="00571A13">
      <w:r>
        <w:rPr>
          <w:vertAlign w:val="superscript"/>
        </w:rPr>
        <w:t>3</w:t>
      </w:r>
      <w:r>
        <w:t>) § 7 ods. 1 písm. c) zákona č. 400/2015 Z. z.</w:t>
      </w:r>
    </w:p>
  </w:footnote>
  <w:footnote w:id="4">
    <w:p w:rsidR="00571A13" w:rsidRDefault="00571A13" w:rsidP="00A72296">
      <w:pPr>
        <w:jc w:val="both"/>
      </w:pPr>
      <w:r>
        <w:rPr>
          <w:vertAlign w:val="superscript"/>
        </w:rPr>
        <w:t>4</w:t>
      </w:r>
      <w:r>
        <w:t>) Napríklad nariadenie Rady (EHS) č. 315/93 z 8. februára 1993, ktorým sa stanovujú postupy spoločenstva u kontaminujúcich látok v potravinách (Mimoriadne vydanie Ú. v. EÚ, kap. 15/zv. 2), nariadenie Európskeho parlamentu a Rady (ES) č. 852/2004 z 29. apríla 2004 o hygiene potravín (Mimoriadne vydanie Ú. v. EÚ, kap. 13/zv. 34), nariadenie Európskeho parlamentu a Rady (ES) č. 853/2004 z 29. apríla 2004, ktorým sa ustanovujú osobitné hygienické predpisy pre potraviny živočíšneho pôvodu (Mimoriadne vydanie Ú. v. EÚ, kap. 3/zv. 45), nariadenie Európskeho parlamentu a Rady (ES) č. 854/2004 z 29. apríla 2004, ktorým sa ustanovujú osobitné predpisy na organizáciu úradných kontrol produktov živočíšneho pôvodu určených na ľudskú spotrebu (Mimoriadne vydanie Ú. v. EÚ, kap. 3/zv. 45), nariadenie Európskeho parlamentu a Rady (ES) č. 1924/2006 z 20. decembra 2006 o výživových a zdravotných tvrdeniach o potravinách (Ú. v. EÚ L 404, 30. 12. 2006), nariadenie Európskeho parlamentu a Rady (ES) č. 1925/2006 z 20. decembra 2006 o pridávaní vitamínov a minerálnych látok a niektorých ďalších látok do potravín (Ú. v. EÚ L 404, 30. 12. 2006).</w:t>
      </w:r>
    </w:p>
  </w:footnote>
  <w:footnote w:id="5">
    <w:p w:rsidR="00571A13" w:rsidRDefault="00571A13" w:rsidP="00A72296">
      <w:pPr>
        <w:jc w:val="both"/>
      </w:pPr>
      <w:r>
        <w:rPr>
          <w:vertAlign w:val="superscript"/>
        </w:rPr>
        <w:t>5</w:t>
      </w:r>
      <w:r>
        <w:t xml:space="preserve">) </w:t>
      </w:r>
      <w:r w:rsidRPr="00A72296">
        <w:t xml:space="preserve">Dohoda o technických prekážkach obchodu, Dohoda o uplatňovaní sanitárnych a </w:t>
      </w:r>
      <w:proofErr w:type="spellStart"/>
      <w:r w:rsidRPr="00A72296">
        <w:t>fytosanitárnych</w:t>
      </w:r>
      <w:proofErr w:type="spellEnd"/>
      <w:r w:rsidRPr="00A72296">
        <w:t xml:space="preserve"> opatrení (oznámenie Ministerstva zahraničných vecí Slovenskej republiky č. 152/2000 Z. z.).</w:t>
      </w:r>
    </w:p>
  </w:footnote>
  <w:footnote w:id="6">
    <w:p w:rsidR="00571A13" w:rsidRDefault="00571A13" w:rsidP="00A72296">
      <w:pPr>
        <w:jc w:val="both"/>
      </w:pPr>
      <w:r>
        <w:rPr>
          <w:vertAlign w:val="superscript"/>
        </w:rPr>
        <w:t>6</w:t>
      </w:r>
      <w:r>
        <w:t>) Príloha XV časť II bod 3 nariadenia Európskeho parlamentu a Rady (ES) č. 1907/2006 z  18. decembra 2006 o registrácii, hodnotení, autorizácii a obmedzovaní chemických látok (REACH) a o zriadení Európskej chemickej agentúry, o zmene a doplnení smernice 1999/45/ES a o zrušení nariadenia Rady (EHS) č. 793/93 a nariadenia Komisie (ES) č. 1488/94, smernice Rady 76/769/EHS a smerníc Komisie 91/155/EHS, 93/67/EHS, 93/105/ES a 2000/21/ES (Ú. v. EÚ L 396, 30.12.2006).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5F6"/>
    <w:rsid w:val="000635F6"/>
    <w:rsid w:val="001E2E5B"/>
    <w:rsid w:val="001E39A5"/>
    <w:rsid w:val="001F1A7E"/>
    <w:rsid w:val="00297154"/>
    <w:rsid w:val="00361AAA"/>
    <w:rsid w:val="00447A5F"/>
    <w:rsid w:val="00552F37"/>
    <w:rsid w:val="00571A13"/>
    <w:rsid w:val="00602897"/>
    <w:rsid w:val="006734B3"/>
    <w:rsid w:val="006E6D44"/>
    <w:rsid w:val="00735D57"/>
    <w:rsid w:val="007855F4"/>
    <w:rsid w:val="00A72296"/>
    <w:rsid w:val="00BB32FE"/>
    <w:rsid w:val="00C14022"/>
    <w:rsid w:val="00CD3F20"/>
    <w:rsid w:val="00EA75B1"/>
    <w:rsid w:val="00ED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1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A7E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1A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1A1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1A1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1A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1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WKX3UHSAJ2R6-2-766168</_dlc_DocId>
    <_dlc_DocIdUrl xmlns="e60a29af-d413-48d4-bd90-fe9d2a897e4b">
      <Url>https://ovdmasv601/sites/DMS/_layouts/15/DocIdRedir.aspx?ID=WKX3UHSAJ2R6-2-766168</Url>
      <Description>WKX3UHSAJ2R6-2-766168</Description>
    </_dlc_DocIdUrl>
  </documentManagement>
</p:properties>
</file>

<file path=customXml/itemProps1.xml><?xml version="1.0" encoding="utf-8"?>
<ds:datastoreItem xmlns:ds="http://schemas.openxmlformats.org/officeDocument/2006/customXml" ds:itemID="{254B4854-161B-4E86-9E56-C8D24412A1B0}"/>
</file>

<file path=customXml/itemProps2.xml><?xml version="1.0" encoding="utf-8"?>
<ds:datastoreItem xmlns:ds="http://schemas.openxmlformats.org/officeDocument/2006/customXml" ds:itemID="{1EAEBB5A-3F9B-4660-A328-C7FF99F50DCB}"/>
</file>

<file path=customXml/itemProps3.xml><?xml version="1.0" encoding="utf-8"?>
<ds:datastoreItem xmlns:ds="http://schemas.openxmlformats.org/officeDocument/2006/customXml" ds:itemID="{D276295A-B331-4D6D-8AF2-43AEA7C8CC58}"/>
</file>

<file path=customXml/itemProps4.xml><?xml version="1.0" encoding="utf-8"?>
<ds:datastoreItem xmlns:ds="http://schemas.openxmlformats.org/officeDocument/2006/customXml" ds:itemID="{0C206DE8-024F-4725-8A65-EF738559A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UNMS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Pankievičová Anežka</cp:lastModifiedBy>
  <cp:revision>8</cp:revision>
  <cp:lastPrinted>2017-02-10T07:40:00Z</cp:lastPrinted>
  <dcterms:created xsi:type="dcterms:W3CDTF">2017-02-14T13:31:00Z</dcterms:created>
  <dcterms:modified xsi:type="dcterms:W3CDTF">2017-02-15T13:43:00Z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1082630366</vt:i4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e0f3e0c6-bfb9-4bd1-909e-c6a2059ae26f</vt:lpwstr>
  </property>
</Properties>
</file>