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ABE" w:rsidRPr="0003349E" w:rsidRDefault="00D95ABE" w:rsidP="00575C13">
      <w:pPr>
        <w:spacing w:after="120"/>
        <w:jc w:val="center"/>
        <w:rPr>
          <w:u w:val="single"/>
        </w:rPr>
      </w:pPr>
      <w:r w:rsidRPr="0003349E">
        <w:rPr>
          <w:b/>
          <w:bCs/>
          <w:u w:val="single"/>
        </w:rPr>
        <w:t>Správa o implementácii a čerpaní operačného programu INTERACT II k 30.</w:t>
      </w:r>
      <w:r>
        <w:rPr>
          <w:b/>
          <w:bCs/>
          <w:u w:val="single"/>
        </w:rPr>
        <w:t>06</w:t>
      </w:r>
      <w:r w:rsidRPr="0003349E">
        <w:rPr>
          <w:b/>
          <w:bCs/>
          <w:u w:val="single"/>
        </w:rPr>
        <w:t xml:space="preserve"> 2010</w:t>
      </w:r>
    </w:p>
    <w:p w:rsidR="00D95ABE" w:rsidRPr="0003349E" w:rsidRDefault="00D95ABE" w:rsidP="00575C13">
      <w:pPr>
        <w:tabs>
          <w:tab w:val="left" w:pos="567"/>
        </w:tabs>
        <w:spacing w:after="120"/>
        <w:ind w:firstLine="708"/>
        <w:jc w:val="center"/>
        <w:rPr>
          <w:rFonts w:ascii="Arial Narrow" w:hAnsi="Arial Narrow"/>
          <w:b/>
          <w:bCs/>
        </w:rPr>
      </w:pPr>
    </w:p>
    <w:p w:rsidR="00D95ABE" w:rsidRPr="0003349E" w:rsidRDefault="00D95ABE">
      <w:pPr>
        <w:pStyle w:val="TOCHeading"/>
        <w:rPr>
          <w:rFonts w:ascii="Times New Roman" w:hAnsi="Times New Roman"/>
          <w:color w:val="auto"/>
          <w:sz w:val="24"/>
          <w:szCs w:val="24"/>
        </w:rPr>
      </w:pPr>
      <w:r w:rsidRPr="0003349E">
        <w:rPr>
          <w:rFonts w:ascii="Times New Roman" w:hAnsi="Times New Roman"/>
          <w:color w:val="auto"/>
          <w:sz w:val="24"/>
          <w:szCs w:val="24"/>
        </w:rPr>
        <w:t>Obsah</w:t>
      </w:r>
    </w:p>
    <w:p w:rsidR="00D95ABE" w:rsidRPr="0003349E" w:rsidRDefault="00D95ABE" w:rsidP="002B0654">
      <w:pPr>
        <w:rPr>
          <w:rFonts w:ascii="Arial Narrow" w:hAnsi="Arial Narrow"/>
          <w:lang w:eastAsia="en-US"/>
        </w:rPr>
      </w:pPr>
    </w:p>
    <w:p w:rsidR="00D95ABE" w:rsidRDefault="00D95ABE">
      <w:pPr>
        <w:pStyle w:val="TOC1"/>
        <w:tabs>
          <w:tab w:val="left" w:pos="480"/>
          <w:tab w:val="right" w:leader="dot" w:pos="9062"/>
        </w:tabs>
        <w:rPr>
          <w:noProof/>
        </w:rPr>
      </w:pPr>
      <w:r>
        <w:rPr>
          <w:rFonts w:ascii="Arial Narrow" w:hAnsi="Arial Narrow"/>
        </w:rPr>
        <w:fldChar w:fldCharType="begin"/>
      </w:r>
      <w:r>
        <w:rPr>
          <w:rFonts w:ascii="Arial Narrow" w:hAnsi="Arial Narrow"/>
        </w:rPr>
        <w:instrText xml:space="preserve"> TOC \o "1-3" \h \z \u </w:instrText>
      </w:r>
      <w:r>
        <w:rPr>
          <w:rFonts w:ascii="Arial Narrow" w:hAnsi="Arial Narrow"/>
        </w:rPr>
        <w:fldChar w:fldCharType="separate"/>
      </w:r>
      <w:hyperlink w:anchor="_Toc272762864" w:history="1">
        <w:r w:rsidRPr="00625B89">
          <w:rPr>
            <w:rStyle w:val="Hyperlink"/>
            <w:noProof/>
          </w:rPr>
          <w:t>1</w:t>
        </w:r>
        <w:r>
          <w:rPr>
            <w:noProof/>
          </w:rPr>
          <w:tab/>
        </w:r>
        <w:r w:rsidRPr="00625B89">
          <w:rPr>
            <w:rStyle w:val="Hyperlink"/>
            <w:noProof/>
          </w:rPr>
          <w:t>Úvod</w:t>
        </w:r>
        <w:r>
          <w:rPr>
            <w:noProof/>
            <w:webHidden/>
          </w:rPr>
          <w:tab/>
        </w:r>
        <w:r>
          <w:rPr>
            <w:noProof/>
            <w:webHidden/>
          </w:rPr>
          <w:fldChar w:fldCharType="begin"/>
        </w:r>
        <w:r>
          <w:rPr>
            <w:noProof/>
            <w:webHidden/>
          </w:rPr>
          <w:instrText xml:space="preserve"> PAGEREF _Toc272762864 \h </w:instrText>
        </w:r>
        <w:r>
          <w:rPr>
            <w:noProof/>
          </w:rPr>
        </w:r>
        <w:r>
          <w:rPr>
            <w:noProof/>
            <w:webHidden/>
          </w:rPr>
          <w:fldChar w:fldCharType="separate"/>
        </w:r>
        <w:r>
          <w:rPr>
            <w:noProof/>
            <w:webHidden/>
          </w:rPr>
          <w:t>2</w:t>
        </w:r>
        <w:r>
          <w:rPr>
            <w:noProof/>
            <w:webHidden/>
          </w:rPr>
          <w:fldChar w:fldCharType="end"/>
        </w:r>
      </w:hyperlink>
    </w:p>
    <w:p w:rsidR="00D95ABE" w:rsidRDefault="00D95ABE">
      <w:pPr>
        <w:pStyle w:val="TOC1"/>
        <w:tabs>
          <w:tab w:val="left" w:pos="480"/>
          <w:tab w:val="right" w:leader="dot" w:pos="9062"/>
        </w:tabs>
        <w:rPr>
          <w:noProof/>
        </w:rPr>
      </w:pPr>
      <w:hyperlink w:anchor="_Toc272762865" w:history="1">
        <w:r w:rsidRPr="00625B89">
          <w:rPr>
            <w:rStyle w:val="Hyperlink"/>
            <w:noProof/>
          </w:rPr>
          <w:t>2</w:t>
        </w:r>
        <w:r>
          <w:rPr>
            <w:noProof/>
          </w:rPr>
          <w:tab/>
        </w:r>
        <w:r w:rsidRPr="00625B89">
          <w:rPr>
            <w:rStyle w:val="Hyperlink"/>
            <w:noProof/>
          </w:rPr>
          <w:t>Riadenie OP INTERACT II</w:t>
        </w:r>
        <w:r>
          <w:rPr>
            <w:noProof/>
            <w:webHidden/>
          </w:rPr>
          <w:tab/>
        </w:r>
        <w:r>
          <w:rPr>
            <w:noProof/>
            <w:webHidden/>
          </w:rPr>
          <w:fldChar w:fldCharType="begin"/>
        </w:r>
        <w:r>
          <w:rPr>
            <w:noProof/>
            <w:webHidden/>
          </w:rPr>
          <w:instrText xml:space="preserve"> PAGEREF _Toc272762865 \h </w:instrText>
        </w:r>
        <w:r>
          <w:rPr>
            <w:noProof/>
          </w:rPr>
        </w:r>
        <w:r>
          <w:rPr>
            <w:noProof/>
            <w:webHidden/>
          </w:rPr>
          <w:fldChar w:fldCharType="separate"/>
        </w:r>
        <w:r>
          <w:rPr>
            <w:noProof/>
            <w:webHidden/>
          </w:rPr>
          <w:t>2</w:t>
        </w:r>
        <w:r>
          <w:rPr>
            <w:noProof/>
            <w:webHidden/>
          </w:rPr>
          <w:fldChar w:fldCharType="end"/>
        </w:r>
      </w:hyperlink>
    </w:p>
    <w:p w:rsidR="00D95ABE" w:rsidRDefault="00D95ABE">
      <w:pPr>
        <w:pStyle w:val="TOC2"/>
        <w:tabs>
          <w:tab w:val="left" w:pos="960"/>
          <w:tab w:val="right" w:leader="dot" w:pos="9062"/>
        </w:tabs>
        <w:rPr>
          <w:noProof/>
        </w:rPr>
      </w:pPr>
      <w:hyperlink w:anchor="_Toc272762866" w:history="1">
        <w:r w:rsidRPr="00625B89">
          <w:rPr>
            <w:rStyle w:val="Hyperlink"/>
            <w:noProof/>
          </w:rPr>
          <w:t>2.1</w:t>
        </w:r>
        <w:r>
          <w:rPr>
            <w:noProof/>
          </w:rPr>
          <w:tab/>
        </w:r>
        <w:r w:rsidRPr="00625B89">
          <w:rPr>
            <w:rStyle w:val="Hyperlink"/>
            <w:noProof/>
          </w:rPr>
          <w:t>Základné dokumenty schválené na národnej alebo medzinárodnej úrovni</w:t>
        </w:r>
        <w:r>
          <w:rPr>
            <w:noProof/>
            <w:webHidden/>
          </w:rPr>
          <w:tab/>
        </w:r>
        <w:r>
          <w:rPr>
            <w:noProof/>
            <w:webHidden/>
          </w:rPr>
          <w:fldChar w:fldCharType="begin"/>
        </w:r>
        <w:r>
          <w:rPr>
            <w:noProof/>
            <w:webHidden/>
          </w:rPr>
          <w:instrText xml:space="preserve"> PAGEREF _Toc272762866 \h </w:instrText>
        </w:r>
        <w:r>
          <w:rPr>
            <w:noProof/>
          </w:rPr>
        </w:r>
        <w:r>
          <w:rPr>
            <w:noProof/>
            <w:webHidden/>
          </w:rPr>
          <w:fldChar w:fldCharType="separate"/>
        </w:r>
        <w:r>
          <w:rPr>
            <w:noProof/>
            <w:webHidden/>
          </w:rPr>
          <w:t>3</w:t>
        </w:r>
        <w:r>
          <w:rPr>
            <w:noProof/>
            <w:webHidden/>
          </w:rPr>
          <w:fldChar w:fldCharType="end"/>
        </w:r>
      </w:hyperlink>
    </w:p>
    <w:p w:rsidR="00D95ABE" w:rsidRDefault="00D95ABE">
      <w:pPr>
        <w:pStyle w:val="TOC2"/>
        <w:tabs>
          <w:tab w:val="left" w:pos="960"/>
          <w:tab w:val="right" w:leader="dot" w:pos="9062"/>
        </w:tabs>
        <w:rPr>
          <w:noProof/>
        </w:rPr>
      </w:pPr>
      <w:hyperlink w:anchor="_Toc272762867" w:history="1">
        <w:r w:rsidRPr="00625B89">
          <w:rPr>
            <w:rStyle w:val="Hyperlink"/>
            <w:noProof/>
          </w:rPr>
          <w:t>2.2</w:t>
        </w:r>
        <w:r>
          <w:rPr>
            <w:noProof/>
          </w:rPr>
          <w:tab/>
        </w:r>
        <w:r w:rsidRPr="00625B89">
          <w:rPr>
            <w:rStyle w:val="Hyperlink"/>
            <w:noProof/>
          </w:rPr>
          <w:t>Komunikácia s Európskou komisiou</w:t>
        </w:r>
        <w:r>
          <w:rPr>
            <w:noProof/>
            <w:webHidden/>
          </w:rPr>
          <w:tab/>
        </w:r>
        <w:r>
          <w:rPr>
            <w:noProof/>
            <w:webHidden/>
          </w:rPr>
          <w:fldChar w:fldCharType="begin"/>
        </w:r>
        <w:r>
          <w:rPr>
            <w:noProof/>
            <w:webHidden/>
          </w:rPr>
          <w:instrText xml:space="preserve"> PAGEREF _Toc272762867 \h </w:instrText>
        </w:r>
        <w:r>
          <w:rPr>
            <w:noProof/>
          </w:rPr>
        </w:r>
        <w:r>
          <w:rPr>
            <w:noProof/>
            <w:webHidden/>
          </w:rPr>
          <w:fldChar w:fldCharType="separate"/>
        </w:r>
        <w:r>
          <w:rPr>
            <w:noProof/>
            <w:webHidden/>
          </w:rPr>
          <w:t>3</w:t>
        </w:r>
        <w:r>
          <w:rPr>
            <w:noProof/>
            <w:webHidden/>
          </w:rPr>
          <w:fldChar w:fldCharType="end"/>
        </w:r>
      </w:hyperlink>
    </w:p>
    <w:p w:rsidR="00D95ABE" w:rsidRDefault="00D95ABE">
      <w:pPr>
        <w:pStyle w:val="TOC1"/>
        <w:tabs>
          <w:tab w:val="left" w:pos="480"/>
          <w:tab w:val="right" w:leader="dot" w:pos="9062"/>
        </w:tabs>
        <w:rPr>
          <w:noProof/>
        </w:rPr>
      </w:pPr>
      <w:hyperlink w:anchor="_Toc272762868" w:history="1">
        <w:r w:rsidRPr="00625B89">
          <w:rPr>
            <w:rStyle w:val="Hyperlink"/>
            <w:noProof/>
          </w:rPr>
          <w:t>3</w:t>
        </w:r>
        <w:r>
          <w:rPr>
            <w:noProof/>
          </w:rPr>
          <w:tab/>
        </w:r>
        <w:r w:rsidRPr="00625B89">
          <w:rPr>
            <w:rStyle w:val="Hyperlink"/>
            <w:noProof/>
          </w:rPr>
          <w:t>Obsahová implementácia OP INTERACT II</w:t>
        </w:r>
        <w:r>
          <w:rPr>
            <w:noProof/>
            <w:webHidden/>
          </w:rPr>
          <w:tab/>
        </w:r>
        <w:r>
          <w:rPr>
            <w:noProof/>
            <w:webHidden/>
          </w:rPr>
          <w:fldChar w:fldCharType="begin"/>
        </w:r>
        <w:r>
          <w:rPr>
            <w:noProof/>
            <w:webHidden/>
          </w:rPr>
          <w:instrText xml:space="preserve"> PAGEREF _Toc272762868 \h </w:instrText>
        </w:r>
        <w:r>
          <w:rPr>
            <w:noProof/>
          </w:rPr>
        </w:r>
        <w:r>
          <w:rPr>
            <w:noProof/>
            <w:webHidden/>
          </w:rPr>
          <w:fldChar w:fldCharType="separate"/>
        </w:r>
        <w:r>
          <w:rPr>
            <w:noProof/>
            <w:webHidden/>
          </w:rPr>
          <w:t>4</w:t>
        </w:r>
        <w:r>
          <w:rPr>
            <w:noProof/>
            <w:webHidden/>
          </w:rPr>
          <w:fldChar w:fldCharType="end"/>
        </w:r>
      </w:hyperlink>
    </w:p>
    <w:p w:rsidR="00D95ABE" w:rsidRDefault="00D95ABE">
      <w:pPr>
        <w:pStyle w:val="TOC2"/>
        <w:tabs>
          <w:tab w:val="left" w:pos="960"/>
          <w:tab w:val="right" w:leader="dot" w:pos="9062"/>
        </w:tabs>
        <w:rPr>
          <w:noProof/>
        </w:rPr>
      </w:pPr>
      <w:hyperlink w:anchor="_Toc272762869" w:history="1">
        <w:r w:rsidRPr="00625B89">
          <w:rPr>
            <w:rStyle w:val="Hyperlink"/>
            <w:noProof/>
          </w:rPr>
          <w:t>3.1</w:t>
        </w:r>
        <w:r>
          <w:rPr>
            <w:noProof/>
          </w:rPr>
          <w:tab/>
        </w:r>
        <w:r w:rsidRPr="00625B89">
          <w:rPr>
            <w:rStyle w:val="Hyperlink"/>
            <w:noProof/>
          </w:rPr>
          <w:t>Aktivity riadiaceho orgánu</w:t>
        </w:r>
        <w:r>
          <w:rPr>
            <w:noProof/>
            <w:webHidden/>
          </w:rPr>
          <w:tab/>
        </w:r>
        <w:r>
          <w:rPr>
            <w:noProof/>
            <w:webHidden/>
          </w:rPr>
          <w:fldChar w:fldCharType="begin"/>
        </w:r>
        <w:r>
          <w:rPr>
            <w:noProof/>
            <w:webHidden/>
          </w:rPr>
          <w:instrText xml:space="preserve"> PAGEREF _Toc272762869 \h </w:instrText>
        </w:r>
        <w:r>
          <w:rPr>
            <w:noProof/>
          </w:rPr>
        </w:r>
        <w:r>
          <w:rPr>
            <w:noProof/>
            <w:webHidden/>
          </w:rPr>
          <w:fldChar w:fldCharType="separate"/>
        </w:r>
        <w:r>
          <w:rPr>
            <w:noProof/>
            <w:webHidden/>
          </w:rPr>
          <w:t>4</w:t>
        </w:r>
        <w:r>
          <w:rPr>
            <w:noProof/>
            <w:webHidden/>
          </w:rPr>
          <w:fldChar w:fldCharType="end"/>
        </w:r>
      </w:hyperlink>
    </w:p>
    <w:p w:rsidR="00D95ABE" w:rsidRDefault="00D95ABE">
      <w:pPr>
        <w:pStyle w:val="TOC2"/>
        <w:tabs>
          <w:tab w:val="left" w:pos="960"/>
          <w:tab w:val="right" w:leader="dot" w:pos="9062"/>
        </w:tabs>
        <w:rPr>
          <w:noProof/>
        </w:rPr>
      </w:pPr>
      <w:hyperlink w:anchor="_Toc272762870" w:history="1">
        <w:r w:rsidRPr="00625B89">
          <w:rPr>
            <w:rStyle w:val="Hyperlink"/>
            <w:noProof/>
          </w:rPr>
          <w:t>3.2</w:t>
        </w:r>
        <w:r>
          <w:rPr>
            <w:noProof/>
          </w:rPr>
          <w:tab/>
        </w:r>
        <w:r w:rsidRPr="00625B89">
          <w:rPr>
            <w:rStyle w:val="Hyperlink"/>
            <w:noProof/>
          </w:rPr>
          <w:t>Aktivity INTERACT Sekretariátu</w:t>
        </w:r>
        <w:r>
          <w:rPr>
            <w:noProof/>
            <w:webHidden/>
          </w:rPr>
          <w:tab/>
        </w:r>
        <w:r>
          <w:rPr>
            <w:noProof/>
            <w:webHidden/>
          </w:rPr>
          <w:fldChar w:fldCharType="begin"/>
        </w:r>
        <w:r>
          <w:rPr>
            <w:noProof/>
            <w:webHidden/>
          </w:rPr>
          <w:instrText xml:space="preserve"> PAGEREF _Toc272762870 \h </w:instrText>
        </w:r>
        <w:r>
          <w:rPr>
            <w:noProof/>
          </w:rPr>
        </w:r>
        <w:r>
          <w:rPr>
            <w:noProof/>
            <w:webHidden/>
          </w:rPr>
          <w:fldChar w:fldCharType="separate"/>
        </w:r>
        <w:r>
          <w:rPr>
            <w:noProof/>
            <w:webHidden/>
          </w:rPr>
          <w:t>5</w:t>
        </w:r>
        <w:r>
          <w:rPr>
            <w:noProof/>
            <w:webHidden/>
          </w:rPr>
          <w:fldChar w:fldCharType="end"/>
        </w:r>
      </w:hyperlink>
    </w:p>
    <w:p w:rsidR="00D95ABE" w:rsidRDefault="00D95ABE">
      <w:pPr>
        <w:pStyle w:val="TOC2"/>
        <w:tabs>
          <w:tab w:val="left" w:pos="960"/>
          <w:tab w:val="right" w:leader="dot" w:pos="9062"/>
        </w:tabs>
        <w:rPr>
          <w:noProof/>
        </w:rPr>
      </w:pPr>
      <w:hyperlink w:anchor="_Toc272762871" w:history="1">
        <w:r w:rsidRPr="00625B89">
          <w:rPr>
            <w:rStyle w:val="Hyperlink"/>
            <w:noProof/>
          </w:rPr>
          <w:t>3.3</w:t>
        </w:r>
        <w:r>
          <w:rPr>
            <w:noProof/>
          </w:rPr>
          <w:tab/>
        </w:r>
        <w:r w:rsidRPr="00625B89">
          <w:rPr>
            <w:rStyle w:val="Hyperlink"/>
            <w:noProof/>
          </w:rPr>
          <w:t>Aktivity INTERACT kontaktných bodov</w:t>
        </w:r>
        <w:r>
          <w:rPr>
            <w:noProof/>
            <w:webHidden/>
          </w:rPr>
          <w:tab/>
        </w:r>
        <w:r>
          <w:rPr>
            <w:noProof/>
            <w:webHidden/>
          </w:rPr>
          <w:fldChar w:fldCharType="begin"/>
        </w:r>
        <w:r>
          <w:rPr>
            <w:noProof/>
            <w:webHidden/>
          </w:rPr>
          <w:instrText xml:space="preserve"> PAGEREF _Toc272762871 \h </w:instrText>
        </w:r>
        <w:r>
          <w:rPr>
            <w:noProof/>
          </w:rPr>
        </w:r>
        <w:r>
          <w:rPr>
            <w:noProof/>
            <w:webHidden/>
          </w:rPr>
          <w:fldChar w:fldCharType="separate"/>
        </w:r>
        <w:r>
          <w:rPr>
            <w:noProof/>
            <w:webHidden/>
          </w:rPr>
          <w:t>5</w:t>
        </w:r>
        <w:r>
          <w:rPr>
            <w:noProof/>
            <w:webHidden/>
          </w:rPr>
          <w:fldChar w:fldCharType="end"/>
        </w:r>
      </w:hyperlink>
    </w:p>
    <w:p w:rsidR="00D95ABE" w:rsidRDefault="00D95ABE">
      <w:pPr>
        <w:pStyle w:val="TOC2"/>
        <w:tabs>
          <w:tab w:val="left" w:pos="960"/>
          <w:tab w:val="right" w:leader="dot" w:pos="9062"/>
        </w:tabs>
        <w:rPr>
          <w:noProof/>
        </w:rPr>
      </w:pPr>
      <w:hyperlink w:anchor="_Toc272762872" w:history="1">
        <w:r w:rsidRPr="00625B89">
          <w:rPr>
            <w:rStyle w:val="Hyperlink"/>
            <w:noProof/>
          </w:rPr>
          <w:t>3.4</w:t>
        </w:r>
        <w:r>
          <w:rPr>
            <w:noProof/>
          </w:rPr>
          <w:tab/>
        </w:r>
        <w:r w:rsidRPr="00625B89">
          <w:rPr>
            <w:rStyle w:val="Hyperlink"/>
            <w:noProof/>
          </w:rPr>
          <w:t>Základné problémy v obsahovej implementácii a ich riešenie</w:t>
        </w:r>
        <w:r>
          <w:rPr>
            <w:noProof/>
            <w:webHidden/>
          </w:rPr>
          <w:tab/>
        </w:r>
        <w:r>
          <w:rPr>
            <w:noProof/>
            <w:webHidden/>
          </w:rPr>
          <w:fldChar w:fldCharType="begin"/>
        </w:r>
        <w:r>
          <w:rPr>
            <w:noProof/>
            <w:webHidden/>
          </w:rPr>
          <w:instrText xml:space="preserve"> PAGEREF _Toc272762872 \h </w:instrText>
        </w:r>
        <w:r>
          <w:rPr>
            <w:noProof/>
          </w:rPr>
        </w:r>
        <w:r>
          <w:rPr>
            <w:noProof/>
            <w:webHidden/>
          </w:rPr>
          <w:fldChar w:fldCharType="separate"/>
        </w:r>
        <w:r>
          <w:rPr>
            <w:noProof/>
            <w:webHidden/>
          </w:rPr>
          <w:t>8</w:t>
        </w:r>
        <w:r>
          <w:rPr>
            <w:noProof/>
            <w:webHidden/>
          </w:rPr>
          <w:fldChar w:fldCharType="end"/>
        </w:r>
      </w:hyperlink>
    </w:p>
    <w:p w:rsidR="00D95ABE" w:rsidRDefault="00D95ABE">
      <w:pPr>
        <w:pStyle w:val="TOC1"/>
        <w:tabs>
          <w:tab w:val="left" w:pos="480"/>
          <w:tab w:val="right" w:leader="dot" w:pos="9062"/>
        </w:tabs>
        <w:rPr>
          <w:noProof/>
        </w:rPr>
      </w:pPr>
      <w:hyperlink w:anchor="_Toc272762873" w:history="1">
        <w:r w:rsidRPr="00625B89">
          <w:rPr>
            <w:rStyle w:val="Hyperlink"/>
            <w:noProof/>
          </w:rPr>
          <w:t>4</w:t>
        </w:r>
        <w:r>
          <w:rPr>
            <w:noProof/>
          </w:rPr>
          <w:tab/>
        </w:r>
        <w:r w:rsidRPr="00625B89">
          <w:rPr>
            <w:rStyle w:val="Hyperlink"/>
            <w:noProof/>
          </w:rPr>
          <w:t>Finančná implementácia OP INTERACT II</w:t>
        </w:r>
        <w:r>
          <w:rPr>
            <w:noProof/>
            <w:webHidden/>
          </w:rPr>
          <w:tab/>
          <w:t>8</w:t>
        </w:r>
      </w:hyperlink>
    </w:p>
    <w:p w:rsidR="00D95ABE" w:rsidRDefault="00D95ABE">
      <w:pPr>
        <w:pStyle w:val="TOC2"/>
        <w:tabs>
          <w:tab w:val="left" w:pos="960"/>
          <w:tab w:val="right" w:leader="dot" w:pos="9062"/>
        </w:tabs>
        <w:rPr>
          <w:noProof/>
        </w:rPr>
      </w:pPr>
      <w:hyperlink w:anchor="_Toc272762874" w:history="1">
        <w:r w:rsidRPr="00625B89">
          <w:rPr>
            <w:rStyle w:val="Hyperlink"/>
            <w:noProof/>
          </w:rPr>
          <w:t>4.1</w:t>
        </w:r>
        <w:r>
          <w:rPr>
            <w:noProof/>
          </w:rPr>
          <w:tab/>
        </w:r>
        <w:r w:rsidRPr="00625B89">
          <w:rPr>
            <w:rStyle w:val="Hyperlink"/>
            <w:noProof/>
          </w:rPr>
          <w:t>Prijaté platby na účet CO k 30.06.2010</w:t>
        </w:r>
        <w:r>
          <w:rPr>
            <w:noProof/>
            <w:webHidden/>
          </w:rPr>
          <w:tab/>
          <w:t>8</w:t>
        </w:r>
      </w:hyperlink>
    </w:p>
    <w:p w:rsidR="00D95ABE" w:rsidRDefault="00D95ABE">
      <w:pPr>
        <w:pStyle w:val="TOC2"/>
        <w:tabs>
          <w:tab w:val="left" w:pos="960"/>
          <w:tab w:val="right" w:leader="dot" w:pos="9062"/>
        </w:tabs>
        <w:rPr>
          <w:noProof/>
        </w:rPr>
      </w:pPr>
      <w:hyperlink w:anchor="_Toc272762875" w:history="1">
        <w:r w:rsidRPr="00625B89">
          <w:rPr>
            <w:rStyle w:val="Hyperlink"/>
            <w:noProof/>
          </w:rPr>
          <w:t>4.2</w:t>
        </w:r>
        <w:r>
          <w:rPr>
            <w:noProof/>
          </w:rPr>
          <w:tab/>
        </w:r>
        <w:r w:rsidRPr="00625B89">
          <w:rPr>
            <w:rStyle w:val="Hyperlink"/>
            <w:noProof/>
          </w:rPr>
          <w:t>Platby poskytnuté z účtu CO k 30.06.2010</w:t>
        </w:r>
        <w:r>
          <w:rPr>
            <w:noProof/>
            <w:webHidden/>
          </w:rPr>
          <w:tab/>
        </w:r>
        <w:r>
          <w:rPr>
            <w:noProof/>
            <w:webHidden/>
          </w:rPr>
          <w:fldChar w:fldCharType="begin"/>
        </w:r>
        <w:r>
          <w:rPr>
            <w:noProof/>
            <w:webHidden/>
          </w:rPr>
          <w:instrText xml:space="preserve"> PAGEREF _Toc272762875 \h </w:instrText>
        </w:r>
        <w:r>
          <w:rPr>
            <w:noProof/>
          </w:rPr>
        </w:r>
        <w:r>
          <w:rPr>
            <w:noProof/>
            <w:webHidden/>
          </w:rPr>
          <w:fldChar w:fldCharType="separate"/>
        </w:r>
        <w:r>
          <w:rPr>
            <w:noProof/>
            <w:webHidden/>
          </w:rPr>
          <w:t>9</w:t>
        </w:r>
        <w:r>
          <w:rPr>
            <w:noProof/>
            <w:webHidden/>
          </w:rPr>
          <w:fldChar w:fldCharType="end"/>
        </w:r>
      </w:hyperlink>
    </w:p>
    <w:p w:rsidR="00D95ABE" w:rsidRDefault="00D95ABE">
      <w:pPr>
        <w:pStyle w:val="TOC2"/>
        <w:tabs>
          <w:tab w:val="left" w:pos="960"/>
          <w:tab w:val="right" w:leader="dot" w:pos="9062"/>
        </w:tabs>
        <w:rPr>
          <w:noProof/>
        </w:rPr>
      </w:pPr>
      <w:hyperlink w:anchor="_Toc272762876" w:history="1">
        <w:r w:rsidRPr="00625B89">
          <w:rPr>
            <w:rStyle w:val="Hyperlink"/>
            <w:noProof/>
          </w:rPr>
          <w:t>4.3</w:t>
        </w:r>
        <w:r>
          <w:rPr>
            <w:noProof/>
          </w:rPr>
          <w:tab/>
        </w:r>
        <w:r w:rsidRPr="00625B89">
          <w:rPr>
            <w:rStyle w:val="Hyperlink"/>
            <w:noProof/>
          </w:rPr>
          <w:t>Stav čerpania k 30. 06 2010</w:t>
        </w:r>
        <w:r>
          <w:rPr>
            <w:noProof/>
            <w:webHidden/>
          </w:rPr>
          <w:tab/>
          <w:t>10</w:t>
        </w:r>
      </w:hyperlink>
    </w:p>
    <w:p w:rsidR="00D95ABE" w:rsidRDefault="00D95ABE">
      <w:pPr>
        <w:pStyle w:val="TOC2"/>
        <w:tabs>
          <w:tab w:val="left" w:pos="960"/>
          <w:tab w:val="right" w:leader="dot" w:pos="9062"/>
        </w:tabs>
        <w:rPr>
          <w:noProof/>
        </w:rPr>
      </w:pPr>
      <w:hyperlink w:anchor="_Toc272762877" w:history="1">
        <w:r w:rsidRPr="00625B89">
          <w:rPr>
            <w:rStyle w:val="Hyperlink"/>
            <w:noProof/>
          </w:rPr>
          <w:t>4.4</w:t>
        </w:r>
        <w:r>
          <w:rPr>
            <w:noProof/>
          </w:rPr>
          <w:tab/>
        </w:r>
        <w:r w:rsidRPr="00625B89">
          <w:rPr>
            <w:rStyle w:val="Hyperlink"/>
            <w:noProof/>
          </w:rPr>
          <w:t>Certifikácia výdavkov a systémov riadenia a kontroly</w:t>
        </w:r>
        <w:r>
          <w:rPr>
            <w:noProof/>
            <w:webHidden/>
          </w:rPr>
          <w:tab/>
        </w:r>
        <w:r>
          <w:rPr>
            <w:noProof/>
            <w:webHidden/>
          </w:rPr>
          <w:fldChar w:fldCharType="begin"/>
        </w:r>
        <w:r>
          <w:rPr>
            <w:noProof/>
            <w:webHidden/>
          </w:rPr>
          <w:instrText xml:space="preserve"> PAGEREF _Toc272762877 \h </w:instrText>
        </w:r>
        <w:r>
          <w:rPr>
            <w:noProof/>
          </w:rPr>
        </w:r>
        <w:r>
          <w:rPr>
            <w:noProof/>
            <w:webHidden/>
          </w:rPr>
          <w:fldChar w:fldCharType="separate"/>
        </w:r>
        <w:r>
          <w:rPr>
            <w:noProof/>
            <w:webHidden/>
          </w:rPr>
          <w:t>11</w:t>
        </w:r>
        <w:r>
          <w:rPr>
            <w:noProof/>
            <w:webHidden/>
          </w:rPr>
          <w:fldChar w:fldCharType="end"/>
        </w:r>
      </w:hyperlink>
    </w:p>
    <w:p w:rsidR="00D95ABE" w:rsidRDefault="00D95ABE">
      <w:pPr>
        <w:pStyle w:val="TOC2"/>
        <w:tabs>
          <w:tab w:val="left" w:pos="960"/>
          <w:tab w:val="right" w:leader="dot" w:pos="9062"/>
        </w:tabs>
        <w:rPr>
          <w:noProof/>
        </w:rPr>
      </w:pPr>
      <w:hyperlink w:anchor="_Toc272762878" w:history="1">
        <w:r w:rsidRPr="00625B89">
          <w:rPr>
            <w:rStyle w:val="Hyperlink"/>
            <w:noProof/>
          </w:rPr>
          <w:t>4.5</w:t>
        </w:r>
        <w:r>
          <w:rPr>
            <w:noProof/>
          </w:rPr>
          <w:tab/>
        </w:r>
        <w:r w:rsidRPr="00625B89">
          <w:rPr>
            <w:rStyle w:val="Hyperlink"/>
            <w:noProof/>
          </w:rPr>
          <w:t>Nezrovnalosti a finančné opravy</w:t>
        </w:r>
        <w:r>
          <w:rPr>
            <w:noProof/>
            <w:webHidden/>
          </w:rPr>
          <w:tab/>
        </w:r>
        <w:r>
          <w:rPr>
            <w:noProof/>
            <w:webHidden/>
          </w:rPr>
          <w:fldChar w:fldCharType="begin"/>
        </w:r>
        <w:r>
          <w:rPr>
            <w:noProof/>
            <w:webHidden/>
          </w:rPr>
          <w:instrText xml:space="preserve"> PAGEREF _Toc272762878 \h </w:instrText>
        </w:r>
        <w:r>
          <w:rPr>
            <w:noProof/>
          </w:rPr>
        </w:r>
        <w:r>
          <w:rPr>
            <w:noProof/>
            <w:webHidden/>
          </w:rPr>
          <w:fldChar w:fldCharType="separate"/>
        </w:r>
        <w:r>
          <w:rPr>
            <w:noProof/>
            <w:webHidden/>
          </w:rPr>
          <w:t>11</w:t>
        </w:r>
        <w:r>
          <w:rPr>
            <w:noProof/>
            <w:webHidden/>
          </w:rPr>
          <w:fldChar w:fldCharType="end"/>
        </w:r>
      </w:hyperlink>
    </w:p>
    <w:p w:rsidR="00D95ABE" w:rsidRDefault="00D95ABE">
      <w:pPr>
        <w:pStyle w:val="TOC2"/>
        <w:tabs>
          <w:tab w:val="left" w:pos="960"/>
          <w:tab w:val="right" w:leader="dot" w:pos="9062"/>
        </w:tabs>
        <w:rPr>
          <w:noProof/>
        </w:rPr>
      </w:pPr>
      <w:hyperlink w:anchor="_Toc272762879" w:history="1">
        <w:r w:rsidRPr="00625B89">
          <w:rPr>
            <w:rStyle w:val="Hyperlink"/>
            <w:noProof/>
          </w:rPr>
          <w:t>4.6</w:t>
        </w:r>
        <w:r>
          <w:rPr>
            <w:noProof/>
          </w:rPr>
          <w:tab/>
        </w:r>
        <w:r w:rsidRPr="00625B89">
          <w:rPr>
            <w:rStyle w:val="Hyperlink"/>
            <w:noProof/>
          </w:rPr>
          <w:t>Základné problémy vo finančnej implementácii a ich riešenie</w:t>
        </w:r>
        <w:r>
          <w:rPr>
            <w:noProof/>
            <w:webHidden/>
          </w:rPr>
          <w:tab/>
          <w:t>11</w:t>
        </w:r>
      </w:hyperlink>
    </w:p>
    <w:p w:rsidR="00D95ABE" w:rsidRDefault="00D95ABE">
      <w:pPr>
        <w:pStyle w:val="TOC1"/>
        <w:tabs>
          <w:tab w:val="left" w:pos="480"/>
          <w:tab w:val="right" w:leader="dot" w:pos="9062"/>
        </w:tabs>
        <w:rPr>
          <w:noProof/>
        </w:rPr>
      </w:pPr>
      <w:hyperlink w:anchor="_Toc272762880" w:history="1">
        <w:r w:rsidRPr="00625B89">
          <w:rPr>
            <w:rStyle w:val="Hyperlink"/>
            <w:noProof/>
          </w:rPr>
          <w:t>5</w:t>
        </w:r>
        <w:r>
          <w:rPr>
            <w:noProof/>
          </w:rPr>
          <w:tab/>
        </w:r>
        <w:r w:rsidRPr="00625B89">
          <w:rPr>
            <w:rStyle w:val="Hyperlink"/>
            <w:noProof/>
          </w:rPr>
          <w:t>Aktivity orgánu auditu</w:t>
        </w:r>
        <w:r>
          <w:rPr>
            <w:noProof/>
            <w:webHidden/>
          </w:rPr>
          <w:tab/>
          <w:t>12</w:t>
        </w:r>
      </w:hyperlink>
    </w:p>
    <w:p w:rsidR="00D95ABE" w:rsidRDefault="00D95ABE">
      <w:pPr>
        <w:pStyle w:val="TOC1"/>
        <w:tabs>
          <w:tab w:val="left" w:pos="480"/>
          <w:tab w:val="right" w:leader="dot" w:pos="9062"/>
        </w:tabs>
        <w:rPr>
          <w:noProof/>
        </w:rPr>
      </w:pPr>
      <w:hyperlink w:anchor="_Toc272762881" w:history="1">
        <w:r w:rsidRPr="00625B89">
          <w:rPr>
            <w:rStyle w:val="Hyperlink"/>
            <w:noProof/>
          </w:rPr>
          <w:t>6</w:t>
        </w:r>
        <w:r>
          <w:rPr>
            <w:noProof/>
          </w:rPr>
          <w:tab/>
        </w:r>
        <w:r w:rsidRPr="00625B89">
          <w:rPr>
            <w:rStyle w:val="Hyperlink"/>
            <w:noProof/>
          </w:rPr>
          <w:t>Využívanie informačných systémov OP INTERACT II</w:t>
        </w:r>
        <w:r>
          <w:rPr>
            <w:noProof/>
            <w:webHidden/>
          </w:rPr>
          <w:tab/>
          <w:t>14</w:t>
        </w:r>
      </w:hyperlink>
    </w:p>
    <w:p w:rsidR="00D95ABE" w:rsidRDefault="00D95ABE">
      <w:pPr>
        <w:pStyle w:val="TOC1"/>
        <w:tabs>
          <w:tab w:val="left" w:pos="480"/>
          <w:tab w:val="right" w:leader="dot" w:pos="9062"/>
        </w:tabs>
        <w:rPr>
          <w:noProof/>
        </w:rPr>
      </w:pPr>
      <w:hyperlink w:anchor="_Toc272762882" w:history="1">
        <w:r w:rsidRPr="00625B89">
          <w:rPr>
            <w:rStyle w:val="Hyperlink"/>
            <w:noProof/>
          </w:rPr>
          <w:t>7</w:t>
        </w:r>
        <w:r>
          <w:rPr>
            <w:noProof/>
          </w:rPr>
          <w:tab/>
        </w:r>
        <w:r w:rsidRPr="00625B89">
          <w:rPr>
            <w:rStyle w:val="Hyperlink"/>
            <w:noProof/>
          </w:rPr>
          <w:t>Informovanie a publicita OP INTERACT II</w:t>
        </w:r>
        <w:r>
          <w:rPr>
            <w:noProof/>
            <w:webHidden/>
          </w:rPr>
          <w:tab/>
        </w:r>
        <w:r>
          <w:rPr>
            <w:noProof/>
            <w:webHidden/>
          </w:rPr>
          <w:fldChar w:fldCharType="begin"/>
        </w:r>
        <w:r>
          <w:rPr>
            <w:noProof/>
            <w:webHidden/>
          </w:rPr>
          <w:instrText xml:space="preserve"> PAGEREF _Toc272762882 \h </w:instrText>
        </w:r>
        <w:r>
          <w:rPr>
            <w:noProof/>
          </w:rPr>
        </w:r>
        <w:r>
          <w:rPr>
            <w:noProof/>
            <w:webHidden/>
          </w:rPr>
          <w:fldChar w:fldCharType="separate"/>
        </w:r>
        <w:r>
          <w:rPr>
            <w:noProof/>
            <w:webHidden/>
          </w:rPr>
          <w:t>15</w:t>
        </w:r>
        <w:r>
          <w:rPr>
            <w:noProof/>
            <w:webHidden/>
          </w:rPr>
          <w:fldChar w:fldCharType="end"/>
        </w:r>
      </w:hyperlink>
    </w:p>
    <w:p w:rsidR="00D95ABE" w:rsidRDefault="00D95ABE">
      <w:pPr>
        <w:pStyle w:val="TOC1"/>
        <w:tabs>
          <w:tab w:val="left" w:pos="480"/>
          <w:tab w:val="right" w:leader="dot" w:pos="9062"/>
        </w:tabs>
        <w:rPr>
          <w:noProof/>
        </w:rPr>
      </w:pPr>
      <w:hyperlink w:anchor="_Toc272762883" w:history="1">
        <w:r w:rsidRPr="00625B89">
          <w:rPr>
            <w:rStyle w:val="Hyperlink"/>
            <w:noProof/>
          </w:rPr>
          <w:t>8</w:t>
        </w:r>
        <w:r>
          <w:rPr>
            <w:noProof/>
          </w:rPr>
          <w:tab/>
        </w:r>
        <w:r w:rsidRPr="00625B89">
          <w:rPr>
            <w:rStyle w:val="Hyperlink"/>
            <w:noProof/>
          </w:rPr>
          <w:t>Monitorovanie a hodnotenie OP INTERACT II</w:t>
        </w:r>
        <w:r>
          <w:rPr>
            <w:noProof/>
            <w:webHidden/>
          </w:rPr>
          <w:tab/>
        </w:r>
        <w:r>
          <w:rPr>
            <w:noProof/>
            <w:webHidden/>
          </w:rPr>
          <w:fldChar w:fldCharType="begin"/>
        </w:r>
        <w:r>
          <w:rPr>
            <w:noProof/>
            <w:webHidden/>
          </w:rPr>
          <w:instrText xml:space="preserve"> PAGEREF _Toc272762883 \h </w:instrText>
        </w:r>
        <w:r>
          <w:rPr>
            <w:noProof/>
          </w:rPr>
        </w:r>
        <w:r>
          <w:rPr>
            <w:noProof/>
            <w:webHidden/>
          </w:rPr>
          <w:fldChar w:fldCharType="separate"/>
        </w:r>
        <w:r>
          <w:rPr>
            <w:noProof/>
            <w:webHidden/>
          </w:rPr>
          <w:t>15</w:t>
        </w:r>
        <w:r>
          <w:rPr>
            <w:noProof/>
            <w:webHidden/>
          </w:rPr>
          <w:fldChar w:fldCharType="end"/>
        </w:r>
      </w:hyperlink>
    </w:p>
    <w:p w:rsidR="00D95ABE" w:rsidRDefault="00D95ABE">
      <w:pPr>
        <w:pStyle w:val="TOC1"/>
        <w:tabs>
          <w:tab w:val="right" w:leader="dot" w:pos="9062"/>
        </w:tabs>
        <w:rPr>
          <w:noProof/>
        </w:rPr>
      </w:pPr>
      <w:hyperlink w:anchor="_Toc272762884" w:history="1">
        <w:r w:rsidRPr="00625B89">
          <w:rPr>
            <w:rStyle w:val="Hyperlink"/>
            <w:noProof/>
          </w:rPr>
          <w:t>Zoznam skratiek</w:t>
        </w:r>
        <w:r>
          <w:rPr>
            <w:noProof/>
            <w:webHidden/>
          </w:rPr>
          <w:tab/>
          <w:t>17</w:t>
        </w:r>
      </w:hyperlink>
    </w:p>
    <w:p w:rsidR="00D95ABE" w:rsidRDefault="00D95ABE">
      <w:pPr>
        <w:pStyle w:val="TOC1"/>
        <w:tabs>
          <w:tab w:val="right" w:leader="dot" w:pos="9062"/>
        </w:tabs>
        <w:rPr>
          <w:noProof/>
        </w:rPr>
      </w:pPr>
      <w:hyperlink w:anchor="_Toc272762885" w:history="1">
        <w:r w:rsidRPr="00625B89">
          <w:rPr>
            <w:rStyle w:val="Hyperlink"/>
            <w:noProof/>
          </w:rPr>
          <w:t>Zoznam príloh</w:t>
        </w:r>
        <w:r>
          <w:rPr>
            <w:noProof/>
            <w:webHidden/>
          </w:rPr>
          <w:tab/>
        </w:r>
        <w:r>
          <w:rPr>
            <w:noProof/>
            <w:webHidden/>
          </w:rPr>
          <w:fldChar w:fldCharType="begin"/>
        </w:r>
        <w:r>
          <w:rPr>
            <w:noProof/>
            <w:webHidden/>
          </w:rPr>
          <w:instrText xml:space="preserve"> PAGEREF _Toc272762885 \h </w:instrText>
        </w:r>
        <w:r>
          <w:rPr>
            <w:noProof/>
          </w:rPr>
        </w:r>
        <w:r>
          <w:rPr>
            <w:noProof/>
            <w:webHidden/>
          </w:rPr>
          <w:fldChar w:fldCharType="separate"/>
        </w:r>
        <w:r>
          <w:rPr>
            <w:noProof/>
            <w:webHidden/>
          </w:rPr>
          <w:t>17</w:t>
        </w:r>
        <w:r>
          <w:rPr>
            <w:noProof/>
            <w:webHidden/>
          </w:rPr>
          <w:fldChar w:fldCharType="end"/>
        </w:r>
      </w:hyperlink>
    </w:p>
    <w:p w:rsidR="00D95ABE" w:rsidRPr="0003349E" w:rsidRDefault="00D95ABE">
      <w:pPr>
        <w:rPr>
          <w:rFonts w:ascii="Arial Narrow" w:hAnsi="Arial Narrow"/>
        </w:rPr>
      </w:pPr>
      <w:r>
        <w:rPr>
          <w:rFonts w:ascii="Arial Narrow" w:hAnsi="Arial Narrow"/>
        </w:rPr>
        <w:fldChar w:fldCharType="end"/>
      </w:r>
    </w:p>
    <w:p w:rsidR="00D95ABE" w:rsidRPr="0003349E" w:rsidRDefault="00D95ABE" w:rsidP="002B0654">
      <w:pPr>
        <w:spacing w:after="120"/>
        <w:jc w:val="both"/>
        <w:rPr>
          <w:rFonts w:ascii="Arial Narrow" w:hAnsi="Arial Narrow"/>
          <w:b/>
          <w:bCs/>
        </w:rPr>
      </w:pPr>
    </w:p>
    <w:p w:rsidR="00D95ABE" w:rsidRPr="0003349E" w:rsidRDefault="00D95ABE" w:rsidP="002B0654">
      <w:pPr>
        <w:spacing w:after="120"/>
        <w:jc w:val="both"/>
        <w:rPr>
          <w:rFonts w:ascii="Arial Narrow" w:hAnsi="Arial Narrow"/>
          <w:b/>
          <w:bCs/>
        </w:rPr>
      </w:pPr>
    </w:p>
    <w:p w:rsidR="00D95ABE" w:rsidRPr="0003349E" w:rsidRDefault="00D95ABE" w:rsidP="002B0654">
      <w:pPr>
        <w:spacing w:after="120"/>
        <w:jc w:val="both"/>
        <w:rPr>
          <w:rFonts w:ascii="Arial Narrow" w:hAnsi="Arial Narrow"/>
          <w:b/>
          <w:bCs/>
        </w:rPr>
      </w:pPr>
    </w:p>
    <w:p w:rsidR="00D95ABE" w:rsidRPr="0003349E" w:rsidRDefault="00D95ABE" w:rsidP="002B0654">
      <w:pPr>
        <w:spacing w:after="120"/>
        <w:jc w:val="both"/>
        <w:rPr>
          <w:rFonts w:ascii="Arial Narrow" w:hAnsi="Arial Narrow"/>
          <w:b/>
          <w:bCs/>
        </w:rPr>
      </w:pPr>
    </w:p>
    <w:p w:rsidR="00D95ABE" w:rsidRPr="0003349E" w:rsidRDefault="00D95ABE" w:rsidP="002B0654">
      <w:pPr>
        <w:spacing w:after="120"/>
        <w:jc w:val="both"/>
        <w:rPr>
          <w:rFonts w:ascii="Arial Narrow" w:hAnsi="Arial Narrow"/>
          <w:b/>
          <w:bCs/>
        </w:rPr>
      </w:pPr>
    </w:p>
    <w:p w:rsidR="00D95ABE" w:rsidRPr="0003349E" w:rsidRDefault="00D95ABE" w:rsidP="002B0654">
      <w:pPr>
        <w:spacing w:after="120"/>
        <w:jc w:val="both"/>
        <w:rPr>
          <w:rFonts w:ascii="Arial Narrow" w:hAnsi="Arial Narrow"/>
          <w:b/>
          <w:bCs/>
        </w:rPr>
      </w:pPr>
    </w:p>
    <w:p w:rsidR="00D95ABE" w:rsidRPr="0003349E" w:rsidRDefault="00D95ABE" w:rsidP="002B0654">
      <w:pPr>
        <w:spacing w:after="120"/>
        <w:jc w:val="both"/>
        <w:rPr>
          <w:rFonts w:ascii="Arial Narrow" w:hAnsi="Arial Narrow"/>
          <w:b/>
          <w:bCs/>
        </w:rPr>
      </w:pPr>
    </w:p>
    <w:p w:rsidR="00D95ABE" w:rsidRPr="0003349E" w:rsidRDefault="00D95ABE" w:rsidP="002B0654">
      <w:pPr>
        <w:spacing w:after="120"/>
        <w:jc w:val="both"/>
        <w:rPr>
          <w:rFonts w:ascii="Arial Narrow" w:hAnsi="Arial Narrow"/>
          <w:b/>
          <w:bCs/>
        </w:rPr>
      </w:pPr>
    </w:p>
    <w:p w:rsidR="00D95ABE" w:rsidRPr="0003349E" w:rsidRDefault="00D95ABE" w:rsidP="002B0654">
      <w:pPr>
        <w:spacing w:after="120"/>
        <w:jc w:val="both"/>
        <w:rPr>
          <w:rFonts w:ascii="Arial Narrow" w:hAnsi="Arial Narrow"/>
          <w:b/>
          <w:bCs/>
        </w:rPr>
      </w:pPr>
    </w:p>
    <w:p w:rsidR="00D95ABE" w:rsidRPr="0003349E" w:rsidRDefault="00D95ABE" w:rsidP="002B0654">
      <w:pPr>
        <w:spacing w:after="120"/>
        <w:jc w:val="both"/>
        <w:rPr>
          <w:rFonts w:ascii="Arial Narrow" w:hAnsi="Arial Narrow"/>
          <w:b/>
          <w:bCs/>
        </w:rPr>
      </w:pPr>
    </w:p>
    <w:p w:rsidR="00D95ABE" w:rsidRPr="00C052D4" w:rsidRDefault="00D95ABE" w:rsidP="00575C13">
      <w:pPr>
        <w:pStyle w:val="Heading1"/>
        <w:numPr>
          <w:ilvl w:val="0"/>
          <w:numId w:val="1"/>
        </w:numPr>
        <w:spacing w:before="240" w:after="240"/>
        <w:rPr>
          <w:rFonts w:ascii="Times New Roman" w:hAnsi="Times New Roman"/>
          <w:color w:val="auto"/>
          <w:sz w:val="24"/>
          <w:szCs w:val="24"/>
        </w:rPr>
      </w:pPr>
      <w:bookmarkStart w:id="0" w:name="_Toc272762864"/>
      <w:r w:rsidRPr="00C052D4">
        <w:rPr>
          <w:rFonts w:ascii="Times New Roman" w:hAnsi="Times New Roman"/>
          <w:color w:val="auto"/>
          <w:sz w:val="24"/>
          <w:szCs w:val="24"/>
        </w:rPr>
        <w:t>Úvod</w:t>
      </w:r>
      <w:bookmarkEnd w:id="0"/>
    </w:p>
    <w:p w:rsidR="00D95ABE" w:rsidRDefault="00D95ABE" w:rsidP="00B87067">
      <w:pPr>
        <w:autoSpaceDE w:val="0"/>
        <w:autoSpaceDN w:val="0"/>
        <w:adjustRightInd w:val="0"/>
        <w:spacing w:after="120"/>
        <w:ind w:firstLine="720"/>
        <w:jc w:val="both"/>
      </w:pPr>
      <w:r>
        <w:t>Uznesenie vlády SR č. 283/2008 zo dňa 07.05.2008 k návrhu subjektov zapojených do riadenia a implementácie Operačného programu INTERACT II v rámci cieľa európska teritoriálna spolupráca pre programové obdobie 2007 – 2013 v podmienkach SR. stanovuje, že riadiacim orgánom (RO) OP INTERACT II je Bratislavský samosprávny kraj (BSK). Funkcie certifikačného orgánu (CO) a orgánu auditu (OA) vykonáva Ministerstvo financií SR (MF SR).</w:t>
      </w:r>
    </w:p>
    <w:p w:rsidR="00D95ABE" w:rsidRDefault="00D95ABE" w:rsidP="00CE6B11">
      <w:pPr>
        <w:autoSpaceDE w:val="0"/>
        <w:autoSpaceDN w:val="0"/>
        <w:adjustRightInd w:val="0"/>
        <w:spacing w:after="120"/>
        <w:ind w:firstLine="720"/>
        <w:jc w:val="both"/>
      </w:pPr>
      <w:r>
        <w:t xml:space="preserve">Podpísaním Memoranda k implementácii Operačného programu INTERACT II v programovom období 2007 – 2013 medzi BSK a vládou SR (09.06.2008) vyjadrila Slovenská republika podporu v riadení a implementácii OP počas celého programového obdobia 2007 – 2013. Memorandum stanovuje, že </w:t>
      </w:r>
      <w:r w:rsidRPr="00C052D4">
        <w:t>podpredseda vlády SR pre vedomostnú spoločnosť, európske záležitosti, ľudské práva a menšiny</w:t>
      </w:r>
      <w:r>
        <w:rPr>
          <w:rStyle w:val="FootnoteReference"/>
        </w:rPr>
        <w:footnoteReference w:id="2"/>
      </w:r>
      <w:r>
        <w:t xml:space="preserve"> v zastúpení vlády SR plní koordinačnú úlohu medzi vládou SR a BSK a dohliada na celkovú implementáciu OP.</w:t>
      </w:r>
    </w:p>
    <w:p w:rsidR="00D95ABE" w:rsidRDefault="00D95ABE" w:rsidP="00CE6B11">
      <w:pPr>
        <w:pStyle w:val="BodyTextIndent"/>
      </w:pPr>
      <w:r>
        <w:t>Uznesenie vlády SR č. 262/2009 zo dňa 01.04.2009 k správe o implementácii a čerpaní štrukturálnych fondov a Kohézneho fondu v rámci operačných programov Národného strategického referenčného rámca k 31.12.2008 ukladá v bode B.</w:t>
      </w:r>
      <w:r w:rsidRPr="00C052D4">
        <w:t>5 podpredsedovi vlády pre vedomostnú spoločnosť, európske záležitosti, ľudské práva a menšiny</w:t>
      </w:r>
      <w:r>
        <w:t xml:space="preserve"> v spolupráci s predsedom BSK predložiť na rokovanie vlády Správu o implementácii a čerpaní OP INTERACT II k 30.06.2009 a následne polročne. </w:t>
      </w:r>
    </w:p>
    <w:p w:rsidR="00D95ABE" w:rsidRDefault="00D95ABE" w:rsidP="00CE6B11">
      <w:pPr>
        <w:autoSpaceDE w:val="0"/>
        <w:autoSpaceDN w:val="0"/>
        <w:adjustRightInd w:val="0"/>
        <w:spacing w:after="120"/>
        <w:ind w:firstLine="720"/>
        <w:jc w:val="both"/>
      </w:pPr>
      <w:r>
        <w:t xml:space="preserve">V zmysle uznesenia vlády SR č. 262/2009 je na rokovanie vlády SR predkladaná táto Správa o implementácii a čerpaní OP INTERACT II, ktorá bola vypracovaná Úradom vlády SR v spolupráci s BSK a MF SR. </w:t>
      </w:r>
    </w:p>
    <w:p w:rsidR="00D95ABE" w:rsidRDefault="00D95ABE" w:rsidP="00CE6B11">
      <w:pPr>
        <w:autoSpaceDE w:val="0"/>
        <w:autoSpaceDN w:val="0"/>
        <w:adjustRightInd w:val="0"/>
        <w:spacing w:after="120"/>
        <w:ind w:firstLine="720"/>
        <w:jc w:val="both"/>
        <w:rPr>
          <w:b/>
        </w:rPr>
      </w:pPr>
      <w:r>
        <w:t xml:space="preserve">Správa </w:t>
      </w:r>
      <w:r w:rsidRPr="00B87067">
        <w:t xml:space="preserve">obsahovo pokrýva obdobie realizácie OP INTERACT II od </w:t>
      </w:r>
      <w:r w:rsidRPr="002326E0">
        <w:rPr>
          <w:b/>
        </w:rPr>
        <w:t>0</w:t>
      </w:r>
      <w:r w:rsidRPr="00B87067">
        <w:rPr>
          <w:b/>
        </w:rPr>
        <w:t xml:space="preserve">1.01.2010 do 30.06.2010. </w:t>
      </w:r>
      <w:r w:rsidRPr="00B87067">
        <w:t>Zároveň sú v predmetnej Správe uvedené aj kumulatívne informácie od začiatku implementácie OP INTERACT II.</w:t>
      </w:r>
    </w:p>
    <w:p w:rsidR="00D95ABE" w:rsidRPr="0003349E" w:rsidRDefault="00D95ABE" w:rsidP="00575C13">
      <w:pPr>
        <w:pStyle w:val="Heading1"/>
        <w:numPr>
          <w:ilvl w:val="0"/>
          <w:numId w:val="1"/>
        </w:numPr>
        <w:spacing w:before="240" w:after="240"/>
        <w:rPr>
          <w:rFonts w:ascii="Times New Roman" w:hAnsi="Times New Roman"/>
          <w:color w:val="auto"/>
          <w:sz w:val="24"/>
          <w:szCs w:val="24"/>
        </w:rPr>
      </w:pPr>
      <w:bookmarkStart w:id="1" w:name="_Toc272762865"/>
      <w:r w:rsidRPr="0003349E">
        <w:rPr>
          <w:rFonts w:ascii="Times New Roman" w:hAnsi="Times New Roman"/>
          <w:color w:val="auto"/>
          <w:sz w:val="24"/>
          <w:szCs w:val="24"/>
        </w:rPr>
        <w:t>Riadenie OP INTERACT II</w:t>
      </w:r>
      <w:bookmarkEnd w:id="1"/>
    </w:p>
    <w:p w:rsidR="00D95ABE" w:rsidRPr="0003349E" w:rsidRDefault="00D95ABE" w:rsidP="000B1884">
      <w:pPr>
        <w:pStyle w:val="Graphik"/>
        <w:keepNext w:val="0"/>
        <w:tabs>
          <w:tab w:val="clear" w:pos="1418"/>
          <w:tab w:val="left" w:pos="720"/>
        </w:tabs>
        <w:spacing w:before="0" w:after="120" w:line="240" w:lineRule="auto"/>
        <w:jc w:val="both"/>
        <w:rPr>
          <w:rFonts w:ascii="Times New Roman" w:hAnsi="Times New Roman"/>
          <w:szCs w:val="24"/>
          <w:lang w:val="sk-SK"/>
        </w:rPr>
      </w:pPr>
      <w:r w:rsidRPr="0003349E">
        <w:rPr>
          <w:rFonts w:ascii="Times New Roman" w:hAnsi="Times New Roman"/>
          <w:szCs w:val="24"/>
          <w:lang w:val="sk-SK"/>
        </w:rPr>
        <w:tab/>
        <w:t>V súlade so schválenými programovými dokumentmi sú hlavnými subjektmi a orgánmi zodpovednými za riadenie programu:</w:t>
      </w:r>
    </w:p>
    <w:p w:rsidR="00D95ABE" w:rsidRPr="0003349E" w:rsidRDefault="00D95ABE" w:rsidP="000B1884">
      <w:pPr>
        <w:pStyle w:val="NumPar1"/>
        <w:numPr>
          <w:ilvl w:val="0"/>
          <w:numId w:val="17"/>
        </w:numPr>
        <w:tabs>
          <w:tab w:val="clear" w:pos="360"/>
          <w:tab w:val="num" w:pos="709"/>
          <w:tab w:val="left" w:pos="1418"/>
          <w:tab w:val="left" w:pos="2835"/>
          <w:tab w:val="left" w:pos="4253"/>
          <w:tab w:val="left" w:pos="5670"/>
          <w:tab w:val="left" w:pos="7088"/>
          <w:tab w:val="right" w:pos="8505"/>
        </w:tabs>
        <w:spacing w:after="0"/>
        <w:ind w:left="709" w:right="6" w:hanging="357"/>
        <w:rPr>
          <w:b/>
          <w:szCs w:val="24"/>
          <w:lang w:val="sk-SK"/>
        </w:rPr>
      </w:pPr>
      <w:r w:rsidRPr="0003349E">
        <w:rPr>
          <w:b/>
          <w:szCs w:val="24"/>
          <w:lang w:val="sk-SK"/>
        </w:rPr>
        <w:t xml:space="preserve">monitorovací výbor (MV), </w:t>
      </w:r>
    </w:p>
    <w:p w:rsidR="00D95ABE" w:rsidRPr="0003349E" w:rsidRDefault="00D95ABE" w:rsidP="000B1884">
      <w:pPr>
        <w:pStyle w:val="NumPar1"/>
        <w:numPr>
          <w:ilvl w:val="0"/>
          <w:numId w:val="17"/>
        </w:numPr>
        <w:tabs>
          <w:tab w:val="clear" w:pos="360"/>
          <w:tab w:val="num" w:pos="709"/>
          <w:tab w:val="left" w:pos="1418"/>
          <w:tab w:val="left" w:pos="2835"/>
          <w:tab w:val="left" w:pos="4253"/>
          <w:tab w:val="left" w:pos="5670"/>
          <w:tab w:val="left" w:pos="7088"/>
          <w:tab w:val="right" w:pos="8505"/>
        </w:tabs>
        <w:spacing w:after="0"/>
        <w:ind w:left="709" w:right="6" w:hanging="357"/>
        <w:rPr>
          <w:b/>
          <w:szCs w:val="24"/>
          <w:lang w:val="sk-SK"/>
        </w:rPr>
      </w:pPr>
      <w:r w:rsidRPr="0003349E">
        <w:rPr>
          <w:b/>
          <w:szCs w:val="24"/>
          <w:lang w:val="sk-SK"/>
        </w:rPr>
        <w:t xml:space="preserve">riadiaci orgán (RO) </w:t>
      </w:r>
    </w:p>
    <w:p w:rsidR="00D95ABE" w:rsidRPr="0003349E" w:rsidRDefault="00D95ABE" w:rsidP="000B1884">
      <w:pPr>
        <w:pStyle w:val="NumPar1"/>
        <w:numPr>
          <w:ilvl w:val="0"/>
          <w:numId w:val="17"/>
        </w:numPr>
        <w:tabs>
          <w:tab w:val="clear" w:pos="360"/>
          <w:tab w:val="num" w:pos="709"/>
          <w:tab w:val="left" w:pos="1418"/>
          <w:tab w:val="left" w:pos="2835"/>
          <w:tab w:val="left" w:pos="4253"/>
          <w:tab w:val="left" w:pos="5670"/>
          <w:tab w:val="left" w:pos="7088"/>
          <w:tab w:val="right" w:pos="8505"/>
        </w:tabs>
        <w:spacing w:after="0"/>
        <w:ind w:left="709" w:right="6" w:hanging="357"/>
        <w:rPr>
          <w:b/>
          <w:szCs w:val="24"/>
          <w:lang w:val="sk-SK"/>
        </w:rPr>
      </w:pPr>
      <w:r w:rsidRPr="0003349E">
        <w:rPr>
          <w:b/>
          <w:szCs w:val="24"/>
          <w:lang w:val="sk-SK"/>
        </w:rPr>
        <w:t xml:space="preserve">certifikačný orgán (CO) </w:t>
      </w:r>
    </w:p>
    <w:p w:rsidR="00D95ABE" w:rsidRPr="0003349E" w:rsidRDefault="00D95ABE" w:rsidP="000B1884">
      <w:pPr>
        <w:pStyle w:val="NumPar1"/>
        <w:numPr>
          <w:ilvl w:val="0"/>
          <w:numId w:val="17"/>
        </w:numPr>
        <w:tabs>
          <w:tab w:val="clear" w:pos="360"/>
          <w:tab w:val="num" w:pos="709"/>
          <w:tab w:val="left" w:pos="1418"/>
          <w:tab w:val="left" w:pos="2835"/>
          <w:tab w:val="left" w:pos="4253"/>
          <w:tab w:val="left" w:pos="5670"/>
          <w:tab w:val="left" w:pos="7088"/>
          <w:tab w:val="right" w:pos="8505"/>
        </w:tabs>
        <w:spacing w:after="120"/>
        <w:ind w:left="709" w:right="6"/>
        <w:rPr>
          <w:szCs w:val="24"/>
          <w:lang w:val="sk-SK"/>
        </w:rPr>
      </w:pPr>
      <w:r w:rsidRPr="0003349E">
        <w:rPr>
          <w:b/>
          <w:szCs w:val="24"/>
          <w:lang w:val="sk-SK"/>
        </w:rPr>
        <w:t>orgán auditu (OA)</w:t>
      </w:r>
    </w:p>
    <w:p w:rsidR="00D95ABE" w:rsidRPr="0003349E" w:rsidRDefault="00D95ABE" w:rsidP="009A0D5F">
      <w:pPr>
        <w:ind w:firstLine="708"/>
        <w:jc w:val="both"/>
      </w:pPr>
      <w:r w:rsidRPr="0003349E">
        <w:t xml:space="preserve">RO po dohode s MV vytvoril v súlade s nariadením Európskeho parlamentu  a Rady (ES) č. 1080/2006, čl. 14 (1), medzinárodný sekretariát (ďalej INTERACT </w:t>
      </w:r>
      <w:r>
        <w:t>s</w:t>
      </w:r>
      <w:r w:rsidRPr="0003349E">
        <w:t>ekretariát (IS)), ktorý zohráva podstatnú úlohu pri riadení programu a tvorbe obsahu tak, ako je schválený v programových dokumentoch.</w:t>
      </w:r>
    </w:p>
    <w:p w:rsidR="00D95ABE" w:rsidRPr="0003349E" w:rsidRDefault="00D95ABE" w:rsidP="000B1884">
      <w:pPr>
        <w:jc w:val="both"/>
      </w:pPr>
    </w:p>
    <w:p w:rsidR="00D95ABE" w:rsidRPr="0003349E" w:rsidRDefault="00D95ABE" w:rsidP="000B1884">
      <w:pPr>
        <w:jc w:val="both"/>
      </w:pPr>
      <w:r w:rsidRPr="0003349E">
        <w:tab/>
        <w:t>Po regionálnych voľbách, ktoré sa konali v novembri 2009, bol za predsedu Bratislavského samosprávneho kraja zvolený Pavol Frešo. Vo februári 2010 rezignovala na svoju funkciu riaditeľka odboru ETS, pod ktorý spadá i riadiaci orgán OP INTERACT</w:t>
      </w:r>
      <w:r>
        <w:t>,</w:t>
      </w:r>
      <w:r w:rsidRPr="0003349E">
        <w:t xml:space="preserve"> Danuša Stromšíková. V marci 2010 bola za novú riaditeľku Odboru ETS vymenovaná Anna Nogová.</w:t>
      </w:r>
    </w:p>
    <w:p w:rsidR="00D95ABE" w:rsidRPr="0003349E" w:rsidRDefault="00D95ABE" w:rsidP="000B1884">
      <w:pPr>
        <w:rPr>
          <w:rFonts w:ascii="Arial Narrow" w:hAnsi="Arial Narrow"/>
        </w:rPr>
      </w:pPr>
    </w:p>
    <w:p w:rsidR="00D95ABE" w:rsidRPr="0003349E" w:rsidRDefault="00D95ABE" w:rsidP="005A65B5">
      <w:pPr>
        <w:pStyle w:val="Heading2"/>
        <w:numPr>
          <w:ilvl w:val="1"/>
          <w:numId w:val="1"/>
        </w:numPr>
        <w:spacing w:before="120" w:after="120"/>
        <w:rPr>
          <w:rFonts w:ascii="Times New Roman" w:hAnsi="Times New Roman"/>
          <w:color w:val="auto"/>
          <w:sz w:val="24"/>
          <w:szCs w:val="24"/>
        </w:rPr>
      </w:pPr>
      <w:bookmarkStart w:id="2" w:name="_Toc272762866"/>
      <w:r w:rsidRPr="0003349E">
        <w:rPr>
          <w:rFonts w:ascii="Times New Roman" w:hAnsi="Times New Roman"/>
          <w:color w:val="auto"/>
          <w:sz w:val="24"/>
          <w:szCs w:val="24"/>
        </w:rPr>
        <w:t>Základné dokumenty schválené na národnej alebo medzinárodnej úrovni</w:t>
      </w:r>
      <w:bookmarkEnd w:id="2"/>
    </w:p>
    <w:p w:rsidR="00D95ABE" w:rsidRPr="0003349E" w:rsidRDefault="00D95ABE" w:rsidP="002B0654">
      <w:pPr>
        <w:rPr>
          <w:rFonts w:ascii="Arial Narrow" w:hAnsi="Arial Narrow"/>
        </w:rPr>
      </w:pPr>
    </w:p>
    <w:p w:rsidR="00D95ABE" w:rsidRPr="0003349E" w:rsidRDefault="00D95ABE" w:rsidP="002B0654">
      <w:r w:rsidRPr="0003349E">
        <w:t>V sledovanom období došlo k zmenám alebo doplnkom v nasledovných dokumentoch:</w:t>
      </w:r>
    </w:p>
    <w:p w:rsidR="00D95ABE" w:rsidRPr="0003349E" w:rsidRDefault="00D95ABE" w:rsidP="002B0654">
      <w:pPr>
        <w:rPr>
          <w:rFonts w:ascii="Arial Narrow" w:hAnsi="Arial Narrow"/>
        </w:rPr>
      </w:pPr>
    </w:p>
    <w:p w:rsidR="00D95ABE" w:rsidRDefault="00D95ABE">
      <w:pPr>
        <w:numPr>
          <w:ilvl w:val="0"/>
          <w:numId w:val="26"/>
        </w:numPr>
        <w:spacing w:after="120"/>
        <w:jc w:val="both"/>
        <w:rPr>
          <w:i/>
        </w:rPr>
      </w:pPr>
      <w:r w:rsidRPr="0003349E">
        <w:rPr>
          <w:i/>
        </w:rPr>
        <w:t>Systém riadenia a implementáci</w:t>
      </w:r>
      <w:r>
        <w:rPr>
          <w:i/>
        </w:rPr>
        <w:t>e</w:t>
      </w:r>
      <w:r w:rsidRPr="0003349E">
        <w:rPr>
          <w:i/>
        </w:rPr>
        <w:t xml:space="preserve"> OP INTERACT II na programové obdobie 2007 – 2013</w:t>
      </w:r>
      <w:r w:rsidRPr="0003349E">
        <w:rPr>
          <w:rStyle w:val="FootnoteReference"/>
        </w:rPr>
        <w:footnoteReference w:id="3"/>
      </w:r>
    </w:p>
    <w:p w:rsidR="00D95ABE" w:rsidRPr="0003349E" w:rsidRDefault="00D95ABE" w:rsidP="000B1884">
      <w:pPr>
        <w:autoSpaceDE w:val="0"/>
        <w:autoSpaceDN w:val="0"/>
        <w:adjustRightInd w:val="0"/>
        <w:spacing w:after="120"/>
        <w:jc w:val="both"/>
      </w:pPr>
      <w:r w:rsidRPr="0003349E">
        <w:t>Za hodnotené obdobie boli certifikačným orgánom vydané v spolupráci s riadiacim orgánom a INTERACT</w:t>
      </w:r>
      <w:r>
        <w:t xml:space="preserve"> sekretariátom</w:t>
      </w:r>
      <w:r w:rsidRPr="0003349E">
        <w:t xml:space="preserve"> nasledovné metodické dokumenty:</w:t>
      </w:r>
    </w:p>
    <w:p w:rsidR="00D95ABE" w:rsidRPr="0003349E" w:rsidRDefault="00D95ABE" w:rsidP="000B1884">
      <w:pPr>
        <w:pStyle w:val="BodyTextIndent"/>
        <w:ind w:firstLine="0"/>
      </w:pPr>
      <w:r w:rsidRPr="0003349E">
        <w:t>Systém riadenia a implementácie OP INTERACT II na programové obdobie 2007 – 2013, verzia 1.4 s platnosťou od 10.</w:t>
      </w:r>
      <w:r>
        <w:t>0</w:t>
      </w:r>
      <w:r w:rsidRPr="0003349E">
        <w:t xml:space="preserve">2.2010, ktorý bol vypracovaný v nadväznosti na požiadavku </w:t>
      </w:r>
      <w:r>
        <w:t>IS</w:t>
      </w:r>
      <w:r w:rsidRPr="0003349E">
        <w:t xml:space="preserve"> a INTERACT kontaktných bodov na úpravu pokynov pre vyplnenie žiadosti o platbu, v rámci ktorej sa úpravy týkajú:</w:t>
      </w:r>
    </w:p>
    <w:p w:rsidR="00D95ABE" w:rsidRPr="0003349E" w:rsidRDefault="00D95ABE" w:rsidP="000B1884">
      <w:pPr>
        <w:autoSpaceDE w:val="0"/>
        <w:autoSpaceDN w:val="0"/>
        <w:adjustRightInd w:val="0"/>
        <w:jc w:val="both"/>
      </w:pPr>
    </w:p>
    <w:p w:rsidR="00D95ABE" w:rsidRPr="0003349E" w:rsidRDefault="00D95ABE" w:rsidP="000B1884">
      <w:pPr>
        <w:numPr>
          <w:ilvl w:val="0"/>
          <w:numId w:val="7"/>
        </w:numPr>
        <w:autoSpaceDE w:val="0"/>
        <w:autoSpaceDN w:val="0"/>
        <w:adjustRightInd w:val="0"/>
        <w:jc w:val="both"/>
      </w:pPr>
      <w:r w:rsidRPr="0003349E">
        <w:t>aktualizácie prílohy 3a – Žiadosť o platbu platná pre kontaktné body programu INTERACT;</w:t>
      </w:r>
    </w:p>
    <w:p w:rsidR="00D95ABE" w:rsidRPr="0003349E" w:rsidRDefault="00D95ABE" w:rsidP="000B1884">
      <w:pPr>
        <w:numPr>
          <w:ilvl w:val="0"/>
          <w:numId w:val="7"/>
        </w:numPr>
        <w:autoSpaceDE w:val="0"/>
        <w:autoSpaceDN w:val="0"/>
        <w:adjustRightInd w:val="0"/>
        <w:jc w:val="both"/>
      </w:pPr>
      <w:r w:rsidRPr="0003349E">
        <w:t>aktualizácie prílohy 3b – Pokyny pre vyplnenie žiadosti o platbu podľa prílohy 3a;</w:t>
      </w:r>
    </w:p>
    <w:p w:rsidR="00D95ABE" w:rsidRPr="0003349E" w:rsidRDefault="00D95ABE" w:rsidP="000B1884">
      <w:pPr>
        <w:numPr>
          <w:ilvl w:val="0"/>
          <w:numId w:val="7"/>
        </w:numPr>
        <w:autoSpaceDE w:val="0"/>
        <w:autoSpaceDN w:val="0"/>
        <w:adjustRightInd w:val="0"/>
        <w:jc w:val="both"/>
      </w:pPr>
      <w:r w:rsidRPr="0003349E">
        <w:t>doplnenia novej prílohy 3c - Žiadosť o platbu platná pre prijímateľov so sídlom v SR;</w:t>
      </w:r>
    </w:p>
    <w:p w:rsidR="00D95ABE" w:rsidRPr="0003349E" w:rsidRDefault="00D95ABE" w:rsidP="000B1884">
      <w:pPr>
        <w:numPr>
          <w:ilvl w:val="0"/>
          <w:numId w:val="7"/>
        </w:numPr>
        <w:autoSpaceDE w:val="0"/>
        <w:autoSpaceDN w:val="0"/>
        <w:adjustRightInd w:val="0"/>
        <w:jc w:val="both"/>
      </w:pPr>
      <w:r w:rsidRPr="0003349E">
        <w:t>doplnenia novej prílohy 3d - Pokyny pre vyplnenie žiadosti o platbu podľa prílohy 3c.</w:t>
      </w:r>
    </w:p>
    <w:p w:rsidR="00D95ABE" w:rsidRPr="0003349E" w:rsidRDefault="00D95ABE" w:rsidP="000B1884">
      <w:pPr>
        <w:autoSpaceDE w:val="0"/>
        <w:autoSpaceDN w:val="0"/>
        <w:adjustRightInd w:val="0"/>
        <w:ind w:left="720"/>
        <w:jc w:val="both"/>
      </w:pPr>
    </w:p>
    <w:p w:rsidR="00D95ABE" w:rsidRPr="0003349E" w:rsidRDefault="00D95ABE" w:rsidP="000B1884">
      <w:pPr>
        <w:numPr>
          <w:ilvl w:val="0"/>
          <w:numId w:val="26"/>
        </w:numPr>
        <w:spacing w:after="120"/>
        <w:jc w:val="both"/>
        <w:rPr>
          <w:i/>
        </w:rPr>
      </w:pPr>
      <w:r w:rsidRPr="0003349E">
        <w:rPr>
          <w:i/>
        </w:rPr>
        <w:t>Dohody s členskými krajinami EÚ a EHP</w:t>
      </w:r>
    </w:p>
    <w:p w:rsidR="00D95ABE" w:rsidRPr="0003349E" w:rsidRDefault="00D95ABE" w:rsidP="0003349E">
      <w:pPr>
        <w:spacing w:after="120"/>
        <w:jc w:val="both"/>
      </w:pPr>
      <w:r w:rsidRPr="0003349E">
        <w:t>Dohody medzi členskými krajinami zúčastnenými na OP INTERACT II a BSK ako RO a MF SR ako CO a OA o implementácii OP (tzv. Membership Agreements) podpísalo k 30.</w:t>
      </w:r>
      <w:r>
        <w:t>0</w:t>
      </w:r>
      <w:r w:rsidRPr="0003349E">
        <w:t xml:space="preserve">6.2010 25 z 27 členských krajín. </w:t>
      </w:r>
    </w:p>
    <w:p w:rsidR="00D95ABE" w:rsidRPr="0003349E" w:rsidRDefault="00D95ABE" w:rsidP="0003349E">
      <w:pPr>
        <w:spacing w:after="120"/>
        <w:jc w:val="both"/>
      </w:pPr>
      <w:r w:rsidRPr="0003349E">
        <w:t>V monitorovanom období podpísalo dohodu Holandské kráľovstvo (19.</w:t>
      </w:r>
      <w:r>
        <w:t>0</w:t>
      </w:r>
      <w:r w:rsidRPr="0003349E">
        <w:t xml:space="preserve">4.2010). Veľká Británia a Nemecko zatiaľ dohodu nepodpísali. </w:t>
      </w:r>
    </w:p>
    <w:p w:rsidR="00D95ABE" w:rsidRPr="0003349E" w:rsidRDefault="00D95ABE" w:rsidP="0003349E">
      <w:pPr>
        <w:spacing w:after="120"/>
        <w:jc w:val="both"/>
      </w:pPr>
      <w:r w:rsidRPr="0003349E">
        <w:t xml:space="preserve">Do implementácie OP INTERACT II sa môžu na základe Deklarácie o pristúpení k OP INTERACT II zapojiť aj Nórske kráľovstvo a Švajčiarska konfederácia. Dohoda o pristúpení k OP INTERACT bola dňa </w:t>
      </w:r>
      <w:r>
        <w:t>0</w:t>
      </w:r>
      <w:r w:rsidRPr="0003349E">
        <w:t>7.11.2008 podpísaná so Švajčiarskou konfederáciou a 31.</w:t>
      </w:r>
      <w:r>
        <w:t>0</w:t>
      </w:r>
      <w:r w:rsidRPr="0003349E">
        <w:t>8.2009  s Nórskym kráľovstvom.</w:t>
      </w:r>
    </w:p>
    <w:p w:rsidR="00D95ABE" w:rsidRPr="0003349E" w:rsidRDefault="00D95ABE" w:rsidP="00673BFB">
      <w:pPr>
        <w:numPr>
          <w:ilvl w:val="0"/>
          <w:numId w:val="26"/>
        </w:numPr>
        <w:spacing w:after="120"/>
        <w:jc w:val="both"/>
        <w:rPr>
          <w:i/>
        </w:rPr>
      </w:pPr>
      <w:r w:rsidRPr="0003349E">
        <w:rPr>
          <w:i/>
        </w:rPr>
        <w:t>Metodologický pokyn pre prvostupňového kontrolóra</w:t>
      </w:r>
    </w:p>
    <w:p w:rsidR="00D95ABE" w:rsidRPr="0003349E" w:rsidRDefault="00D95ABE" w:rsidP="00673BFB">
      <w:pPr>
        <w:spacing w:after="120"/>
        <w:jc w:val="both"/>
      </w:pPr>
      <w:r w:rsidRPr="0003349E">
        <w:t>Súčasťou Opisu riadiac</w:t>
      </w:r>
      <w:r>
        <w:t>ich</w:t>
      </w:r>
      <w:r w:rsidRPr="0003349E">
        <w:t xml:space="preserve"> a kontroln</w:t>
      </w:r>
      <w:r>
        <w:t>ých</w:t>
      </w:r>
      <w:r w:rsidRPr="0003349E">
        <w:t xml:space="preserve"> systém</w:t>
      </w:r>
      <w:r>
        <w:t>ov</w:t>
      </w:r>
      <w:r w:rsidRPr="0003349E">
        <w:t xml:space="preserve"> podľa čl. 71 nariadenia Rady (ES) č. 1083/2006 je Metodologický pokyn pre prvostupňového kontrolóra, ktorého príloha č. 3 (šablóna žiadost</w:t>
      </w:r>
      <w:r>
        <w:t>í</w:t>
      </w:r>
      <w:r w:rsidRPr="0003349E">
        <w:t xml:space="preserve"> o platbu a inštrukcie k vypĺňaniu predmetných žiadost</w:t>
      </w:r>
      <w:r>
        <w:t>í</w:t>
      </w:r>
      <w:r w:rsidRPr="0003349E">
        <w:t xml:space="preserve"> o platbu) bola aktualizovaná 10.</w:t>
      </w:r>
      <w:r>
        <w:t>02.</w:t>
      </w:r>
      <w:r w:rsidRPr="0003349E">
        <w:t>2010.</w:t>
      </w:r>
    </w:p>
    <w:p w:rsidR="00D95ABE" w:rsidRPr="0003349E" w:rsidRDefault="00D95ABE" w:rsidP="009C5248">
      <w:pPr>
        <w:spacing w:after="120"/>
        <w:jc w:val="both"/>
      </w:pPr>
    </w:p>
    <w:p w:rsidR="00D95ABE" w:rsidRPr="0003349E" w:rsidRDefault="00D95ABE" w:rsidP="005A65B5">
      <w:pPr>
        <w:pStyle w:val="Heading2"/>
        <w:numPr>
          <w:ilvl w:val="1"/>
          <w:numId w:val="1"/>
        </w:numPr>
        <w:spacing w:before="120" w:after="120"/>
        <w:rPr>
          <w:rFonts w:ascii="Times New Roman" w:hAnsi="Times New Roman"/>
          <w:color w:val="auto"/>
          <w:sz w:val="24"/>
          <w:szCs w:val="24"/>
        </w:rPr>
      </w:pPr>
      <w:bookmarkStart w:id="3" w:name="_Toc272762867"/>
      <w:r w:rsidRPr="0003349E">
        <w:rPr>
          <w:rFonts w:ascii="Times New Roman" w:hAnsi="Times New Roman"/>
          <w:color w:val="auto"/>
          <w:sz w:val="24"/>
          <w:szCs w:val="24"/>
        </w:rPr>
        <w:t>Komunikácia s Európskou komisiou</w:t>
      </w:r>
      <w:bookmarkEnd w:id="3"/>
    </w:p>
    <w:p w:rsidR="00D95ABE" w:rsidRPr="0003349E" w:rsidRDefault="00D95ABE" w:rsidP="0003349E">
      <w:pPr>
        <w:jc w:val="both"/>
      </w:pPr>
    </w:p>
    <w:p w:rsidR="00D95ABE" w:rsidRPr="0003349E" w:rsidRDefault="00D95ABE" w:rsidP="0003349E">
      <w:pPr>
        <w:jc w:val="both"/>
      </w:pPr>
      <w:r w:rsidRPr="0003349E">
        <w:t>OP INTERACT II sa dostal do kritickej situácie z dôvodu pretrvávajúcich problémov v riadnom finančnom a operatívnom riadení Riadiacim orgánom (RO). Implementácia aktivít IS a RO sa zablokovala z dôvodu nedostatku finančných prostriedkov zo strany hostiteľskej inštitúcie, Bratislavského samosprávneho kraja.</w:t>
      </w:r>
    </w:p>
    <w:p w:rsidR="00D95ABE" w:rsidRPr="0003349E" w:rsidRDefault="00D95ABE" w:rsidP="0003349E">
      <w:pPr>
        <w:jc w:val="both"/>
      </w:pPr>
    </w:p>
    <w:p w:rsidR="00D95ABE" w:rsidRPr="0003349E" w:rsidRDefault="00D95ABE" w:rsidP="0003349E">
      <w:pPr>
        <w:jc w:val="both"/>
      </w:pPr>
      <w:r w:rsidRPr="0003349E">
        <w:t>Európska komisia (EK) opakovane vyjadrila svoje znepokojenie z kritickej situácie v OP INTERACT II. O tejto otázke sa diskutovalo na stretnutí strán zúčastnených na riadení OP INTERACT II (RO, CO, OA, ÚV) a predstaviteľov DG REGIO, ktoré sa konalo 16.</w:t>
      </w:r>
      <w:r>
        <w:t>03.</w:t>
      </w:r>
      <w:r w:rsidRPr="0003349E">
        <w:t>2010 v Bratislave. Hlavným záverom stretnutia bolo rozhodnutie prijať akčný plán, ktorý bude definovať konkrétne opatrenia, ktoré zabezpečia riadnu implementáciu operačného programu.</w:t>
      </w:r>
    </w:p>
    <w:p w:rsidR="00D95ABE" w:rsidRPr="0003349E" w:rsidRDefault="00D95ABE" w:rsidP="0003349E">
      <w:pPr>
        <w:jc w:val="both"/>
      </w:pPr>
    </w:p>
    <w:p w:rsidR="00D95ABE" w:rsidRPr="0003349E" w:rsidRDefault="00D95ABE" w:rsidP="0003349E">
      <w:pPr>
        <w:jc w:val="both"/>
      </w:pPr>
      <w:r w:rsidRPr="0003349E">
        <w:t>Akčný plán</w:t>
      </w:r>
      <w:r>
        <w:t>, ktorý</w:t>
      </w:r>
      <w:r w:rsidRPr="0003349E">
        <w:t xml:space="preserve"> sa zakladá na záväzku všetkých zúčastnených inštitúcií pokračovať v implementácii OP INTERACT II, bol podpísaný </w:t>
      </w:r>
      <w:r>
        <w:t>12</w:t>
      </w:r>
      <w:r w:rsidRPr="0003349E">
        <w:t>.</w:t>
      </w:r>
      <w:r>
        <w:t>06.</w:t>
      </w:r>
      <w:r w:rsidRPr="0003349E">
        <w:t>2010 a následne doručený Európskej komisii.</w:t>
      </w:r>
    </w:p>
    <w:p w:rsidR="00D95ABE" w:rsidRPr="0003349E" w:rsidRDefault="00D95ABE" w:rsidP="002B0654">
      <w:pPr>
        <w:pStyle w:val="Heading1"/>
        <w:numPr>
          <w:ilvl w:val="0"/>
          <w:numId w:val="1"/>
        </w:numPr>
        <w:spacing w:before="240" w:after="240"/>
        <w:rPr>
          <w:rFonts w:ascii="Times New Roman" w:hAnsi="Times New Roman"/>
          <w:color w:val="auto"/>
          <w:sz w:val="24"/>
          <w:szCs w:val="24"/>
        </w:rPr>
      </w:pPr>
      <w:bookmarkStart w:id="4" w:name="_Toc272762868"/>
      <w:r w:rsidRPr="0003349E">
        <w:rPr>
          <w:rFonts w:ascii="Times New Roman" w:hAnsi="Times New Roman"/>
          <w:color w:val="auto"/>
          <w:sz w:val="24"/>
          <w:szCs w:val="24"/>
        </w:rPr>
        <w:t>Obsahová implementácia OP INTERACT II</w:t>
      </w:r>
      <w:bookmarkEnd w:id="4"/>
    </w:p>
    <w:p w:rsidR="00D95ABE" w:rsidRPr="00D0450B" w:rsidRDefault="00D95ABE" w:rsidP="002B0654">
      <w:pPr>
        <w:pStyle w:val="Heading2"/>
        <w:numPr>
          <w:ilvl w:val="1"/>
          <w:numId w:val="1"/>
        </w:numPr>
        <w:spacing w:before="120" w:after="120"/>
        <w:rPr>
          <w:rFonts w:ascii="Times New Roman" w:hAnsi="Times New Roman"/>
          <w:color w:val="auto"/>
          <w:sz w:val="24"/>
          <w:szCs w:val="24"/>
        </w:rPr>
      </w:pPr>
      <w:bookmarkStart w:id="5" w:name="_Toc272762869"/>
      <w:r w:rsidRPr="00D0450B">
        <w:rPr>
          <w:rFonts w:ascii="Times New Roman" w:hAnsi="Times New Roman"/>
          <w:color w:val="auto"/>
          <w:sz w:val="24"/>
          <w:szCs w:val="24"/>
        </w:rPr>
        <w:t>Aktivity riadiaceho orgánu</w:t>
      </w:r>
      <w:bookmarkEnd w:id="5"/>
    </w:p>
    <w:p w:rsidR="00D95ABE" w:rsidRPr="0003349E" w:rsidRDefault="00D95ABE" w:rsidP="0003349E">
      <w:pPr>
        <w:jc w:val="both"/>
      </w:pPr>
      <w:r w:rsidRPr="0003349E">
        <w:t xml:space="preserve">Prvé stretnutie nového vedenia BSK so slovenskými partnermi participujúcimi na implementácii OP INTERACT </w:t>
      </w:r>
      <w:r>
        <w:t xml:space="preserve">II </w:t>
      </w:r>
      <w:r w:rsidRPr="0003349E">
        <w:t>(CO,</w:t>
      </w:r>
      <w:r>
        <w:t xml:space="preserve"> </w:t>
      </w:r>
      <w:r w:rsidRPr="0003349E">
        <w:t>OA, ÚV) a </w:t>
      </w:r>
      <w:r>
        <w:t>IS</w:t>
      </w:r>
      <w:r w:rsidRPr="0003349E">
        <w:t xml:space="preserve"> sa uskutočnilo 19.</w:t>
      </w:r>
      <w:r>
        <w:t>01.</w:t>
      </w:r>
      <w:r w:rsidRPr="0003349E">
        <w:t xml:space="preserve">2010. Jednou z kľúčových tém, ktoré boli na stretnutí prediskutované, bol nedostatok finančných prostriedkov zo strany BSK. Na základe zistených nedostatkov bol vypracovaný Akčný plán pre prijatie nápravných opatrení pre riešenie kritickej situácie vo finančnom a administratívnom riadení OP INTERACT </w:t>
      </w:r>
      <w:r>
        <w:t xml:space="preserve">II </w:t>
      </w:r>
      <w:r w:rsidRPr="0003349E">
        <w:t>(viď bod 2.2</w:t>
      </w:r>
      <w:r>
        <w:t xml:space="preserve"> a 4.6</w:t>
      </w:r>
      <w:r w:rsidRPr="0003349E">
        <w:t>).</w:t>
      </w:r>
    </w:p>
    <w:p w:rsidR="00D95ABE" w:rsidRDefault="00D95ABE" w:rsidP="006F0DB9">
      <w:pPr>
        <w:spacing w:after="120"/>
        <w:jc w:val="both"/>
      </w:pPr>
      <w:r>
        <w:t>V období január – jún 2010 spracoval RO 13 žiadostí o platbu za prijímateľov IP, IS, MA, CA, AA. Celková suma spracovávaných výdavkov v tomto období bola 1 902 198,07 EUR , z ktorých 15 478,25 EUR nebolo zo strany RO schválených. V rámci prvého polroka 2010 bolo zo strany RO zaslaných na CO 6 žiadostí o platbu tak ako sa ďalej uvádza v kapitole 4.2.2. a zostávajúcich sedem žiadostí o platbu v hodnote 1 298 346,29 EUR, posudzovaných na RO bolo CO zaslaných v priebehu júl - august 2010.</w:t>
      </w:r>
    </w:p>
    <w:p w:rsidR="00D95ABE" w:rsidRPr="0003349E" w:rsidRDefault="00D95ABE" w:rsidP="0003349E">
      <w:pPr>
        <w:spacing w:after="120"/>
        <w:jc w:val="both"/>
      </w:pPr>
      <w:r w:rsidRPr="0003349E">
        <w:t>Taktiež zabezpečoval činnosti týkajúce sa prípravy zasadnutia Monitorovacieho výboru, ktorý sa uskutočnil vo švédskom Umeå v termíne 15.-16.</w:t>
      </w:r>
      <w:r>
        <w:t>06.</w:t>
      </w:r>
      <w:r w:rsidRPr="0003349E">
        <w:t>2010.</w:t>
      </w:r>
    </w:p>
    <w:p w:rsidR="00D95ABE" w:rsidRPr="0003349E" w:rsidRDefault="00D95ABE" w:rsidP="0003349E">
      <w:pPr>
        <w:jc w:val="both"/>
      </w:pPr>
      <w:r w:rsidRPr="0003349E">
        <w:t xml:space="preserve">RO v spolupráci s IS vypracoval a zaslal na Európsku komisiu Výročnú správu o implementácii programu za rok 2009, ktorá bola schválená na Monitorovacom výbore v júni 2010.  </w:t>
      </w:r>
    </w:p>
    <w:p w:rsidR="00D95ABE" w:rsidRPr="0003349E" w:rsidRDefault="00D95ABE" w:rsidP="009A5D44">
      <w:pPr>
        <w:ind w:firstLine="578"/>
        <w:jc w:val="both"/>
      </w:pPr>
    </w:p>
    <w:p w:rsidR="00D95ABE" w:rsidRPr="0003349E" w:rsidRDefault="00D95ABE" w:rsidP="0003349E">
      <w:pPr>
        <w:jc w:val="both"/>
      </w:pPr>
      <w:r w:rsidRPr="0003349E">
        <w:t xml:space="preserve">Počas sledovaného obdobia sa riadiaci orgán spolupodieľal a podporoval aktivity IS a IPs v rámci iniciatívy KEEP, spracovaní databáz a ostatných informačných zdrojov. Okrem toho spolupracoval s IS a IPs pri získavaní, kompletizácii, usporiadaní, analýzach a poskytovaní informácií všetkým relevantným aktérom v rámci ETS. </w:t>
      </w:r>
    </w:p>
    <w:p w:rsidR="00D95ABE" w:rsidRPr="0003349E" w:rsidRDefault="00D95ABE" w:rsidP="009A5D44">
      <w:pPr>
        <w:ind w:firstLine="578"/>
        <w:jc w:val="both"/>
      </w:pPr>
    </w:p>
    <w:p w:rsidR="00D95ABE" w:rsidRPr="0003349E" w:rsidRDefault="00D95ABE" w:rsidP="0003349E">
      <w:pPr>
        <w:spacing w:after="120"/>
        <w:jc w:val="both"/>
      </w:pPr>
      <w:r w:rsidRPr="0003349E">
        <w:t xml:space="preserve">RO podporil aktivity IS v súvislosti so sieťovými programami (ESPON, URBACT, INTERREG IVC) a v rámci makro-regionálnych stratégií. </w:t>
      </w:r>
      <w:r>
        <w:t>0</w:t>
      </w:r>
      <w:r w:rsidRPr="0003349E">
        <w:t>9.</w:t>
      </w:r>
      <w:r>
        <w:t>03.</w:t>
      </w:r>
      <w:r w:rsidRPr="0003349E">
        <w:t>2010 sa v Bratislave konalo stretnutie sieťových programov, na ktorom RO zastupoval podpredseda BSK Ivo Nesrovnal. V júni 2010 RO vstúpil do rokovaní s Európskou komisiou v súvislosti s prípravou II. etapy projektu INTERACT ENPI.</w:t>
      </w:r>
    </w:p>
    <w:p w:rsidR="00D95ABE" w:rsidRPr="0003349E" w:rsidRDefault="00D95ABE" w:rsidP="0003349E">
      <w:pPr>
        <w:spacing w:after="120"/>
        <w:jc w:val="both"/>
      </w:pPr>
      <w:r w:rsidRPr="0003349E">
        <w:t xml:space="preserve">RO tiež priebežne prispieval do INTERACT webovej stránky, newsletter, newsflash a do aktuálnych informácií pre MV. </w:t>
      </w:r>
    </w:p>
    <w:p w:rsidR="00D95ABE" w:rsidRDefault="00D95ABE" w:rsidP="0003349E">
      <w:pPr>
        <w:spacing w:after="120"/>
        <w:jc w:val="both"/>
      </w:pPr>
      <w:r w:rsidRPr="0003349E">
        <w:t>RO spolupracoval pri príprave a aktualizácii spoločného ročného plánu práce IS a IPs. R</w:t>
      </w:r>
      <w:r>
        <w:t>O</w:t>
      </w:r>
      <w:r w:rsidRPr="0003349E">
        <w:t xml:space="preserve"> podporoval aktivity IS v rámci makro-regionálnych stratégií a účasť na týchto aktivitách (Danube Strategy, Baltic Sea Region a i.)</w:t>
      </w:r>
    </w:p>
    <w:p w:rsidR="00D95ABE" w:rsidRPr="0003349E" w:rsidRDefault="00D95ABE" w:rsidP="0003349E">
      <w:pPr>
        <w:spacing w:after="120"/>
        <w:jc w:val="both"/>
      </w:pPr>
    </w:p>
    <w:p w:rsidR="00D95ABE" w:rsidRPr="0003349E" w:rsidRDefault="00D95ABE" w:rsidP="00575C13">
      <w:pPr>
        <w:pStyle w:val="Heading2"/>
        <w:numPr>
          <w:ilvl w:val="1"/>
          <w:numId w:val="1"/>
        </w:numPr>
        <w:spacing w:before="120" w:after="120"/>
        <w:rPr>
          <w:rFonts w:ascii="Times New Roman" w:hAnsi="Times New Roman"/>
          <w:color w:val="auto"/>
          <w:sz w:val="24"/>
          <w:szCs w:val="24"/>
        </w:rPr>
      </w:pPr>
      <w:bookmarkStart w:id="6" w:name="_Toc272762870"/>
      <w:r w:rsidRPr="0003349E">
        <w:rPr>
          <w:rFonts w:ascii="Times New Roman" w:hAnsi="Times New Roman"/>
          <w:color w:val="auto"/>
          <w:sz w:val="24"/>
          <w:szCs w:val="24"/>
        </w:rPr>
        <w:t xml:space="preserve">Aktivity </w:t>
      </w:r>
      <w:r>
        <w:rPr>
          <w:rFonts w:ascii="Times New Roman" w:hAnsi="Times New Roman"/>
          <w:color w:val="auto"/>
          <w:sz w:val="24"/>
          <w:szCs w:val="24"/>
        </w:rPr>
        <w:t>INTERACT Sekretariátu</w:t>
      </w:r>
      <w:bookmarkEnd w:id="6"/>
    </w:p>
    <w:p w:rsidR="00D95ABE" w:rsidRDefault="00D95ABE">
      <w:pPr>
        <w:spacing w:after="120"/>
        <w:jc w:val="both"/>
        <w:rPr>
          <w:rStyle w:val="longtext"/>
        </w:rPr>
      </w:pPr>
      <w:r w:rsidRPr="002326E0">
        <w:t>IS v</w:t>
      </w:r>
      <w:r>
        <w:t> </w:t>
      </w:r>
      <w:r w:rsidRPr="002326E0">
        <w:t>sledovanom období úspešne realizoval viaceré aktivity, z</w:t>
      </w:r>
      <w:r>
        <w:t> </w:t>
      </w:r>
      <w:r w:rsidRPr="002326E0">
        <w:t xml:space="preserve">ktorých najdôležitejšie boli </w:t>
      </w:r>
      <w:r w:rsidRPr="00960EF4">
        <w:rPr>
          <w:rStyle w:val="longtext"/>
        </w:rPr>
        <w:t>vypracovanie a predloženie výročnej</w:t>
      </w:r>
      <w:r w:rsidRPr="00960EF4">
        <w:t xml:space="preserve"> </w:t>
      </w:r>
      <w:r w:rsidRPr="00960EF4">
        <w:rPr>
          <w:rStyle w:val="longtext"/>
        </w:rPr>
        <w:t>Správy o implementácii programu za rok 2009, koordinácia pracovného programu skupiny, ďalší</w:t>
      </w:r>
      <w:r w:rsidRPr="00960EF4">
        <w:t xml:space="preserve"> </w:t>
      </w:r>
      <w:r w:rsidRPr="00960EF4">
        <w:rPr>
          <w:rStyle w:val="longtext"/>
        </w:rPr>
        <w:t>vývoj INTERACT Management System a spracovanie žiadostí o platbu.</w:t>
      </w:r>
    </w:p>
    <w:p w:rsidR="00D95ABE" w:rsidRPr="009F2422" w:rsidRDefault="00D95ABE" w:rsidP="0003349E">
      <w:pPr>
        <w:spacing w:after="120"/>
        <w:jc w:val="both"/>
      </w:pPr>
      <w:r w:rsidRPr="00960EF4">
        <w:rPr>
          <w:rStyle w:val="longtext"/>
        </w:rPr>
        <w:t xml:space="preserve">Špeciálne aktivity boli vykonávané v súvislosti so znalostným riadením (Knowledge Management): </w:t>
      </w:r>
      <w:r w:rsidRPr="002326E0">
        <w:t xml:space="preserve"> prototyp KEEP bol ďalej rozvíjaný a prezentovaný verejnosti na konferencii, ktorá sa uskutočnila v</w:t>
      </w:r>
      <w:r>
        <w:t> </w:t>
      </w:r>
      <w:r w:rsidRPr="002326E0">
        <w:t>Bruseli v</w:t>
      </w:r>
      <w:r>
        <w:t> </w:t>
      </w:r>
      <w:r w:rsidRPr="002326E0">
        <w:t xml:space="preserve">marci 2010. </w:t>
      </w:r>
    </w:p>
    <w:p w:rsidR="00D95ABE" w:rsidRPr="0003349E" w:rsidRDefault="00D95ABE" w:rsidP="0003349E">
      <w:pPr>
        <w:spacing w:after="120"/>
        <w:jc w:val="both"/>
        <w:rPr>
          <w:rStyle w:val="longtext"/>
        </w:rPr>
      </w:pPr>
      <w:r w:rsidRPr="0003349E">
        <w:rPr>
          <w:rStyle w:val="longtext"/>
          <w:shd w:val="clear" w:color="auto" w:fill="FFFFFF"/>
        </w:rPr>
        <w:t>Komunikačné aktivity boli zamerané na publikáciu časopisov a bulletinov, na</w:t>
      </w:r>
      <w:r w:rsidRPr="0003349E">
        <w:rPr>
          <w:rStyle w:val="longtext"/>
        </w:rPr>
        <w:t xml:space="preserve"> zlepšenie obsahu webových stránok (napr. vytváranie nových</w:t>
      </w:r>
      <w:r w:rsidRPr="0003349E">
        <w:br/>
      </w:r>
      <w:r w:rsidRPr="0003349E">
        <w:rPr>
          <w:rStyle w:val="longtext"/>
          <w:shd w:val="clear" w:color="auto" w:fill="FFFFFF"/>
        </w:rPr>
        <w:t>sekcií, ako makro-regionálne stratégie, regulačné zmeny, hodnotenie a</w:t>
      </w:r>
      <w:r w:rsidRPr="0003349E">
        <w:rPr>
          <w:shd w:val="clear" w:color="auto" w:fill="FFFFFF"/>
        </w:rPr>
        <w:br/>
      </w:r>
      <w:r w:rsidRPr="0003349E">
        <w:rPr>
          <w:rStyle w:val="longtext"/>
          <w:shd w:val="clear" w:color="auto" w:fill="FFFFFF"/>
        </w:rPr>
        <w:t>komunikácia) a technickej časti (vývoj niekoľkých nástrojov, aby sa stali atraktívnejšie pre používateľov), dokončenie online publikačného centra na Confluence, rozvoj</w:t>
      </w:r>
      <w:r w:rsidRPr="0003349E">
        <w:rPr>
          <w:shd w:val="clear" w:color="auto" w:fill="FFFFFF"/>
        </w:rPr>
        <w:br/>
      </w:r>
      <w:r w:rsidRPr="0003349E">
        <w:rPr>
          <w:rStyle w:val="longtext"/>
          <w:shd w:val="clear" w:color="auto" w:fill="FFFFFF"/>
        </w:rPr>
        <w:t>online registrácie, aktualizáciu INTERACT Styleguide a vytvorenie</w:t>
      </w:r>
      <w:r w:rsidRPr="0003349E">
        <w:rPr>
          <w:shd w:val="clear" w:color="auto" w:fill="FFFFFF"/>
        </w:rPr>
        <w:br/>
      </w:r>
      <w:r w:rsidRPr="0003349E">
        <w:rPr>
          <w:rStyle w:val="longtext"/>
        </w:rPr>
        <w:t>brožúry o programe INTERACT.</w:t>
      </w:r>
    </w:p>
    <w:p w:rsidR="00D95ABE" w:rsidRPr="00960EF4" w:rsidRDefault="00D95ABE" w:rsidP="0003349E">
      <w:pPr>
        <w:spacing w:after="120"/>
        <w:jc w:val="both"/>
        <w:rPr>
          <w:rStyle w:val="longtext"/>
        </w:rPr>
      </w:pPr>
      <w:r w:rsidRPr="0003349E">
        <w:rPr>
          <w:rStyle w:val="longtext"/>
        </w:rPr>
        <w:t xml:space="preserve">V súvislosti s vybudovaním siete s ostatnými programami </w:t>
      </w:r>
      <w:r w:rsidRPr="0003349E">
        <w:t xml:space="preserve">IS zrealizoval v Bratislave v marci 2010 </w:t>
      </w:r>
      <w:r w:rsidRPr="0003349E">
        <w:rPr>
          <w:rStyle w:val="longtext"/>
        </w:rPr>
        <w:t xml:space="preserve">stretnutie s inými sieťovými programami </w:t>
      </w:r>
      <w:r w:rsidRPr="0003349E">
        <w:t xml:space="preserve">(ESPON, URBACT, INTERREG IVC). </w:t>
      </w:r>
      <w:r w:rsidRPr="00960EF4">
        <w:t>Jednou z k</w:t>
      </w:r>
      <w:r w:rsidRPr="002326E0">
        <w:t>ľúčových tém stretnutia bola diskusia na tému in</w:t>
      </w:r>
      <w:r w:rsidRPr="00960EF4">
        <w:t>tegrácie databázy KEEP s databázou programu ESPON.</w:t>
      </w:r>
      <w:r w:rsidRPr="00960EF4">
        <w:rPr>
          <w:rStyle w:val="longtext"/>
        </w:rPr>
        <w:t xml:space="preserve"> </w:t>
      </w:r>
    </w:p>
    <w:p w:rsidR="00D95ABE" w:rsidRPr="00AD1671" w:rsidRDefault="00D95ABE" w:rsidP="007D22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rebuchet MS"/>
        </w:rPr>
      </w:pPr>
      <w:r w:rsidRPr="0003349E">
        <w:t>IS bol taktiež zapojený do série seminárov a konferencií organizovaných Komisiou (Konferencia k Dunajskej stratégii, ktorá sa uskutočnila vo Viedni a v Bratislave v apríli 2010, Výročná konferencia Regions for Economic Change), národnými inštitúciami (</w:t>
      </w:r>
      <w:r w:rsidRPr="00AD1671">
        <w:rPr>
          <w:rFonts w:cs="Trebuchet MS"/>
        </w:rPr>
        <w:t>napr.  Europ’ACT/</w:t>
      </w:r>
      <w:r w:rsidRPr="00960EF4">
        <w:rPr>
          <w:rFonts w:cs="Trebuchet MS"/>
        </w:rPr>
        <w:t>DATAR semin</w:t>
      </w:r>
      <w:r w:rsidRPr="002326E0">
        <w:rPr>
          <w:rFonts w:cs="Trebuchet MS"/>
        </w:rPr>
        <w:t>ár na tému kapitalizácia) a inými programami</w:t>
      </w:r>
      <w:r w:rsidRPr="00960EF4">
        <w:rPr>
          <w:rFonts w:cs="Trebuchet MS"/>
        </w:rPr>
        <w:t xml:space="preserve"> (napr. Central Europe Annual Conference ), </w:t>
      </w:r>
      <w:r w:rsidRPr="002326E0">
        <w:rPr>
          <w:rFonts w:cs="Trebuchet MS"/>
        </w:rPr>
        <w:t>ako aj do diskusií na tému budúcnosť ETS</w:t>
      </w:r>
      <w:r w:rsidRPr="0003349E">
        <w:rPr>
          <w:rFonts w:cs="Trebuchet MS"/>
          <w:lang w:val="cs-CZ"/>
        </w:rPr>
        <w:t>.</w:t>
      </w:r>
      <w:r w:rsidRPr="00AD1671">
        <w:rPr>
          <w:rFonts w:cs="Trebuchet MS"/>
        </w:rPr>
        <w:t xml:space="preserve"> </w:t>
      </w:r>
    </w:p>
    <w:p w:rsidR="00D95ABE" w:rsidRPr="00AD1671" w:rsidRDefault="00D95ABE" w:rsidP="007D22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rebuchet MS"/>
        </w:rPr>
      </w:pPr>
    </w:p>
    <w:p w:rsidR="00D95ABE" w:rsidRPr="0003349E" w:rsidRDefault="00D95ABE" w:rsidP="0003349E">
      <w:pPr>
        <w:spacing w:after="120"/>
        <w:jc w:val="both"/>
      </w:pPr>
      <w:r>
        <w:rPr>
          <w:rFonts w:cs="Trebuchet MS"/>
        </w:rPr>
        <w:t xml:space="preserve">OP </w:t>
      </w:r>
      <w:r w:rsidRPr="00AD1671">
        <w:rPr>
          <w:rFonts w:cs="Trebuchet MS"/>
        </w:rPr>
        <w:t>INTERACT</w:t>
      </w:r>
      <w:r>
        <w:rPr>
          <w:rFonts w:cs="Trebuchet MS"/>
        </w:rPr>
        <w:t xml:space="preserve"> II</w:t>
      </w:r>
      <w:r w:rsidRPr="0003349E">
        <w:t xml:space="preserve"> vystupoval ako aktívny účastník v rámci makro-regionálnych stratégií a podieľal sa na ich tvorbe (Danube Strategy, Baltic Sea Region a i.) a v spolupráci s regiónom Valónsko v Belgicku pripravoval výročnú konferenciu „Celebrating 20 Years of Coopoeration and Looking Beyond 2013“, ktorá sa uskutoční v septembri 2010.</w:t>
      </w:r>
    </w:p>
    <w:p w:rsidR="00D95ABE" w:rsidRPr="00AD1671" w:rsidRDefault="00D95ABE" w:rsidP="007D22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rPr>
      </w:pPr>
    </w:p>
    <w:p w:rsidR="00D95ABE" w:rsidRPr="0003349E" w:rsidRDefault="00D95ABE" w:rsidP="002B0654">
      <w:pPr>
        <w:pStyle w:val="Heading2"/>
        <w:numPr>
          <w:ilvl w:val="1"/>
          <w:numId w:val="1"/>
        </w:numPr>
        <w:spacing w:before="120" w:after="120"/>
        <w:rPr>
          <w:rFonts w:ascii="Times New Roman" w:hAnsi="Times New Roman"/>
          <w:color w:val="auto"/>
          <w:sz w:val="24"/>
          <w:szCs w:val="24"/>
        </w:rPr>
      </w:pPr>
      <w:bookmarkStart w:id="7" w:name="_Toc272762871"/>
      <w:r w:rsidRPr="0003349E">
        <w:rPr>
          <w:rFonts w:ascii="Times New Roman" w:hAnsi="Times New Roman"/>
          <w:color w:val="auto"/>
          <w:sz w:val="24"/>
          <w:szCs w:val="24"/>
        </w:rPr>
        <w:t>Aktivity INTERACT kontaktných bodov</w:t>
      </w:r>
      <w:bookmarkEnd w:id="7"/>
      <w:r w:rsidRPr="0003349E">
        <w:rPr>
          <w:rFonts w:ascii="Times New Roman" w:hAnsi="Times New Roman"/>
          <w:color w:val="auto"/>
          <w:sz w:val="24"/>
          <w:szCs w:val="24"/>
        </w:rPr>
        <w:t xml:space="preserve">  </w:t>
      </w:r>
    </w:p>
    <w:p w:rsidR="00D95ABE" w:rsidRPr="0003349E" w:rsidRDefault="00D95ABE" w:rsidP="0003349E">
      <w:pPr>
        <w:jc w:val="both"/>
      </w:pPr>
      <w:r w:rsidRPr="0003349E">
        <w:t xml:space="preserve">Počas obdobia </w:t>
      </w:r>
      <w:r>
        <w:t>0</w:t>
      </w:r>
      <w:r w:rsidRPr="0003349E">
        <w:t>1.</w:t>
      </w:r>
      <w:r>
        <w:t>0</w:t>
      </w:r>
      <w:r w:rsidRPr="0003349E">
        <w:t>1.2010-30.</w:t>
      </w:r>
      <w:r>
        <w:t>0</w:t>
      </w:r>
      <w:r w:rsidRPr="0003349E">
        <w:t xml:space="preserve">6.2010 zrealizoval </w:t>
      </w:r>
      <w:r w:rsidRPr="0003349E">
        <w:rPr>
          <w:b/>
        </w:rPr>
        <w:t>IP Turku</w:t>
      </w:r>
      <w:r w:rsidRPr="0003349E">
        <w:t xml:space="preserve"> celkovo 39 seminárov a stretnutí zameraných na programové a projektové riadenie, evaluáciu a finančné riadenie.  Okrem spomenutých aktivít IP Turku zorganizoval 14 tréningových stretnutí a stretnutí laboratórnych skupín pre ENPI CBC programy, v spolupráci s ENPI Point South z Florencie.  Podobne ako všetky kontaktné body programu INTERACT, aj IP Turku vyvinul maximálne úsilie na podporu diskusie o Teritoriálnej spolupráci po roku 2013.</w:t>
      </w:r>
    </w:p>
    <w:p w:rsidR="00D95ABE" w:rsidRPr="0003349E" w:rsidRDefault="00D95ABE" w:rsidP="007D225F">
      <w:pPr>
        <w:jc w:val="both"/>
      </w:pPr>
    </w:p>
    <w:p w:rsidR="00D95ABE" w:rsidRPr="0003349E" w:rsidRDefault="00D95ABE" w:rsidP="007D225F">
      <w:pPr>
        <w:jc w:val="both"/>
      </w:pPr>
      <w:r w:rsidRPr="0003349E">
        <w:t xml:space="preserve">Aktivity </w:t>
      </w:r>
      <w:r w:rsidRPr="0003349E">
        <w:rPr>
          <w:b/>
        </w:rPr>
        <w:t>IP Valencia</w:t>
      </w:r>
      <w:r w:rsidRPr="0003349E">
        <w:t xml:space="preserve"> boli zamerané hlavne na finančné otázky, ako aj na stratégiu projektov a kapitalizáciu.  V spolupráci s ďalšími kontaktnými bodmi zorganizoval IP Valencia sériu seminárov zameraných na hodnotenie projektov, prvostupňovú kontrolu a štátnu pomoc.</w:t>
      </w:r>
    </w:p>
    <w:p w:rsidR="00D95ABE" w:rsidRPr="0003349E" w:rsidRDefault="00D95ABE" w:rsidP="007D225F">
      <w:pPr>
        <w:jc w:val="both"/>
      </w:pPr>
    </w:p>
    <w:p w:rsidR="00D95ABE" w:rsidRPr="0003349E" w:rsidRDefault="00D95ABE" w:rsidP="007D225F">
      <w:pPr>
        <w:jc w:val="both"/>
      </w:pPr>
      <w:r w:rsidRPr="0003349E">
        <w:rPr>
          <w:b/>
        </w:rPr>
        <w:t xml:space="preserve">IP Viborg </w:t>
      </w:r>
      <w:r w:rsidRPr="0003349E">
        <w:t>realizoval semináre zamerané na štátnu pomoc, ktorých cieľom je poskytnúť praktické a reálne odporúčania pre všetky programy. Okrem štandardných úloh zohráva IP Viborg vedúcu úlohu pri diskusiách o budúcnosti ETS. Aktívne sa spolupodieľal na vývoji systému KEEP a príprave pilotnej verzie systému, ktorá bola predstavená 20.</w:t>
      </w:r>
      <w:r>
        <w:t>05.</w:t>
      </w:r>
      <w:r w:rsidRPr="0003349E">
        <w:t>2010 v Bruseli.</w:t>
      </w:r>
    </w:p>
    <w:p w:rsidR="00D95ABE" w:rsidRPr="0003349E" w:rsidRDefault="00D95ABE" w:rsidP="007D225F">
      <w:pPr>
        <w:jc w:val="both"/>
      </w:pPr>
    </w:p>
    <w:p w:rsidR="00D95ABE" w:rsidRPr="0003349E" w:rsidRDefault="00D95ABE" w:rsidP="007D225F">
      <w:pPr>
        <w:jc w:val="both"/>
      </w:pPr>
      <w:r w:rsidRPr="0003349E">
        <w:t xml:space="preserve">V sledovanom období </w:t>
      </w:r>
      <w:r w:rsidRPr="0003349E">
        <w:rPr>
          <w:b/>
        </w:rPr>
        <w:t>IP Viedeň</w:t>
      </w:r>
      <w:r w:rsidRPr="0003349E">
        <w:t xml:space="preserve"> pripravoval  a implementoval  aktivity stanovené v ročnom pracovnom pláne 2010 a tiež sa venoval mnohým ad hoc žiadostiam zo strany programov zameraných na oblasť strednej a juhovýchodnej Európy.</w:t>
      </w:r>
    </w:p>
    <w:p w:rsidR="00D95ABE" w:rsidRPr="0003349E" w:rsidRDefault="00D95ABE" w:rsidP="007D225F">
      <w:pPr>
        <w:jc w:val="both"/>
      </w:pPr>
    </w:p>
    <w:p w:rsidR="00D95ABE" w:rsidRPr="0003349E" w:rsidRDefault="00D95ABE" w:rsidP="00A2422F">
      <w:pPr>
        <w:spacing w:after="120"/>
        <w:jc w:val="both"/>
      </w:pPr>
      <w:r w:rsidRPr="0003349E">
        <w:t xml:space="preserve">Prehľad aktivít INTERACT kontaktných bodov v období </w:t>
      </w:r>
      <w:r>
        <w:t>0</w:t>
      </w:r>
      <w:r w:rsidRPr="0003349E">
        <w:t>1.</w:t>
      </w:r>
      <w:r>
        <w:t>0</w:t>
      </w:r>
      <w:r w:rsidRPr="0003349E">
        <w:t>1.2010-30.</w:t>
      </w:r>
      <w:r>
        <w:t>0</w:t>
      </w:r>
      <w:r w:rsidRPr="0003349E">
        <w:t>6.2010:</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
        <w:gridCol w:w="1526"/>
        <w:gridCol w:w="5099"/>
        <w:gridCol w:w="1842"/>
      </w:tblGrid>
      <w:tr w:rsidR="00D95ABE" w:rsidRPr="0003349E" w:rsidTr="006D5187">
        <w:tc>
          <w:tcPr>
            <w:tcW w:w="1526" w:type="dxa"/>
            <w:gridSpan w:val="2"/>
          </w:tcPr>
          <w:p w:rsidR="00D95ABE" w:rsidRPr="0003349E" w:rsidRDefault="00D95ABE" w:rsidP="006D5187">
            <w:pPr>
              <w:jc w:val="center"/>
              <w:rPr>
                <w:b/>
              </w:rPr>
            </w:pPr>
            <w:r w:rsidRPr="0003349E">
              <w:rPr>
                <w:b/>
              </w:rPr>
              <w:t>Dátum</w:t>
            </w:r>
          </w:p>
        </w:tc>
        <w:tc>
          <w:tcPr>
            <w:tcW w:w="5103" w:type="dxa"/>
          </w:tcPr>
          <w:p w:rsidR="00D95ABE" w:rsidRPr="0003349E" w:rsidRDefault="00D95ABE" w:rsidP="006D5187">
            <w:pPr>
              <w:jc w:val="center"/>
              <w:rPr>
                <w:b/>
              </w:rPr>
            </w:pPr>
            <w:r w:rsidRPr="0003349E">
              <w:rPr>
                <w:b/>
              </w:rPr>
              <w:t>Názov (v pôvodnom znení)</w:t>
            </w:r>
          </w:p>
        </w:tc>
        <w:tc>
          <w:tcPr>
            <w:tcW w:w="1843" w:type="dxa"/>
          </w:tcPr>
          <w:p w:rsidR="00D95ABE" w:rsidRPr="0003349E" w:rsidRDefault="00D95ABE" w:rsidP="006D5187">
            <w:pPr>
              <w:jc w:val="center"/>
              <w:rPr>
                <w:b/>
              </w:rPr>
            </w:pPr>
            <w:r w:rsidRPr="0003349E">
              <w:rPr>
                <w:b/>
              </w:rPr>
              <w:t>Miesto konania</w:t>
            </w:r>
          </w:p>
        </w:tc>
      </w:tr>
      <w:tr w:rsidR="00D95ABE" w:rsidRPr="0003349E" w:rsidTr="006D5187">
        <w:tc>
          <w:tcPr>
            <w:tcW w:w="1526" w:type="dxa"/>
            <w:gridSpan w:val="2"/>
            <w:vAlign w:val="center"/>
          </w:tcPr>
          <w:p w:rsidR="00D95ABE" w:rsidRPr="0003349E" w:rsidRDefault="00D95ABE" w:rsidP="006D5187">
            <w:pPr>
              <w:jc w:val="center"/>
            </w:pPr>
            <w:r>
              <w:t>0</w:t>
            </w:r>
            <w:r w:rsidRPr="0003349E">
              <w:t>8.</w:t>
            </w:r>
            <w:r>
              <w:t>0</w:t>
            </w:r>
            <w:r w:rsidRPr="0003349E">
              <w:t>1.2010</w:t>
            </w:r>
          </w:p>
        </w:tc>
        <w:tc>
          <w:tcPr>
            <w:tcW w:w="5103" w:type="dxa"/>
            <w:vAlign w:val="center"/>
          </w:tcPr>
          <w:p w:rsidR="00D95ABE" w:rsidRPr="0003349E" w:rsidRDefault="00D95ABE" w:rsidP="006D5187">
            <w:pPr>
              <w:jc w:val="both"/>
            </w:pPr>
            <w:r w:rsidRPr="0003349E">
              <w:rPr>
                <w:bCs/>
              </w:rPr>
              <w:t>Meeting concerning survey on Attribution of the 10 % and 20 % rules in ETC Programmes</w:t>
            </w:r>
          </w:p>
        </w:tc>
        <w:tc>
          <w:tcPr>
            <w:tcW w:w="1843" w:type="dxa"/>
            <w:vAlign w:val="center"/>
          </w:tcPr>
          <w:p w:rsidR="00D95ABE" w:rsidRPr="0003349E" w:rsidRDefault="00D95ABE" w:rsidP="006D5187">
            <w:pPr>
              <w:jc w:val="center"/>
            </w:pPr>
            <w:r w:rsidRPr="0003349E">
              <w:t>Helsinki</w:t>
            </w:r>
          </w:p>
        </w:tc>
      </w:tr>
      <w:tr w:rsidR="00D95ABE" w:rsidRPr="0003349E" w:rsidTr="006D5187">
        <w:tc>
          <w:tcPr>
            <w:tcW w:w="1526" w:type="dxa"/>
            <w:gridSpan w:val="2"/>
            <w:vAlign w:val="center"/>
          </w:tcPr>
          <w:p w:rsidR="00D95ABE" w:rsidRPr="0003349E" w:rsidRDefault="00D95ABE" w:rsidP="006D5187">
            <w:pPr>
              <w:jc w:val="center"/>
            </w:pPr>
            <w:r w:rsidRPr="0003349E">
              <w:t>20.</w:t>
            </w:r>
            <w:r>
              <w:t>0</w:t>
            </w:r>
            <w:r w:rsidRPr="0003349E">
              <w:t>1.2010</w:t>
            </w:r>
          </w:p>
        </w:tc>
        <w:tc>
          <w:tcPr>
            <w:tcW w:w="5103" w:type="dxa"/>
            <w:vAlign w:val="center"/>
          </w:tcPr>
          <w:p w:rsidR="00D95ABE" w:rsidRPr="0003349E" w:rsidRDefault="00D95ABE" w:rsidP="006D5187">
            <w:pPr>
              <w:jc w:val="both"/>
            </w:pPr>
            <w:r w:rsidRPr="0003349E">
              <w:t>Audit Authorities network Meeting</w:t>
            </w:r>
          </w:p>
        </w:tc>
        <w:tc>
          <w:tcPr>
            <w:tcW w:w="1843" w:type="dxa"/>
            <w:vAlign w:val="center"/>
          </w:tcPr>
          <w:p w:rsidR="00D95ABE" w:rsidRPr="0003349E" w:rsidRDefault="00D95ABE" w:rsidP="006D5187">
            <w:pPr>
              <w:jc w:val="center"/>
            </w:pPr>
            <w:r w:rsidRPr="0003349E">
              <w:t>Štokholm</w:t>
            </w:r>
          </w:p>
        </w:tc>
      </w:tr>
      <w:tr w:rsidR="00D95ABE" w:rsidRPr="0003349E" w:rsidTr="006D5187">
        <w:tc>
          <w:tcPr>
            <w:tcW w:w="1526" w:type="dxa"/>
            <w:gridSpan w:val="2"/>
            <w:vAlign w:val="center"/>
          </w:tcPr>
          <w:p w:rsidR="00D95ABE" w:rsidRPr="0003349E" w:rsidRDefault="00D95ABE" w:rsidP="006D5187">
            <w:pPr>
              <w:jc w:val="center"/>
            </w:pPr>
            <w:r w:rsidRPr="0003349E">
              <w:t>20.</w:t>
            </w:r>
            <w:r>
              <w:t>0</w:t>
            </w:r>
            <w:r w:rsidRPr="0003349E">
              <w:t>1.2010</w:t>
            </w:r>
          </w:p>
        </w:tc>
        <w:tc>
          <w:tcPr>
            <w:tcW w:w="5103" w:type="dxa"/>
            <w:vAlign w:val="center"/>
          </w:tcPr>
          <w:p w:rsidR="00D95ABE" w:rsidRPr="0003349E" w:rsidRDefault="00D95ABE" w:rsidP="006D5187">
            <w:pPr>
              <w:jc w:val="both"/>
            </w:pPr>
            <w:r w:rsidRPr="0003349E">
              <w:t>Kick-off Event Cross-programme Evaluation, INTERACT pilot</w:t>
            </w:r>
          </w:p>
        </w:tc>
        <w:tc>
          <w:tcPr>
            <w:tcW w:w="1843" w:type="dxa"/>
            <w:vAlign w:val="center"/>
          </w:tcPr>
          <w:p w:rsidR="00D95ABE" w:rsidRPr="0003349E" w:rsidRDefault="00D95ABE" w:rsidP="006D5187">
            <w:pPr>
              <w:jc w:val="center"/>
            </w:pPr>
            <w:r w:rsidRPr="0003349E">
              <w:t>Brusel</w:t>
            </w:r>
          </w:p>
        </w:tc>
      </w:tr>
      <w:tr w:rsidR="00D95ABE" w:rsidRPr="0003349E" w:rsidTr="006D5187">
        <w:tc>
          <w:tcPr>
            <w:tcW w:w="1526" w:type="dxa"/>
            <w:gridSpan w:val="2"/>
            <w:vAlign w:val="center"/>
          </w:tcPr>
          <w:p w:rsidR="00D95ABE" w:rsidRPr="0003349E" w:rsidRDefault="00D95ABE" w:rsidP="006D5187">
            <w:pPr>
              <w:jc w:val="center"/>
            </w:pPr>
            <w:r w:rsidRPr="0003349E">
              <w:t>21.</w:t>
            </w:r>
            <w:r>
              <w:t>0</w:t>
            </w:r>
            <w:r w:rsidRPr="0003349E">
              <w:t>1.2010</w:t>
            </w:r>
          </w:p>
        </w:tc>
        <w:tc>
          <w:tcPr>
            <w:tcW w:w="5103" w:type="dxa"/>
            <w:vAlign w:val="center"/>
          </w:tcPr>
          <w:p w:rsidR="00D95ABE" w:rsidRPr="0003349E" w:rsidRDefault="00D95ABE" w:rsidP="006D5187">
            <w:pPr>
              <w:jc w:val="both"/>
            </w:pPr>
            <w:r w:rsidRPr="0003349E">
              <w:t>Measuring the Achievements of ETC programmes</w:t>
            </w:r>
          </w:p>
        </w:tc>
        <w:tc>
          <w:tcPr>
            <w:tcW w:w="1843" w:type="dxa"/>
            <w:vAlign w:val="center"/>
          </w:tcPr>
          <w:p w:rsidR="00D95ABE" w:rsidRPr="0003349E" w:rsidRDefault="00D95ABE" w:rsidP="006D5187">
            <w:pPr>
              <w:jc w:val="center"/>
            </w:pPr>
            <w:r w:rsidRPr="0003349E">
              <w:t>Brusel</w:t>
            </w:r>
          </w:p>
        </w:tc>
      </w:tr>
      <w:tr w:rsidR="00D95ABE" w:rsidRPr="0003349E" w:rsidTr="006D5187">
        <w:tc>
          <w:tcPr>
            <w:tcW w:w="1526" w:type="dxa"/>
            <w:gridSpan w:val="2"/>
            <w:vAlign w:val="center"/>
          </w:tcPr>
          <w:p w:rsidR="00D95ABE" w:rsidRPr="0003349E" w:rsidRDefault="00D95ABE" w:rsidP="006D5187">
            <w:pPr>
              <w:jc w:val="center"/>
            </w:pPr>
            <w:r w:rsidRPr="0003349E">
              <w:t>26.</w:t>
            </w:r>
            <w:r>
              <w:t>0</w:t>
            </w:r>
            <w:r w:rsidRPr="0003349E">
              <w:t>1.2010</w:t>
            </w:r>
          </w:p>
        </w:tc>
        <w:tc>
          <w:tcPr>
            <w:tcW w:w="5103" w:type="dxa"/>
            <w:vAlign w:val="center"/>
          </w:tcPr>
          <w:p w:rsidR="00D95ABE" w:rsidRPr="0003349E" w:rsidRDefault="00D95ABE" w:rsidP="006D5187">
            <w:pPr>
              <w:jc w:val="both"/>
            </w:pPr>
            <w:r w:rsidRPr="0003349E">
              <w:t>FLC Advisory Finland</w:t>
            </w:r>
          </w:p>
        </w:tc>
        <w:tc>
          <w:tcPr>
            <w:tcW w:w="1843" w:type="dxa"/>
            <w:vAlign w:val="center"/>
          </w:tcPr>
          <w:p w:rsidR="00D95ABE" w:rsidRPr="0003349E" w:rsidRDefault="00D95ABE" w:rsidP="006D5187">
            <w:pPr>
              <w:jc w:val="center"/>
            </w:pPr>
            <w:r w:rsidRPr="0003349E">
              <w:t>Helsinki</w:t>
            </w:r>
          </w:p>
        </w:tc>
      </w:tr>
      <w:tr w:rsidR="00D95ABE" w:rsidRPr="0003349E" w:rsidTr="006D5187">
        <w:tc>
          <w:tcPr>
            <w:tcW w:w="1526" w:type="dxa"/>
            <w:gridSpan w:val="2"/>
            <w:vAlign w:val="center"/>
          </w:tcPr>
          <w:p w:rsidR="00D95ABE" w:rsidRPr="0003349E" w:rsidRDefault="00D95ABE" w:rsidP="006D5187">
            <w:pPr>
              <w:jc w:val="center"/>
            </w:pPr>
            <w:r w:rsidRPr="0003349E">
              <w:t>28.</w:t>
            </w:r>
            <w:r>
              <w:t>0</w:t>
            </w:r>
            <w:r w:rsidRPr="0003349E">
              <w:t>1.2010</w:t>
            </w:r>
          </w:p>
        </w:tc>
        <w:tc>
          <w:tcPr>
            <w:tcW w:w="5103" w:type="dxa"/>
            <w:vAlign w:val="center"/>
          </w:tcPr>
          <w:p w:rsidR="00D95ABE" w:rsidRPr="0003349E" w:rsidRDefault="00D95ABE" w:rsidP="006D5187">
            <w:pPr>
              <w:jc w:val="both"/>
            </w:pPr>
            <w:r w:rsidRPr="0003349E">
              <w:t>Decommitment and N+2/N+3 Rule in ETC Programmes</w:t>
            </w:r>
          </w:p>
        </w:tc>
        <w:tc>
          <w:tcPr>
            <w:tcW w:w="1843" w:type="dxa"/>
            <w:vAlign w:val="center"/>
          </w:tcPr>
          <w:p w:rsidR="00D95ABE" w:rsidRPr="0003349E" w:rsidRDefault="00D95ABE" w:rsidP="006D5187">
            <w:pPr>
              <w:jc w:val="center"/>
            </w:pPr>
            <w:r w:rsidRPr="0003349E">
              <w:t>Porto</w:t>
            </w:r>
          </w:p>
        </w:tc>
      </w:tr>
      <w:tr w:rsidR="00D95ABE" w:rsidRPr="0003349E" w:rsidTr="006D5187">
        <w:tc>
          <w:tcPr>
            <w:tcW w:w="1526" w:type="dxa"/>
            <w:gridSpan w:val="2"/>
            <w:vAlign w:val="center"/>
          </w:tcPr>
          <w:p w:rsidR="00D95ABE" w:rsidRPr="0003349E" w:rsidRDefault="00D95ABE" w:rsidP="006D5187">
            <w:r w:rsidRPr="0003349E">
              <w:t xml:space="preserve">     29.</w:t>
            </w:r>
            <w:r>
              <w:t>0</w:t>
            </w:r>
            <w:r w:rsidRPr="0003349E">
              <w:t xml:space="preserve">1.2010  </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Meeting concerning survey on 'SME involvement in ETC programmes operative in North-East Europe, </w:t>
            </w:r>
          </w:p>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during the period of 2007-2013</w:t>
            </w:r>
          </w:p>
        </w:tc>
        <w:tc>
          <w:tcPr>
            <w:tcW w:w="1843" w:type="dxa"/>
            <w:vAlign w:val="center"/>
          </w:tcPr>
          <w:p w:rsidR="00D95ABE" w:rsidRPr="0003349E" w:rsidRDefault="00D95ABE" w:rsidP="006D5187">
            <w:pPr>
              <w:jc w:val="center"/>
            </w:pPr>
            <w:r w:rsidRPr="0003349E">
              <w:t>Turku</w:t>
            </w:r>
          </w:p>
        </w:tc>
      </w:tr>
      <w:tr w:rsidR="00D95ABE" w:rsidRPr="0003349E" w:rsidTr="006D5187">
        <w:tc>
          <w:tcPr>
            <w:tcW w:w="1526" w:type="dxa"/>
            <w:gridSpan w:val="2"/>
            <w:vAlign w:val="center"/>
          </w:tcPr>
          <w:p w:rsidR="00D95ABE" w:rsidRPr="0003349E" w:rsidRDefault="00D95ABE" w:rsidP="006D5187">
            <w:pPr>
              <w:jc w:val="center"/>
            </w:pPr>
            <w:r>
              <w:t>0</w:t>
            </w:r>
            <w:r w:rsidRPr="0003349E">
              <w:t>1.</w:t>
            </w:r>
            <w:r>
              <w:t>0</w:t>
            </w:r>
            <w:r w:rsidRPr="0003349E">
              <w:t>2.2010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Advisory Central Europe Programme - Project Development </w:t>
            </w:r>
          </w:p>
        </w:tc>
        <w:tc>
          <w:tcPr>
            <w:tcW w:w="1843" w:type="dxa"/>
            <w:vAlign w:val="center"/>
          </w:tcPr>
          <w:p w:rsidR="00D95ABE" w:rsidRPr="0003349E" w:rsidRDefault="00D95ABE" w:rsidP="006D5187">
            <w:pPr>
              <w:jc w:val="center"/>
            </w:pPr>
            <w:r w:rsidRPr="0003349E">
              <w:t>Prague</w:t>
            </w:r>
          </w:p>
        </w:tc>
      </w:tr>
      <w:tr w:rsidR="00D95ABE" w:rsidRPr="0003349E" w:rsidTr="006D5187">
        <w:tc>
          <w:tcPr>
            <w:tcW w:w="1526" w:type="dxa"/>
            <w:gridSpan w:val="2"/>
            <w:vAlign w:val="center"/>
          </w:tcPr>
          <w:p w:rsidR="00D95ABE" w:rsidRPr="0003349E" w:rsidRDefault="00D95ABE" w:rsidP="006D5187">
            <w:pPr>
              <w:jc w:val="center"/>
            </w:pPr>
            <w:r>
              <w:t>0</w:t>
            </w:r>
            <w:r w:rsidRPr="0003349E">
              <w:t>1.-</w:t>
            </w:r>
            <w:r>
              <w:t>0</w:t>
            </w:r>
            <w:r w:rsidRPr="0003349E">
              <w:t>2.</w:t>
            </w:r>
            <w:r>
              <w:t>0</w:t>
            </w:r>
            <w:r w:rsidRPr="0003349E">
              <w:t>2.2010</w:t>
            </w:r>
          </w:p>
        </w:tc>
        <w:tc>
          <w:tcPr>
            <w:tcW w:w="5103" w:type="dxa"/>
            <w:vAlign w:val="center"/>
          </w:tcPr>
          <w:p w:rsidR="00D95ABE" w:rsidRPr="0003349E" w:rsidRDefault="00D95ABE" w:rsidP="006D5187">
            <w:pPr>
              <w:jc w:val="both"/>
            </w:pPr>
            <w:r w:rsidRPr="0003349E">
              <w:rPr>
                <w:rFonts w:cs="Trebuchet MS"/>
                <w:lang w:val="en-US"/>
              </w:rPr>
              <w:t>Participation in the First EU Conference on the Danube Region Strategy</w:t>
            </w:r>
          </w:p>
        </w:tc>
        <w:tc>
          <w:tcPr>
            <w:tcW w:w="1843" w:type="dxa"/>
            <w:vAlign w:val="center"/>
          </w:tcPr>
          <w:p w:rsidR="00D95ABE" w:rsidRPr="0003349E" w:rsidRDefault="00D95ABE" w:rsidP="006D5187">
            <w:pPr>
              <w:jc w:val="center"/>
            </w:pPr>
            <w:r w:rsidRPr="0003349E">
              <w:t>Ulm</w:t>
            </w:r>
          </w:p>
        </w:tc>
      </w:tr>
      <w:tr w:rsidR="00D95ABE" w:rsidRPr="0003349E" w:rsidTr="006D5187">
        <w:tc>
          <w:tcPr>
            <w:tcW w:w="1526" w:type="dxa"/>
            <w:gridSpan w:val="2"/>
            <w:vAlign w:val="center"/>
          </w:tcPr>
          <w:p w:rsidR="00D95ABE" w:rsidRPr="0003349E" w:rsidRDefault="00D95ABE" w:rsidP="006D5187">
            <w:pPr>
              <w:jc w:val="center"/>
            </w:pPr>
            <w:r>
              <w:t>0</w:t>
            </w:r>
            <w:r w:rsidRPr="0003349E">
              <w:t>2.</w:t>
            </w:r>
            <w:r>
              <w:t>0</w:t>
            </w:r>
            <w:r w:rsidRPr="0003349E">
              <w:t>2.2010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Support to EUSBSR - LAB Group meeting </w:t>
            </w:r>
          </w:p>
        </w:tc>
        <w:tc>
          <w:tcPr>
            <w:tcW w:w="1843" w:type="dxa"/>
            <w:vAlign w:val="center"/>
          </w:tcPr>
          <w:p w:rsidR="00D95ABE" w:rsidRPr="0003349E" w:rsidRDefault="00D95ABE" w:rsidP="006D5187">
            <w:pPr>
              <w:jc w:val="center"/>
            </w:pPr>
            <w:r w:rsidRPr="0003349E">
              <w:t>Helsinki</w:t>
            </w:r>
          </w:p>
        </w:tc>
      </w:tr>
      <w:tr w:rsidR="00D95ABE" w:rsidRPr="0003349E" w:rsidTr="006D5187">
        <w:tc>
          <w:tcPr>
            <w:tcW w:w="1526" w:type="dxa"/>
            <w:gridSpan w:val="2"/>
            <w:vAlign w:val="center"/>
          </w:tcPr>
          <w:p w:rsidR="00D95ABE" w:rsidRPr="0003349E" w:rsidRDefault="00D95ABE" w:rsidP="006D5187">
            <w:pPr>
              <w:jc w:val="center"/>
            </w:pPr>
            <w:r>
              <w:t>0</w:t>
            </w:r>
            <w:r w:rsidRPr="0003349E">
              <w:t>3.-</w:t>
            </w:r>
            <w:r>
              <w:t>0</w:t>
            </w:r>
            <w:r w:rsidRPr="0003349E">
              <w:t>4.</w:t>
            </w:r>
            <w:r>
              <w:t>0</w:t>
            </w:r>
            <w:r w:rsidRPr="0003349E">
              <w:t>2.2010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Strategic approach to projects in European Territorial Cooperation </w:t>
            </w:r>
          </w:p>
        </w:tc>
        <w:tc>
          <w:tcPr>
            <w:tcW w:w="1843" w:type="dxa"/>
            <w:vAlign w:val="center"/>
          </w:tcPr>
          <w:p w:rsidR="00D95ABE" w:rsidRPr="0003349E" w:rsidRDefault="00D95ABE" w:rsidP="006D5187">
            <w:pPr>
              <w:jc w:val="center"/>
            </w:pPr>
            <w:r w:rsidRPr="0003349E">
              <w:t>Brusel</w:t>
            </w:r>
          </w:p>
        </w:tc>
      </w:tr>
      <w:tr w:rsidR="00D95ABE" w:rsidRPr="0003349E" w:rsidTr="006D5187">
        <w:tc>
          <w:tcPr>
            <w:tcW w:w="1526" w:type="dxa"/>
            <w:gridSpan w:val="2"/>
            <w:vAlign w:val="center"/>
          </w:tcPr>
          <w:p w:rsidR="00D95ABE" w:rsidRPr="0003349E" w:rsidRDefault="00D95ABE" w:rsidP="006D5187">
            <w:pPr>
              <w:jc w:val="center"/>
            </w:pPr>
            <w:r>
              <w:t>0</w:t>
            </w:r>
            <w:r w:rsidRPr="0003349E">
              <w:t>4.-</w:t>
            </w:r>
            <w:r>
              <w:t>0</w:t>
            </w:r>
            <w:r w:rsidRPr="0003349E">
              <w:t>5.</w:t>
            </w:r>
            <w:r>
              <w:t>0</w:t>
            </w:r>
            <w:r w:rsidRPr="0003349E">
              <w:t>2.2010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Transnational Territorial Cooperation programmes Finance Panel </w:t>
            </w:r>
          </w:p>
        </w:tc>
        <w:tc>
          <w:tcPr>
            <w:tcW w:w="1843" w:type="dxa"/>
            <w:vAlign w:val="center"/>
          </w:tcPr>
          <w:p w:rsidR="00D95ABE" w:rsidRPr="0003349E" w:rsidRDefault="00D95ABE" w:rsidP="006D5187">
            <w:pPr>
              <w:jc w:val="center"/>
              <w:rPr>
                <w:lang w:val="cs-CZ"/>
              </w:rPr>
            </w:pPr>
            <w:r w:rsidRPr="0003349E">
              <w:rPr>
                <w:lang w:val="cs-CZ"/>
              </w:rPr>
              <w:t>Paríž</w:t>
            </w:r>
          </w:p>
        </w:tc>
      </w:tr>
      <w:tr w:rsidR="00D95ABE" w:rsidRPr="0003349E" w:rsidTr="006D5187">
        <w:tc>
          <w:tcPr>
            <w:tcW w:w="1526" w:type="dxa"/>
            <w:gridSpan w:val="2"/>
            <w:vAlign w:val="center"/>
          </w:tcPr>
          <w:p w:rsidR="00D95ABE" w:rsidRPr="0003349E" w:rsidRDefault="00D95ABE" w:rsidP="006D5187">
            <w:pPr>
              <w:jc w:val="center"/>
            </w:pPr>
            <w:r w:rsidRPr="0003349E">
              <w:t>16.</w:t>
            </w:r>
            <w:r>
              <w:t>0</w:t>
            </w:r>
            <w:r w:rsidRPr="0003349E">
              <w:t>2.2010</w:t>
            </w:r>
          </w:p>
        </w:tc>
        <w:tc>
          <w:tcPr>
            <w:tcW w:w="5103" w:type="dxa"/>
            <w:vAlign w:val="center"/>
          </w:tcPr>
          <w:p w:rsidR="00D95ABE" w:rsidRPr="0003349E" w:rsidRDefault="00D95ABE" w:rsidP="006D5187">
            <w:pPr>
              <w:jc w:val="both"/>
              <w:rPr>
                <w:lang w:val="en-GB"/>
              </w:rPr>
            </w:pPr>
            <w:r w:rsidRPr="0003349E">
              <w:rPr>
                <w:rFonts w:cs="Trebuchet MS"/>
                <w:lang w:val="en-US"/>
              </w:rPr>
              <w:t>Communication Managers Network</w:t>
            </w:r>
          </w:p>
        </w:tc>
        <w:tc>
          <w:tcPr>
            <w:tcW w:w="1843" w:type="dxa"/>
            <w:vAlign w:val="center"/>
          </w:tcPr>
          <w:p w:rsidR="00D95ABE" w:rsidRPr="0003349E" w:rsidRDefault="00D95ABE" w:rsidP="006D5187">
            <w:pPr>
              <w:jc w:val="center"/>
              <w:rPr>
                <w:lang w:val="cs-CZ"/>
              </w:rPr>
            </w:pPr>
            <w:r w:rsidRPr="0003349E">
              <w:t>Koda</w:t>
            </w:r>
            <w:r w:rsidRPr="0003349E">
              <w:rPr>
                <w:lang w:val="cs-CZ"/>
              </w:rPr>
              <w:t>ň</w:t>
            </w:r>
          </w:p>
        </w:tc>
      </w:tr>
      <w:tr w:rsidR="00D95ABE" w:rsidRPr="0003349E" w:rsidTr="006D5187">
        <w:tc>
          <w:tcPr>
            <w:tcW w:w="1526" w:type="dxa"/>
            <w:gridSpan w:val="2"/>
            <w:vAlign w:val="center"/>
          </w:tcPr>
          <w:p w:rsidR="00D95ABE" w:rsidRPr="0003349E" w:rsidRDefault="00D95ABE" w:rsidP="006D5187">
            <w:pPr>
              <w:jc w:val="center"/>
            </w:pPr>
            <w:r w:rsidRPr="0003349E">
              <w:t>18.</w:t>
            </w:r>
            <w:r>
              <w:t>0</w:t>
            </w:r>
            <w:r w:rsidRPr="0003349E">
              <w:t>2.2010</w:t>
            </w:r>
          </w:p>
        </w:tc>
        <w:tc>
          <w:tcPr>
            <w:tcW w:w="5103" w:type="dxa"/>
            <w:vAlign w:val="center"/>
          </w:tcPr>
          <w:p w:rsidR="00D95ABE" w:rsidRPr="0003349E" w:rsidRDefault="00D95ABE" w:rsidP="006D5187">
            <w:pPr>
              <w:jc w:val="both"/>
              <w:rPr>
                <w:lang w:val="en-GB"/>
              </w:rPr>
            </w:pPr>
            <w:r w:rsidRPr="0003349E">
              <w:rPr>
                <w:rFonts w:cs="Trebuchet MS"/>
                <w:lang w:val="en-US"/>
              </w:rPr>
              <w:t>State Aid Seminar</w:t>
            </w:r>
          </w:p>
        </w:tc>
        <w:tc>
          <w:tcPr>
            <w:tcW w:w="1843" w:type="dxa"/>
            <w:vAlign w:val="center"/>
          </w:tcPr>
          <w:p w:rsidR="00D95ABE" w:rsidRPr="0003349E" w:rsidRDefault="00D95ABE" w:rsidP="006D5187">
            <w:pPr>
              <w:jc w:val="center"/>
            </w:pPr>
            <w:r w:rsidRPr="0003349E">
              <w:t>Koda</w:t>
            </w:r>
            <w:r w:rsidRPr="0003349E">
              <w:rPr>
                <w:lang w:val="cs-CZ"/>
              </w:rPr>
              <w:t>ň</w:t>
            </w:r>
          </w:p>
        </w:tc>
      </w:tr>
      <w:tr w:rsidR="00D95ABE" w:rsidRPr="0003349E" w:rsidTr="006D5187">
        <w:tc>
          <w:tcPr>
            <w:tcW w:w="1526" w:type="dxa"/>
            <w:gridSpan w:val="2"/>
            <w:vAlign w:val="center"/>
          </w:tcPr>
          <w:p w:rsidR="00D95ABE" w:rsidRPr="0003349E" w:rsidRDefault="00D95ABE" w:rsidP="006D5187">
            <w:pPr>
              <w:jc w:val="center"/>
            </w:pPr>
            <w:r w:rsidRPr="0003349E">
              <w:t>18.-19.</w:t>
            </w:r>
            <w:r>
              <w:t>0</w:t>
            </w:r>
            <w:r w:rsidRPr="0003349E">
              <w:t>2.2010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Seminar on project assessment (with IP Turku and Viborg)</w:t>
            </w:r>
          </w:p>
        </w:tc>
        <w:tc>
          <w:tcPr>
            <w:tcW w:w="1843" w:type="dxa"/>
            <w:vAlign w:val="center"/>
          </w:tcPr>
          <w:p w:rsidR="00D95ABE" w:rsidRPr="0003349E" w:rsidRDefault="00D95ABE" w:rsidP="006D5187">
            <w:pPr>
              <w:jc w:val="center"/>
              <w:rPr>
                <w:lang w:val="cs-CZ"/>
              </w:rPr>
            </w:pPr>
            <w:r w:rsidRPr="0003349E">
              <w:t>Ben</w:t>
            </w:r>
            <w:r w:rsidRPr="0003349E">
              <w:rPr>
                <w:lang w:val="cs-CZ"/>
              </w:rPr>
              <w:t>átky</w:t>
            </w:r>
          </w:p>
        </w:tc>
      </w:tr>
      <w:tr w:rsidR="00D95ABE" w:rsidRPr="0003349E" w:rsidTr="006D5187">
        <w:tc>
          <w:tcPr>
            <w:tcW w:w="1526" w:type="dxa"/>
            <w:gridSpan w:val="2"/>
            <w:vAlign w:val="center"/>
          </w:tcPr>
          <w:p w:rsidR="00D95ABE" w:rsidRPr="0003349E" w:rsidRDefault="00D95ABE" w:rsidP="006D5187">
            <w:pPr>
              <w:jc w:val="center"/>
            </w:pPr>
            <w:r w:rsidRPr="0003349E">
              <w:t>23.</w:t>
            </w:r>
            <w:r>
              <w:t>0</w:t>
            </w:r>
            <w:r w:rsidRPr="0003349E">
              <w:t>2.2010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Public procurement in IPA CBC Programmes in shared management </w:t>
            </w:r>
          </w:p>
        </w:tc>
        <w:tc>
          <w:tcPr>
            <w:tcW w:w="1843" w:type="dxa"/>
            <w:vAlign w:val="center"/>
          </w:tcPr>
          <w:p w:rsidR="00D95ABE" w:rsidRPr="0003349E" w:rsidRDefault="00D95ABE" w:rsidP="006D5187">
            <w:pPr>
              <w:jc w:val="center"/>
            </w:pPr>
            <w:r w:rsidRPr="0003349E">
              <w:t>Bologna</w:t>
            </w:r>
          </w:p>
        </w:tc>
      </w:tr>
      <w:tr w:rsidR="00D95ABE" w:rsidRPr="0003349E" w:rsidTr="006D5187">
        <w:tc>
          <w:tcPr>
            <w:tcW w:w="1526" w:type="dxa"/>
            <w:gridSpan w:val="2"/>
            <w:vAlign w:val="center"/>
          </w:tcPr>
          <w:p w:rsidR="00D95ABE" w:rsidRPr="0003349E" w:rsidRDefault="00D95ABE" w:rsidP="006D5187">
            <w:pPr>
              <w:jc w:val="center"/>
            </w:pPr>
            <w:r w:rsidRPr="0003349E">
              <w:t>25.</w:t>
            </w:r>
            <w:r>
              <w:t>0</w:t>
            </w:r>
            <w:r w:rsidRPr="0003349E">
              <w:t>2.2010</w:t>
            </w:r>
          </w:p>
        </w:tc>
        <w:tc>
          <w:tcPr>
            <w:tcW w:w="5103" w:type="dxa"/>
            <w:vAlign w:val="center"/>
          </w:tcPr>
          <w:p w:rsidR="00D95ABE" w:rsidRPr="0003349E" w:rsidRDefault="00D95ABE" w:rsidP="006D5187">
            <w:pPr>
              <w:jc w:val="both"/>
              <w:rPr>
                <w:lang w:val="en-GB"/>
              </w:rPr>
            </w:pPr>
            <w:r w:rsidRPr="0003349E">
              <w:rPr>
                <w:rFonts w:cs="Trebuchet MS"/>
                <w:lang w:val="en-US"/>
              </w:rPr>
              <w:t>Mediterranean Lab Group</w:t>
            </w:r>
          </w:p>
        </w:tc>
        <w:tc>
          <w:tcPr>
            <w:tcW w:w="1843" w:type="dxa"/>
            <w:vAlign w:val="center"/>
          </w:tcPr>
          <w:p w:rsidR="00D95ABE" w:rsidRPr="0003349E" w:rsidRDefault="00D95ABE" w:rsidP="006D5187">
            <w:pPr>
              <w:jc w:val="center"/>
            </w:pPr>
            <w:r w:rsidRPr="0003349E">
              <w:t>Barcelona</w:t>
            </w:r>
          </w:p>
        </w:tc>
      </w:tr>
      <w:tr w:rsidR="00D95ABE" w:rsidRPr="0003349E" w:rsidTr="006D5187">
        <w:tc>
          <w:tcPr>
            <w:tcW w:w="1526" w:type="dxa"/>
            <w:gridSpan w:val="2"/>
            <w:vAlign w:val="center"/>
          </w:tcPr>
          <w:p w:rsidR="00D95ABE" w:rsidRPr="0003349E" w:rsidRDefault="00D95ABE" w:rsidP="006D5187">
            <w:pPr>
              <w:jc w:val="center"/>
            </w:pPr>
            <w:r w:rsidRPr="0003349E">
              <w:t>25.-26.</w:t>
            </w:r>
            <w:r>
              <w:t>0</w:t>
            </w:r>
            <w:r w:rsidRPr="0003349E">
              <w:t>2.2010</w:t>
            </w:r>
          </w:p>
        </w:tc>
        <w:tc>
          <w:tcPr>
            <w:tcW w:w="5103" w:type="dxa"/>
            <w:vAlign w:val="center"/>
          </w:tcPr>
          <w:p w:rsidR="00D95ABE" w:rsidRPr="0003349E" w:rsidRDefault="00D95ABE" w:rsidP="006D5187">
            <w:pPr>
              <w:jc w:val="both"/>
            </w:pPr>
            <w:r w:rsidRPr="0003349E">
              <w:rPr>
                <w:rFonts w:cs="Trebuchet MS"/>
                <w:lang w:val="en-US"/>
              </w:rPr>
              <w:t>Participation in the 2nd EU Conference on the Danube Region Strategy</w:t>
            </w:r>
          </w:p>
        </w:tc>
        <w:tc>
          <w:tcPr>
            <w:tcW w:w="1843" w:type="dxa"/>
            <w:vAlign w:val="center"/>
          </w:tcPr>
          <w:p w:rsidR="00D95ABE" w:rsidRPr="0003349E" w:rsidRDefault="00D95ABE" w:rsidP="006D5187">
            <w:pPr>
              <w:jc w:val="center"/>
              <w:rPr>
                <w:lang w:val="cs-CZ"/>
              </w:rPr>
            </w:pPr>
            <w:r w:rsidRPr="0003349E">
              <w:rPr>
                <w:lang w:val="cs-CZ"/>
              </w:rPr>
              <w:t>Budapešť</w:t>
            </w:r>
          </w:p>
        </w:tc>
      </w:tr>
      <w:tr w:rsidR="00D95ABE" w:rsidRPr="0003349E" w:rsidTr="006D5187">
        <w:tc>
          <w:tcPr>
            <w:tcW w:w="1526" w:type="dxa"/>
            <w:gridSpan w:val="2"/>
            <w:vAlign w:val="center"/>
          </w:tcPr>
          <w:p w:rsidR="00D95ABE" w:rsidRPr="0003349E" w:rsidRDefault="00D95ABE" w:rsidP="006D5187">
            <w:pPr>
              <w:jc w:val="center"/>
            </w:pPr>
            <w:r>
              <w:t>0</w:t>
            </w:r>
            <w:r w:rsidRPr="0003349E">
              <w:t>4.</w:t>
            </w:r>
            <w:r>
              <w:t>0</w:t>
            </w:r>
            <w:r w:rsidRPr="0003349E">
              <w:t>3.2010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2nd Meeting of INTERACT Point Valencia Zone First Level Control Network </w:t>
            </w:r>
          </w:p>
        </w:tc>
        <w:tc>
          <w:tcPr>
            <w:tcW w:w="1843" w:type="dxa"/>
            <w:vAlign w:val="center"/>
          </w:tcPr>
          <w:p w:rsidR="00D95ABE" w:rsidRPr="0003349E" w:rsidRDefault="00D95ABE" w:rsidP="006D5187">
            <w:pPr>
              <w:jc w:val="center"/>
            </w:pPr>
            <w:r w:rsidRPr="0003349E">
              <w:t>Madrid</w:t>
            </w:r>
          </w:p>
        </w:tc>
      </w:tr>
      <w:tr w:rsidR="00D95ABE" w:rsidRPr="0003349E" w:rsidTr="006D5187">
        <w:tc>
          <w:tcPr>
            <w:tcW w:w="1526" w:type="dxa"/>
            <w:gridSpan w:val="2"/>
            <w:vAlign w:val="center"/>
          </w:tcPr>
          <w:p w:rsidR="00D95ABE" w:rsidRPr="0003349E" w:rsidRDefault="00D95ABE" w:rsidP="006D5187">
            <w:pPr>
              <w:jc w:val="center"/>
            </w:pPr>
            <w:r>
              <w:t>0</w:t>
            </w:r>
            <w:r w:rsidRPr="0003349E">
              <w:t>4.-</w:t>
            </w:r>
            <w:r>
              <w:t>0</w:t>
            </w:r>
            <w:r w:rsidRPr="0003349E">
              <w:t>5.</w:t>
            </w:r>
            <w:r>
              <w:t>0</w:t>
            </w:r>
            <w:r w:rsidRPr="0003349E">
              <w:t>3.2010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IP Viborg CBC zone finance network event </w:t>
            </w:r>
          </w:p>
        </w:tc>
        <w:tc>
          <w:tcPr>
            <w:tcW w:w="1843" w:type="dxa"/>
            <w:vAlign w:val="center"/>
          </w:tcPr>
          <w:p w:rsidR="00D95ABE" w:rsidRPr="0003349E" w:rsidRDefault="00D95ABE" w:rsidP="006D5187">
            <w:pPr>
              <w:jc w:val="center"/>
            </w:pPr>
            <w:r w:rsidRPr="0003349E">
              <w:t>Štrasburg</w:t>
            </w:r>
          </w:p>
        </w:tc>
      </w:tr>
      <w:tr w:rsidR="00D95ABE" w:rsidRPr="0003349E" w:rsidTr="006D5187">
        <w:tc>
          <w:tcPr>
            <w:tcW w:w="1526" w:type="dxa"/>
            <w:gridSpan w:val="2"/>
            <w:vAlign w:val="center"/>
          </w:tcPr>
          <w:p w:rsidR="00D95ABE" w:rsidRPr="0003349E" w:rsidRDefault="00D95ABE" w:rsidP="006D5187">
            <w:pPr>
              <w:jc w:val="center"/>
            </w:pPr>
            <w:r>
              <w:t>0</w:t>
            </w:r>
            <w:r w:rsidRPr="0003349E">
              <w:t>5.</w:t>
            </w:r>
            <w:r>
              <w:t>0</w:t>
            </w:r>
            <w:r w:rsidRPr="0003349E">
              <w:t>3.2010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Controles del Artículo 13 (Reg. 1828/2006) en la Cooperación Territorial </w:t>
            </w:r>
          </w:p>
        </w:tc>
        <w:tc>
          <w:tcPr>
            <w:tcW w:w="1843" w:type="dxa"/>
            <w:vAlign w:val="center"/>
          </w:tcPr>
          <w:p w:rsidR="00D95ABE" w:rsidRPr="0003349E" w:rsidRDefault="00D95ABE" w:rsidP="006D5187">
            <w:pPr>
              <w:jc w:val="center"/>
            </w:pPr>
            <w:r w:rsidRPr="0003349E">
              <w:t>Madrid</w:t>
            </w:r>
          </w:p>
        </w:tc>
      </w:tr>
      <w:tr w:rsidR="00D95ABE" w:rsidRPr="0003349E" w:rsidTr="006D5187">
        <w:tc>
          <w:tcPr>
            <w:tcW w:w="1526" w:type="dxa"/>
            <w:gridSpan w:val="2"/>
            <w:vAlign w:val="center"/>
          </w:tcPr>
          <w:p w:rsidR="00D95ABE" w:rsidRPr="0003349E" w:rsidRDefault="00D95ABE" w:rsidP="006D5187">
            <w:pPr>
              <w:jc w:val="center"/>
            </w:pPr>
            <w:r w:rsidRPr="0003349E">
              <w:t>11.</w:t>
            </w:r>
            <w:r>
              <w:t>0</w:t>
            </w:r>
            <w:r w:rsidRPr="0003349E">
              <w:t>3.2010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1 st Working Meeting of EUSBSR   </w:t>
            </w:r>
          </w:p>
        </w:tc>
        <w:tc>
          <w:tcPr>
            <w:tcW w:w="1843" w:type="dxa"/>
            <w:vAlign w:val="center"/>
          </w:tcPr>
          <w:p w:rsidR="00D95ABE" w:rsidRPr="0003349E" w:rsidRDefault="00D95ABE" w:rsidP="006D5187">
            <w:pPr>
              <w:jc w:val="center"/>
            </w:pPr>
            <w:r w:rsidRPr="0003349E">
              <w:t>Riga</w:t>
            </w:r>
          </w:p>
        </w:tc>
      </w:tr>
      <w:tr w:rsidR="00D95ABE" w:rsidRPr="0003349E" w:rsidTr="006D5187">
        <w:tc>
          <w:tcPr>
            <w:tcW w:w="1526" w:type="dxa"/>
            <w:gridSpan w:val="2"/>
            <w:vAlign w:val="center"/>
          </w:tcPr>
          <w:p w:rsidR="00D95ABE" w:rsidRPr="0003349E" w:rsidRDefault="00D95ABE" w:rsidP="006D5187">
            <w:pPr>
              <w:jc w:val="center"/>
            </w:pPr>
            <w:r w:rsidRPr="0003349E">
              <w:t>12.</w:t>
            </w:r>
            <w:r>
              <w:t>0</w:t>
            </w:r>
            <w:r w:rsidRPr="0003349E">
              <w:t>3.2010</w:t>
            </w:r>
          </w:p>
        </w:tc>
        <w:tc>
          <w:tcPr>
            <w:tcW w:w="5103" w:type="dxa"/>
            <w:vAlign w:val="center"/>
          </w:tcPr>
          <w:p w:rsidR="00D95ABE" w:rsidRDefault="00D95ABE" w:rsidP="006D5187">
            <w:pPr>
              <w:jc w:val="both"/>
              <w:rPr>
                <w:rFonts w:cs="Trebuchet MS"/>
                <w:lang w:val="en-US"/>
              </w:rPr>
            </w:pPr>
            <w:r w:rsidRPr="0003349E">
              <w:rPr>
                <w:rFonts w:cs="Trebuchet MS"/>
                <w:lang w:val="en-US"/>
              </w:rPr>
              <w:t>Support to EUSBSR - LAB Group meeting</w:t>
            </w:r>
          </w:p>
          <w:p w:rsidR="00D95ABE" w:rsidRPr="0003349E" w:rsidRDefault="00D95ABE" w:rsidP="006D5187">
            <w:pPr>
              <w:jc w:val="both"/>
              <w:rPr>
                <w:lang w:val="en-GB"/>
              </w:rPr>
            </w:pPr>
          </w:p>
        </w:tc>
        <w:tc>
          <w:tcPr>
            <w:tcW w:w="1843" w:type="dxa"/>
            <w:vAlign w:val="center"/>
          </w:tcPr>
          <w:p w:rsidR="00D95ABE" w:rsidRPr="0003349E" w:rsidRDefault="00D95ABE" w:rsidP="006D5187">
            <w:pPr>
              <w:jc w:val="center"/>
            </w:pPr>
            <w:r w:rsidRPr="0003349E">
              <w:t>Riga</w:t>
            </w:r>
          </w:p>
        </w:tc>
      </w:tr>
      <w:tr w:rsidR="00D95ABE" w:rsidRPr="0003349E" w:rsidTr="006D5187">
        <w:tc>
          <w:tcPr>
            <w:tcW w:w="1526" w:type="dxa"/>
            <w:gridSpan w:val="2"/>
            <w:vAlign w:val="center"/>
          </w:tcPr>
          <w:p w:rsidR="00D95ABE" w:rsidRPr="0003349E" w:rsidRDefault="00D95ABE" w:rsidP="006D5187">
            <w:pPr>
              <w:jc w:val="center"/>
            </w:pPr>
            <w:r w:rsidRPr="0003349E">
              <w:t>11.-12.</w:t>
            </w:r>
            <w:r>
              <w:t>0</w:t>
            </w:r>
            <w:r w:rsidRPr="0003349E">
              <w:t>3.2010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1st workshop on European Territorial Cooperation beyond 2013, management and control (with IP </w:t>
            </w:r>
          </w:p>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Viborg) </w:t>
            </w:r>
          </w:p>
        </w:tc>
        <w:tc>
          <w:tcPr>
            <w:tcW w:w="1843" w:type="dxa"/>
            <w:vAlign w:val="center"/>
          </w:tcPr>
          <w:p w:rsidR="00D95ABE" w:rsidRPr="0003349E" w:rsidRDefault="00D95ABE" w:rsidP="006D5187">
            <w:pPr>
              <w:jc w:val="center"/>
            </w:pPr>
            <w:r w:rsidRPr="0003349E">
              <w:t>Brusel</w:t>
            </w:r>
          </w:p>
        </w:tc>
      </w:tr>
      <w:tr w:rsidR="00D95ABE" w:rsidRPr="0003349E" w:rsidTr="006D5187">
        <w:tc>
          <w:tcPr>
            <w:tcW w:w="1526" w:type="dxa"/>
            <w:gridSpan w:val="2"/>
            <w:vAlign w:val="center"/>
          </w:tcPr>
          <w:p w:rsidR="00D95ABE" w:rsidRPr="0003349E" w:rsidRDefault="00D95ABE" w:rsidP="006D5187">
            <w:pPr>
              <w:jc w:val="center"/>
            </w:pPr>
            <w:r w:rsidRPr="0003349E">
              <w:t>16.-17.</w:t>
            </w:r>
            <w:r>
              <w:t>0</w:t>
            </w:r>
            <w:r w:rsidRPr="0003349E">
              <w:t>3.2010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Territorial Cooperation adding value to the Danube area – linkages to Structural Funds </w:t>
            </w:r>
          </w:p>
        </w:tc>
        <w:tc>
          <w:tcPr>
            <w:tcW w:w="1843" w:type="dxa"/>
            <w:vAlign w:val="center"/>
          </w:tcPr>
          <w:p w:rsidR="00D95ABE" w:rsidRPr="0003349E" w:rsidRDefault="00D95ABE" w:rsidP="006D5187">
            <w:pPr>
              <w:jc w:val="center"/>
            </w:pPr>
            <w:r w:rsidRPr="0003349E">
              <w:t>Bratislava</w:t>
            </w:r>
          </w:p>
        </w:tc>
      </w:tr>
      <w:tr w:rsidR="00D95ABE" w:rsidRPr="0003349E" w:rsidTr="006D5187">
        <w:tc>
          <w:tcPr>
            <w:tcW w:w="1526" w:type="dxa"/>
            <w:gridSpan w:val="2"/>
            <w:vAlign w:val="center"/>
          </w:tcPr>
          <w:p w:rsidR="00D95ABE" w:rsidRPr="0003349E" w:rsidRDefault="00D95ABE" w:rsidP="006D5187">
            <w:pPr>
              <w:jc w:val="center"/>
            </w:pPr>
            <w:r w:rsidRPr="0003349E">
              <w:t>16.</w:t>
            </w:r>
            <w:r>
              <w:t>0</w:t>
            </w:r>
            <w:r w:rsidRPr="0003349E">
              <w:t>3.2010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Programme/Project Managers Network </w:t>
            </w:r>
          </w:p>
        </w:tc>
        <w:tc>
          <w:tcPr>
            <w:tcW w:w="1843" w:type="dxa"/>
            <w:vAlign w:val="center"/>
          </w:tcPr>
          <w:p w:rsidR="00D95ABE" w:rsidRPr="0003349E" w:rsidRDefault="00D95ABE" w:rsidP="006D5187">
            <w:pPr>
              <w:jc w:val="center"/>
              <w:rPr>
                <w:lang w:val="cs-CZ"/>
              </w:rPr>
            </w:pPr>
            <w:r w:rsidRPr="0003349E">
              <w:t>Koda</w:t>
            </w:r>
            <w:r w:rsidRPr="0003349E">
              <w:rPr>
                <w:lang w:val="cs-CZ"/>
              </w:rPr>
              <w:t>ň</w:t>
            </w:r>
          </w:p>
        </w:tc>
      </w:tr>
      <w:tr w:rsidR="00D95ABE" w:rsidRPr="0003349E" w:rsidTr="006D5187">
        <w:tc>
          <w:tcPr>
            <w:tcW w:w="1526" w:type="dxa"/>
            <w:gridSpan w:val="2"/>
            <w:vAlign w:val="center"/>
          </w:tcPr>
          <w:p w:rsidR="00D95ABE" w:rsidRPr="0003349E" w:rsidRDefault="00D95ABE" w:rsidP="006D5187">
            <w:pPr>
              <w:jc w:val="center"/>
            </w:pPr>
            <w:r w:rsidRPr="0003349E">
              <w:t>17.</w:t>
            </w:r>
            <w:r>
              <w:t>0</w:t>
            </w:r>
            <w:r w:rsidRPr="0003349E">
              <w:t>3.2010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Financial Managers Network </w:t>
            </w:r>
          </w:p>
        </w:tc>
        <w:tc>
          <w:tcPr>
            <w:tcW w:w="1843" w:type="dxa"/>
            <w:vAlign w:val="center"/>
          </w:tcPr>
          <w:p w:rsidR="00D95ABE" w:rsidRPr="0003349E" w:rsidRDefault="00D95ABE" w:rsidP="006D5187">
            <w:pPr>
              <w:jc w:val="center"/>
            </w:pPr>
            <w:r w:rsidRPr="0003349E">
              <w:t>Koda</w:t>
            </w:r>
            <w:r w:rsidRPr="0003349E">
              <w:rPr>
                <w:lang w:val="cs-CZ"/>
              </w:rPr>
              <w:t>ň</w:t>
            </w:r>
          </w:p>
        </w:tc>
      </w:tr>
      <w:tr w:rsidR="00D95ABE" w:rsidRPr="0003349E" w:rsidTr="006D5187">
        <w:tc>
          <w:tcPr>
            <w:tcW w:w="1526" w:type="dxa"/>
            <w:gridSpan w:val="2"/>
            <w:vAlign w:val="center"/>
          </w:tcPr>
          <w:p w:rsidR="00D95ABE" w:rsidRPr="0003349E" w:rsidRDefault="00D95ABE" w:rsidP="006D5187">
            <w:pPr>
              <w:jc w:val="center"/>
            </w:pPr>
            <w:r w:rsidRPr="0003349E">
              <w:t>17.</w:t>
            </w:r>
            <w:r>
              <w:t>0</w:t>
            </w:r>
            <w:r w:rsidRPr="0003349E">
              <w:t>3.2010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Project finances and budgeting – workshop </w:t>
            </w:r>
          </w:p>
        </w:tc>
        <w:tc>
          <w:tcPr>
            <w:tcW w:w="1843" w:type="dxa"/>
            <w:vAlign w:val="center"/>
          </w:tcPr>
          <w:p w:rsidR="00D95ABE" w:rsidRPr="0003349E" w:rsidRDefault="00D95ABE" w:rsidP="006D5187">
            <w:pPr>
              <w:jc w:val="center"/>
            </w:pPr>
            <w:r w:rsidRPr="0003349E">
              <w:t>Koda</w:t>
            </w:r>
            <w:r w:rsidRPr="0003349E">
              <w:rPr>
                <w:lang w:val="cs-CZ"/>
              </w:rPr>
              <w:t>ň</w:t>
            </w:r>
          </w:p>
        </w:tc>
      </w:tr>
      <w:tr w:rsidR="00D95ABE" w:rsidRPr="0003349E" w:rsidTr="006D5187">
        <w:tc>
          <w:tcPr>
            <w:tcW w:w="1526" w:type="dxa"/>
            <w:gridSpan w:val="2"/>
            <w:vAlign w:val="center"/>
          </w:tcPr>
          <w:p w:rsidR="00D95ABE" w:rsidRPr="0003349E" w:rsidRDefault="00D95ABE" w:rsidP="006D5187">
            <w:pPr>
              <w:jc w:val="center"/>
            </w:pPr>
            <w:r w:rsidRPr="0003349E">
              <w:t>17.-18.</w:t>
            </w:r>
            <w:r>
              <w:t>0</w:t>
            </w:r>
            <w:r w:rsidRPr="0003349E">
              <w:t>3.2010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Finance management seminar </w:t>
            </w:r>
          </w:p>
        </w:tc>
        <w:tc>
          <w:tcPr>
            <w:tcW w:w="1843" w:type="dxa"/>
            <w:vAlign w:val="center"/>
          </w:tcPr>
          <w:p w:rsidR="00D95ABE" w:rsidRPr="0003349E" w:rsidRDefault="00D95ABE" w:rsidP="006D5187">
            <w:pPr>
              <w:jc w:val="center"/>
            </w:pPr>
            <w:r w:rsidRPr="0003349E">
              <w:t>Londýn</w:t>
            </w:r>
          </w:p>
        </w:tc>
      </w:tr>
      <w:tr w:rsidR="00D95ABE" w:rsidRPr="0003349E" w:rsidTr="006D5187">
        <w:tc>
          <w:tcPr>
            <w:tcW w:w="1526" w:type="dxa"/>
            <w:gridSpan w:val="2"/>
            <w:vAlign w:val="center"/>
          </w:tcPr>
          <w:p w:rsidR="00D95ABE" w:rsidRPr="0003349E" w:rsidRDefault="00D95ABE" w:rsidP="006D5187">
            <w:pPr>
              <w:jc w:val="center"/>
            </w:pPr>
            <w:r w:rsidRPr="0003349E">
              <w:t>18.-19.</w:t>
            </w:r>
            <w:r>
              <w:t>0</w:t>
            </w:r>
            <w:r w:rsidRPr="0003349E">
              <w:t>3.2010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Transnational, interregional and network programmes communication network seminar </w:t>
            </w:r>
          </w:p>
        </w:tc>
        <w:tc>
          <w:tcPr>
            <w:tcW w:w="1843" w:type="dxa"/>
            <w:vAlign w:val="center"/>
          </w:tcPr>
          <w:p w:rsidR="00D95ABE" w:rsidRPr="0003349E" w:rsidRDefault="00D95ABE" w:rsidP="006D5187">
            <w:pPr>
              <w:jc w:val="center"/>
            </w:pPr>
            <w:r w:rsidRPr="0003349E">
              <w:t>Kodaň</w:t>
            </w:r>
          </w:p>
        </w:tc>
      </w:tr>
      <w:tr w:rsidR="00D95ABE" w:rsidRPr="0003349E" w:rsidTr="006D5187">
        <w:tc>
          <w:tcPr>
            <w:tcW w:w="1526" w:type="dxa"/>
            <w:gridSpan w:val="2"/>
            <w:vAlign w:val="center"/>
          </w:tcPr>
          <w:p w:rsidR="00D95ABE" w:rsidRPr="0003349E" w:rsidRDefault="00D95ABE" w:rsidP="006D5187">
            <w:pPr>
              <w:jc w:val="center"/>
            </w:pPr>
            <w:r w:rsidRPr="0003349E">
              <w:t>24.-25.</w:t>
            </w:r>
            <w:r>
              <w:t>0</w:t>
            </w:r>
            <w:r w:rsidRPr="0003349E">
              <w:t>3.2010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Finance management seminar </w:t>
            </w:r>
          </w:p>
        </w:tc>
        <w:tc>
          <w:tcPr>
            <w:tcW w:w="1843" w:type="dxa"/>
            <w:vAlign w:val="center"/>
          </w:tcPr>
          <w:p w:rsidR="00D95ABE" w:rsidRPr="0003349E" w:rsidRDefault="00D95ABE" w:rsidP="006D5187">
            <w:pPr>
              <w:jc w:val="center"/>
            </w:pPr>
            <w:r w:rsidRPr="0003349E">
              <w:t>Londýn</w:t>
            </w:r>
          </w:p>
        </w:tc>
      </w:tr>
      <w:tr w:rsidR="00D95ABE" w:rsidRPr="0003349E" w:rsidTr="006D5187">
        <w:tc>
          <w:tcPr>
            <w:tcW w:w="1526" w:type="dxa"/>
            <w:gridSpan w:val="2"/>
            <w:vAlign w:val="center"/>
          </w:tcPr>
          <w:p w:rsidR="00D95ABE" w:rsidRPr="0003349E" w:rsidRDefault="00D95ABE" w:rsidP="006D5187">
            <w:pPr>
              <w:jc w:val="center"/>
            </w:pPr>
            <w:r w:rsidRPr="0003349E">
              <w:t>25.-26.</w:t>
            </w:r>
            <w:r>
              <w:t>0</w:t>
            </w:r>
            <w:r w:rsidRPr="0003349E">
              <w:t>3.2010</w:t>
            </w:r>
          </w:p>
        </w:tc>
        <w:tc>
          <w:tcPr>
            <w:tcW w:w="5103" w:type="dxa"/>
            <w:vAlign w:val="center"/>
          </w:tcPr>
          <w:p w:rsidR="00D95ABE" w:rsidRPr="0003349E" w:rsidRDefault="00D95ABE" w:rsidP="006D5187">
            <w:pPr>
              <w:jc w:val="both"/>
              <w:rPr>
                <w:lang w:val="en-GB"/>
              </w:rPr>
            </w:pPr>
            <w:r w:rsidRPr="0003349E">
              <w:rPr>
                <w:rFonts w:cs="Trebuchet MS"/>
                <w:lang w:val="en-US"/>
              </w:rPr>
              <w:t>3rd Meeting of the First Level Control Network, South-East Zone</w:t>
            </w:r>
          </w:p>
        </w:tc>
        <w:tc>
          <w:tcPr>
            <w:tcW w:w="1843" w:type="dxa"/>
            <w:vAlign w:val="center"/>
          </w:tcPr>
          <w:p w:rsidR="00D95ABE" w:rsidRPr="0003349E" w:rsidRDefault="00D95ABE" w:rsidP="006D5187">
            <w:pPr>
              <w:jc w:val="center"/>
              <w:rPr>
                <w:lang w:val="cs-CZ"/>
              </w:rPr>
            </w:pPr>
            <w:r w:rsidRPr="0003349E">
              <w:t>Viede</w:t>
            </w:r>
            <w:r w:rsidRPr="0003349E">
              <w:rPr>
                <w:lang w:val="cs-CZ"/>
              </w:rPr>
              <w:t>ň</w:t>
            </w:r>
          </w:p>
        </w:tc>
      </w:tr>
      <w:tr w:rsidR="00D95ABE" w:rsidRPr="0003349E" w:rsidTr="006D5187">
        <w:tc>
          <w:tcPr>
            <w:tcW w:w="1526" w:type="dxa"/>
            <w:gridSpan w:val="2"/>
            <w:vAlign w:val="center"/>
          </w:tcPr>
          <w:p w:rsidR="00D95ABE" w:rsidRPr="0003349E" w:rsidRDefault="00D95ABE" w:rsidP="006D5187">
            <w:pPr>
              <w:jc w:val="center"/>
            </w:pPr>
            <w:r w:rsidRPr="0003349E">
              <w:t>14.-15.</w:t>
            </w:r>
            <w:r>
              <w:t>0</w:t>
            </w:r>
            <w:r w:rsidRPr="0003349E">
              <w:t>4.2010</w:t>
            </w:r>
          </w:p>
        </w:tc>
        <w:tc>
          <w:tcPr>
            <w:tcW w:w="5103" w:type="dxa"/>
            <w:vAlign w:val="center"/>
          </w:tcPr>
          <w:p w:rsidR="00D95ABE" w:rsidRPr="0003349E" w:rsidRDefault="00D95ABE" w:rsidP="006D5187">
            <w:pPr>
              <w:jc w:val="both"/>
              <w:rPr>
                <w:lang w:val="en-GB"/>
              </w:rPr>
            </w:pPr>
            <w:r w:rsidRPr="0003349E">
              <w:rPr>
                <w:rFonts w:cs="Trebuchet MS"/>
                <w:lang w:val="en-US"/>
              </w:rPr>
              <w:t>Future Workshop</w:t>
            </w:r>
          </w:p>
        </w:tc>
        <w:tc>
          <w:tcPr>
            <w:tcW w:w="1843" w:type="dxa"/>
            <w:vAlign w:val="center"/>
          </w:tcPr>
          <w:p w:rsidR="00D95ABE" w:rsidRPr="0003349E" w:rsidRDefault="00D95ABE" w:rsidP="006D5187">
            <w:pPr>
              <w:jc w:val="center"/>
            </w:pPr>
            <w:r w:rsidRPr="0003349E">
              <w:t>Brusel</w:t>
            </w:r>
          </w:p>
        </w:tc>
      </w:tr>
      <w:tr w:rsidR="00D95ABE" w:rsidRPr="0003349E" w:rsidTr="006D5187">
        <w:trPr>
          <w:gridBefore w:val="1"/>
        </w:trPr>
        <w:tc>
          <w:tcPr>
            <w:tcW w:w="1526" w:type="dxa"/>
            <w:vAlign w:val="center"/>
          </w:tcPr>
          <w:p w:rsidR="00D95ABE" w:rsidRPr="0003349E" w:rsidRDefault="00D95ABE" w:rsidP="006D5187">
            <w:pPr>
              <w:jc w:val="center"/>
            </w:pPr>
            <w:r w:rsidRPr="0003349E">
              <w:t>19.-21.</w:t>
            </w:r>
            <w:r>
              <w:t>0</w:t>
            </w:r>
            <w:r w:rsidRPr="0003349E">
              <w:t>4.2010</w:t>
            </w:r>
          </w:p>
        </w:tc>
        <w:tc>
          <w:tcPr>
            <w:tcW w:w="5103" w:type="dxa"/>
            <w:vAlign w:val="center"/>
          </w:tcPr>
          <w:p w:rsidR="00D95ABE" w:rsidRPr="0003349E" w:rsidRDefault="00D95ABE" w:rsidP="006D5187">
            <w:pPr>
              <w:jc w:val="both"/>
            </w:pPr>
            <w:r w:rsidRPr="0003349E">
              <w:rPr>
                <w:rFonts w:cs="Trebuchet MS"/>
                <w:lang w:val="en-US"/>
              </w:rPr>
              <w:t>Participation in the 3rd EU Conference on the Danube Region Strategy</w:t>
            </w:r>
          </w:p>
        </w:tc>
        <w:tc>
          <w:tcPr>
            <w:tcW w:w="1843" w:type="dxa"/>
            <w:vAlign w:val="center"/>
          </w:tcPr>
          <w:p w:rsidR="00D95ABE" w:rsidRPr="0003349E" w:rsidRDefault="00D95ABE" w:rsidP="006D5187">
            <w:pPr>
              <w:jc w:val="center"/>
              <w:rPr>
                <w:lang w:val="cs-CZ"/>
              </w:rPr>
            </w:pPr>
            <w:r w:rsidRPr="0003349E">
              <w:rPr>
                <w:lang w:val="cs-CZ"/>
              </w:rPr>
              <w:t>Viedeň, Bratislava</w:t>
            </w:r>
          </w:p>
        </w:tc>
      </w:tr>
      <w:tr w:rsidR="00D95ABE" w:rsidRPr="0003349E" w:rsidTr="006D5187">
        <w:trPr>
          <w:gridBefore w:val="1"/>
        </w:trPr>
        <w:tc>
          <w:tcPr>
            <w:tcW w:w="1526" w:type="dxa"/>
            <w:vAlign w:val="center"/>
          </w:tcPr>
          <w:p w:rsidR="00D95ABE" w:rsidRPr="0003349E" w:rsidRDefault="00D95ABE" w:rsidP="006D5187">
            <w:pPr>
              <w:jc w:val="center"/>
            </w:pPr>
            <w:r w:rsidRPr="0003349E">
              <w:t>28.-29.</w:t>
            </w:r>
            <w:r>
              <w:t>0</w:t>
            </w:r>
            <w:r w:rsidRPr="0003349E">
              <w:t>4.2010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Programme/Project Management – training </w:t>
            </w:r>
          </w:p>
        </w:tc>
        <w:tc>
          <w:tcPr>
            <w:tcW w:w="1843" w:type="dxa"/>
            <w:vAlign w:val="center"/>
          </w:tcPr>
          <w:p w:rsidR="00D95ABE" w:rsidRPr="0003349E" w:rsidRDefault="00D95ABE" w:rsidP="006D5187">
            <w:pPr>
              <w:jc w:val="center"/>
            </w:pPr>
            <w:r w:rsidRPr="0003349E">
              <w:t>Štokholm</w:t>
            </w:r>
          </w:p>
        </w:tc>
      </w:tr>
      <w:tr w:rsidR="00D95ABE" w:rsidRPr="0003349E" w:rsidTr="006D5187">
        <w:trPr>
          <w:gridBefore w:val="1"/>
        </w:trPr>
        <w:tc>
          <w:tcPr>
            <w:tcW w:w="1526" w:type="dxa"/>
            <w:vAlign w:val="center"/>
          </w:tcPr>
          <w:p w:rsidR="00D95ABE" w:rsidRPr="0003349E" w:rsidRDefault="00D95ABE" w:rsidP="006D5187">
            <w:pPr>
              <w:jc w:val="center"/>
            </w:pPr>
            <w:r w:rsidRPr="0003349E">
              <w:t>28.-29.</w:t>
            </w:r>
            <w:r>
              <w:t>0</w:t>
            </w:r>
            <w:r w:rsidRPr="0003349E">
              <w:t>4.2010</w:t>
            </w:r>
          </w:p>
        </w:tc>
        <w:tc>
          <w:tcPr>
            <w:tcW w:w="5103" w:type="dxa"/>
            <w:vAlign w:val="center"/>
          </w:tcPr>
          <w:p w:rsidR="00D95ABE" w:rsidRPr="0003349E" w:rsidRDefault="00D95ABE" w:rsidP="006D5187">
            <w:pPr>
              <w:jc w:val="both"/>
              <w:rPr>
                <w:lang w:val="en-GB"/>
              </w:rPr>
            </w:pPr>
            <w:r w:rsidRPr="0003349E">
              <w:rPr>
                <w:rFonts w:cs="Trebuchet MS"/>
                <w:lang w:val="en-US"/>
              </w:rPr>
              <w:t>State Aid Seminar</w:t>
            </w:r>
          </w:p>
        </w:tc>
        <w:tc>
          <w:tcPr>
            <w:tcW w:w="1843" w:type="dxa"/>
            <w:vAlign w:val="center"/>
          </w:tcPr>
          <w:p w:rsidR="00D95ABE" w:rsidRPr="0003349E" w:rsidRDefault="00D95ABE" w:rsidP="006D5187">
            <w:pPr>
              <w:jc w:val="center"/>
              <w:rPr>
                <w:lang w:val="cs-CZ"/>
              </w:rPr>
            </w:pPr>
            <w:r w:rsidRPr="0003349E">
              <w:rPr>
                <w:lang w:val="cs-CZ"/>
              </w:rPr>
              <w:t>Viedeň</w:t>
            </w:r>
          </w:p>
        </w:tc>
      </w:tr>
      <w:tr w:rsidR="00D95ABE" w:rsidRPr="0003349E" w:rsidTr="006D5187">
        <w:trPr>
          <w:gridBefore w:val="1"/>
        </w:trPr>
        <w:tc>
          <w:tcPr>
            <w:tcW w:w="1526" w:type="dxa"/>
            <w:vAlign w:val="center"/>
          </w:tcPr>
          <w:p w:rsidR="00D95ABE" w:rsidRPr="0003349E" w:rsidRDefault="00D95ABE" w:rsidP="006D5187">
            <w:pPr>
              <w:jc w:val="center"/>
            </w:pPr>
            <w:r w:rsidRPr="0003349E">
              <w:t>28.</w:t>
            </w:r>
            <w:r>
              <w:t>0</w:t>
            </w:r>
            <w:r w:rsidRPr="0003349E">
              <w:t>4.2010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Cross-programme Evaluation Central and Eastern Europe: Operational Aspects </w:t>
            </w:r>
          </w:p>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Synthesis Workshop: Group 2 </w:t>
            </w:r>
          </w:p>
        </w:tc>
        <w:tc>
          <w:tcPr>
            <w:tcW w:w="1843" w:type="dxa"/>
            <w:vAlign w:val="center"/>
          </w:tcPr>
          <w:p w:rsidR="00D95ABE" w:rsidRPr="0003349E" w:rsidRDefault="00D95ABE" w:rsidP="006D5187">
            <w:pPr>
              <w:jc w:val="center"/>
            </w:pPr>
            <w:r w:rsidRPr="0003349E">
              <w:t>Viedeň</w:t>
            </w:r>
          </w:p>
        </w:tc>
      </w:tr>
      <w:tr w:rsidR="00D95ABE" w:rsidRPr="0003349E" w:rsidTr="006D5187">
        <w:trPr>
          <w:gridBefore w:val="1"/>
        </w:trPr>
        <w:tc>
          <w:tcPr>
            <w:tcW w:w="1526" w:type="dxa"/>
            <w:vAlign w:val="center"/>
          </w:tcPr>
          <w:p w:rsidR="00D95ABE" w:rsidRPr="0003349E" w:rsidRDefault="00D95ABE" w:rsidP="006D5187">
            <w:pPr>
              <w:jc w:val="center"/>
            </w:pPr>
            <w:r>
              <w:t>0</w:t>
            </w:r>
            <w:r w:rsidRPr="0003349E">
              <w:t>4.</w:t>
            </w:r>
            <w:r>
              <w:t>0</w:t>
            </w:r>
            <w:r w:rsidRPr="0003349E">
              <w:t>5.2010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Cross-programme Evaluation Central and Eastern Europe: Operational Aspects </w:t>
            </w:r>
          </w:p>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Synthesis Workshop: Group 1 </w:t>
            </w:r>
          </w:p>
        </w:tc>
        <w:tc>
          <w:tcPr>
            <w:tcW w:w="1843" w:type="dxa"/>
            <w:vAlign w:val="center"/>
          </w:tcPr>
          <w:p w:rsidR="00D95ABE" w:rsidRPr="0003349E" w:rsidRDefault="00D95ABE" w:rsidP="006D5187">
            <w:pPr>
              <w:jc w:val="center"/>
            </w:pPr>
            <w:r w:rsidRPr="0003349E">
              <w:t>Viedeň</w:t>
            </w:r>
          </w:p>
        </w:tc>
      </w:tr>
      <w:tr w:rsidR="00D95ABE" w:rsidRPr="0003349E" w:rsidTr="006D5187">
        <w:trPr>
          <w:gridBefore w:val="1"/>
        </w:trPr>
        <w:tc>
          <w:tcPr>
            <w:tcW w:w="1526" w:type="dxa"/>
            <w:vAlign w:val="center"/>
          </w:tcPr>
          <w:p w:rsidR="00D95ABE" w:rsidRPr="0003349E" w:rsidRDefault="00D95ABE" w:rsidP="006D5187">
            <w:pPr>
              <w:jc w:val="center"/>
            </w:pPr>
            <w:r>
              <w:t>0</w:t>
            </w:r>
            <w:r w:rsidRPr="0003349E">
              <w:t>6.</w:t>
            </w:r>
            <w:r>
              <w:t>0</w:t>
            </w:r>
            <w:r w:rsidRPr="0003349E">
              <w:t>5.2010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GB"/>
              </w:rPr>
            </w:pPr>
            <w:r w:rsidRPr="0003349E">
              <w:rPr>
                <w:rFonts w:cs="Trebuchet MS"/>
                <w:lang w:val="en-US"/>
              </w:rPr>
              <w:t xml:space="preserve">Public procurement in IPA CBC Programmes with EU Member States in shared management </w:t>
            </w:r>
          </w:p>
        </w:tc>
        <w:tc>
          <w:tcPr>
            <w:tcW w:w="1843" w:type="dxa"/>
            <w:vAlign w:val="center"/>
          </w:tcPr>
          <w:p w:rsidR="00D95ABE" w:rsidRPr="0003349E" w:rsidRDefault="00D95ABE" w:rsidP="006D5187">
            <w:pPr>
              <w:jc w:val="center"/>
            </w:pPr>
            <w:r w:rsidRPr="0003349E">
              <w:t>Rím</w:t>
            </w:r>
          </w:p>
        </w:tc>
      </w:tr>
      <w:tr w:rsidR="00D95ABE" w:rsidRPr="0003349E" w:rsidTr="006D5187">
        <w:trPr>
          <w:gridBefore w:val="1"/>
        </w:trPr>
        <w:tc>
          <w:tcPr>
            <w:tcW w:w="1526" w:type="dxa"/>
            <w:vAlign w:val="center"/>
          </w:tcPr>
          <w:p w:rsidR="00D95ABE" w:rsidRPr="0003349E" w:rsidRDefault="00D95ABE" w:rsidP="006D5187">
            <w:pPr>
              <w:jc w:val="center"/>
            </w:pPr>
            <w:r>
              <w:t>0</w:t>
            </w:r>
            <w:r w:rsidRPr="0003349E">
              <w:t>9.-10.</w:t>
            </w:r>
            <w:r>
              <w:t>0</w:t>
            </w:r>
            <w:r w:rsidRPr="0003349E">
              <w:t>5.2010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Participation in the 4th EU Conference on the Danube Region Strategy </w:t>
            </w:r>
          </w:p>
        </w:tc>
        <w:tc>
          <w:tcPr>
            <w:tcW w:w="1843" w:type="dxa"/>
            <w:vAlign w:val="center"/>
          </w:tcPr>
          <w:p w:rsidR="00D95ABE" w:rsidRPr="0003349E" w:rsidRDefault="00D95ABE" w:rsidP="006D5187">
            <w:pPr>
              <w:jc w:val="center"/>
            </w:pPr>
            <w:r w:rsidRPr="0003349E">
              <w:t>Giurgiu</w:t>
            </w:r>
          </w:p>
        </w:tc>
      </w:tr>
      <w:tr w:rsidR="00D95ABE" w:rsidRPr="0003349E" w:rsidTr="006D5187">
        <w:trPr>
          <w:gridBefore w:val="1"/>
        </w:trPr>
        <w:tc>
          <w:tcPr>
            <w:tcW w:w="1526" w:type="dxa"/>
            <w:vAlign w:val="center"/>
          </w:tcPr>
          <w:p w:rsidR="00D95ABE" w:rsidRPr="0003349E" w:rsidRDefault="00D95ABE" w:rsidP="006D5187">
            <w:pPr>
              <w:jc w:val="center"/>
            </w:pPr>
            <w:r w:rsidRPr="0003349E">
              <w:t>11.</w:t>
            </w:r>
            <w:r>
              <w:t>0</w:t>
            </w:r>
            <w:r w:rsidRPr="0003349E">
              <w:t>5.2010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Cross-programme Evaluation Central and Eastern Europe: Operational Aspects  </w:t>
            </w:r>
          </w:p>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Synthesis Workshop: Group 3 </w:t>
            </w:r>
          </w:p>
        </w:tc>
        <w:tc>
          <w:tcPr>
            <w:tcW w:w="1843" w:type="dxa"/>
            <w:vAlign w:val="center"/>
          </w:tcPr>
          <w:p w:rsidR="00D95ABE" w:rsidRPr="0003349E" w:rsidRDefault="00D95ABE" w:rsidP="006D5187">
            <w:pPr>
              <w:jc w:val="center"/>
              <w:rPr>
                <w:lang w:val="cs-CZ"/>
              </w:rPr>
            </w:pPr>
            <w:r w:rsidRPr="0003349E">
              <w:t>Z</w:t>
            </w:r>
            <w:r w:rsidRPr="0003349E">
              <w:rPr>
                <w:lang w:val="cs-CZ"/>
              </w:rPr>
              <w:t>áhreb</w:t>
            </w:r>
          </w:p>
        </w:tc>
      </w:tr>
      <w:tr w:rsidR="00D95ABE" w:rsidRPr="0003349E" w:rsidTr="006D5187">
        <w:trPr>
          <w:gridBefore w:val="1"/>
        </w:trPr>
        <w:tc>
          <w:tcPr>
            <w:tcW w:w="1526" w:type="dxa"/>
            <w:vAlign w:val="center"/>
          </w:tcPr>
          <w:p w:rsidR="00D95ABE" w:rsidRPr="0003349E" w:rsidRDefault="00D95ABE" w:rsidP="006D5187">
            <w:pPr>
              <w:jc w:val="center"/>
            </w:pPr>
            <w:r w:rsidRPr="0003349E">
              <w:t>11.-12.</w:t>
            </w:r>
            <w:r>
              <w:t>0</w:t>
            </w:r>
            <w:r w:rsidRPr="0003349E">
              <w:t>5.2010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Evaluation seminar </w:t>
            </w:r>
          </w:p>
        </w:tc>
        <w:tc>
          <w:tcPr>
            <w:tcW w:w="1843" w:type="dxa"/>
            <w:vAlign w:val="center"/>
          </w:tcPr>
          <w:p w:rsidR="00D95ABE" w:rsidRPr="0003349E" w:rsidRDefault="00D95ABE" w:rsidP="006D5187">
            <w:pPr>
              <w:jc w:val="center"/>
            </w:pPr>
            <w:r w:rsidRPr="0003349E">
              <w:t>Krakow</w:t>
            </w:r>
          </w:p>
        </w:tc>
      </w:tr>
      <w:tr w:rsidR="00D95ABE" w:rsidRPr="0003349E" w:rsidTr="006D5187">
        <w:trPr>
          <w:gridBefore w:val="1"/>
        </w:trPr>
        <w:tc>
          <w:tcPr>
            <w:tcW w:w="1526" w:type="dxa"/>
            <w:vAlign w:val="center"/>
          </w:tcPr>
          <w:p w:rsidR="00D95ABE" w:rsidRPr="0003349E" w:rsidRDefault="00D95ABE" w:rsidP="006D5187">
            <w:pPr>
              <w:jc w:val="center"/>
            </w:pPr>
            <w:r w:rsidRPr="0003349E">
              <w:t>19.-20.</w:t>
            </w:r>
            <w:r>
              <w:t>0</w:t>
            </w:r>
            <w:r w:rsidRPr="0003349E">
              <w:t>5.2010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First Level Control in Territorial Cooperation programmes and IPA CBC under shared management </w:t>
            </w:r>
          </w:p>
        </w:tc>
        <w:tc>
          <w:tcPr>
            <w:tcW w:w="1843" w:type="dxa"/>
            <w:vAlign w:val="center"/>
          </w:tcPr>
          <w:p w:rsidR="00D95ABE" w:rsidRPr="0003349E" w:rsidRDefault="00D95ABE" w:rsidP="006D5187">
            <w:pPr>
              <w:jc w:val="center"/>
            </w:pPr>
            <w:r w:rsidRPr="0003349E">
              <w:t>Budapešť</w:t>
            </w:r>
          </w:p>
        </w:tc>
      </w:tr>
      <w:tr w:rsidR="00D95ABE" w:rsidRPr="0003349E" w:rsidTr="006D5187">
        <w:trPr>
          <w:gridBefore w:val="1"/>
        </w:trPr>
        <w:tc>
          <w:tcPr>
            <w:tcW w:w="1526" w:type="dxa"/>
            <w:vAlign w:val="center"/>
          </w:tcPr>
          <w:p w:rsidR="00D95ABE" w:rsidRPr="0003349E" w:rsidRDefault="00D95ABE" w:rsidP="006D5187">
            <w:pPr>
              <w:jc w:val="center"/>
            </w:pPr>
            <w:r w:rsidRPr="0003349E">
              <w:t>21.</w:t>
            </w:r>
            <w:r>
              <w:t>0</w:t>
            </w:r>
            <w:r w:rsidRPr="0003349E">
              <w:t>5.2010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Support to EUSBSR - LAB Group meeting </w:t>
            </w:r>
          </w:p>
        </w:tc>
        <w:tc>
          <w:tcPr>
            <w:tcW w:w="1843" w:type="dxa"/>
            <w:vAlign w:val="center"/>
          </w:tcPr>
          <w:p w:rsidR="00D95ABE" w:rsidRPr="0003349E" w:rsidRDefault="00D95ABE" w:rsidP="006D5187">
            <w:pPr>
              <w:jc w:val="center"/>
            </w:pPr>
            <w:r w:rsidRPr="0003349E">
              <w:t>Brusel</w:t>
            </w:r>
          </w:p>
        </w:tc>
      </w:tr>
      <w:tr w:rsidR="00D95ABE" w:rsidRPr="0003349E" w:rsidTr="006D5187">
        <w:trPr>
          <w:gridBefore w:val="1"/>
        </w:trPr>
        <w:tc>
          <w:tcPr>
            <w:tcW w:w="1526" w:type="dxa"/>
            <w:vAlign w:val="center"/>
          </w:tcPr>
          <w:p w:rsidR="00D95ABE" w:rsidRPr="0003349E" w:rsidRDefault="00D95ABE" w:rsidP="006D5187">
            <w:pPr>
              <w:jc w:val="center"/>
            </w:pPr>
            <w:r w:rsidRPr="0003349E">
              <w:t>26.</w:t>
            </w:r>
            <w:r>
              <w:t>0</w:t>
            </w:r>
            <w:r w:rsidRPr="0003349E">
              <w:t>5.2010</w:t>
            </w:r>
          </w:p>
        </w:tc>
        <w:tc>
          <w:tcPr>
            <w:tcW w:w="5103" w:type="dxa"/>
            <w:vAlign w:val="center"/>
          </w:tcPr>
          <w:p w:rsidR="00D95ABE" w:rsidRPr="0003349E" w:rsidRDefault="00D95ABE" w:rsidP="006D5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lang w:val="en-US"/>
              </w:rPr>
            </w:pPr>
            <w:r w:rsidRPr="0003349E">
              <w:rPr>
                <w:rFonts w:cs="Trebuchet MS"/>
                <w:lang w:val="en-US"/>
              </w:rPr>
              <w:t xml:space="preserve">European Territorial Cooperation at the Borders of the EU – the outermost regions, ENPI and other experiences </w:t>
            </w:r>
          </w:p>
        </w:tc>
        <w:tc>
          <w:tcPr>
            <w:tcW w:w="1843" w:type="dxa"/>
            <w:vAlign w:val="center"/>
          </w:tcPr>
          <w:p w:rsidR="00D95ABE" w:rsidRPr="0003349E" w:rsidRDefault="00D95ABE" w:rsidP="006D5187">
            <w:pPr>
              <w:jc w:val="center"/>
            </w:pPr>
            <w:r w:rsidRPr="0003349E">
              <w:t>Brusel</w:t>
            </w:r>
          </w:p>
        </w:tc>
      </w:tr>
      <w:tr w:rsidR="00D95ABE" w:rsidRPr="0003349E" w:rsidTr="006D5187">
        <w:trPr>
          <w:gridBefore w:val="1"/>
        </w:trPr>
        <w:tc>
          <w:tcPr>
            <w:tcW w:w="1526" w:type="dxa"/>
            <w:vAlign w:val="center"/>
          </w:tcPr>
          <w:p w:rsidR="00D95ABE" w:rsidRPr="0003349E" w:rsidRDefault="00D95ABE" w:rsidP="006D5187">
            <w:pPr>
              <w:jc w:val="center"/>
            </w:pPr>
            <w:r w:rsidRPr="0003349E">
              <w:t>27.</w:t>
            </w:r>
            <w:r>
              <w:t>0</w:t>
            </w:r>
            <w:r w:rsidRPr="0003349E">
              <w:t>5.2010</w:t>
            </w:r>
          </w:p>
        </w:tc>
        <w:tc>
          <w:tcPr>
            <w:tcW w:w="5103" w:type="dxa"/>
            <w:vAlign w:val="center"/>
          </w:tcPr>
          <w:p w:rsidR="00D95ABE" w:rsidRPr="0003349E" w:rsidRDefault="00D95ABE" w:rsidP="006D5187">
            <w:pPr>
              <w:jc w:val="both"/>
            </w:pPr>
            <w:r w:rsidRPr="0003349E">
              <w:rPr>
                <w:rFonts w:cs="Trebuchet MS"/>
                <w:lang w:val="en-US"/>
              </w:rPr>
              <w:t>FLC seminar</w:t>
            </w:r>
          </w:p>
        </w:tc>
        <w:tc>
          <w:tcPr>
            <w:tcW w:w="1843" w:type="dxa"/>
            <w:vAlign w:val="center"/>
          </w:tcPr>
          <w:p w:rsidR="00D95ABE" w:rsidRPr="0003349E" w:rsidRDefault="00D95ABE" w:rsidP="006D5187">
            <w:pPr>
              <w:jc w:val="center"/>
            </w:pPr>
            <w:r w:rsidRPr="0003349E">
              <w:t>Vilnius</w:t>
            </w:r>
          </w:p>
        </w:tc>
      </w:tr>
      <w:tr w:rsidR="00D95ABE" w:rsidRPr="0003349E" w:rsidTr="006D5187">
        <w:trPr>
          <w:gridBefore w:val="1"/>
        </w:trPr>
        <w:tc>
          <w:tcPr>
            <w:tcW w:w="1526" w:type="dxa"/>
            <w:vAlign w:val="center"/>
          </w:tcPr>
          <w:p w:rsidR="00D95ABE" w:rsidRPr="0003349E" w:rsidRDefault="00D95ABE" w:rsidP="006D5187">
            <w:pPr>
              <w:jc w:val="center"/>
            </w:pPr>
            <w:r>
              <w:t>0</w:t>
            </w:r>
            <w:r w:rsidRPr="0003349E">
              <w:t>1.</w:t>
            </w:r>
            <w:r>
              <w:t>0</w:t>
            </w:r>
            <w:r w:rsidRPr="0003349E">
              <w:t>6.2010</w:t>
            </w:r>
          </w:p>
        </w:tc>
        <w:tc>
          <w:tcPr>
            <w:tcW w:w="5103" w:type="dxa"/>
            <w:vAlign w:val="center"/>
          </w:tcPr>
          <w:p w:rsidR="00D95ABE" w:rsidRPr="0003349E" w:rsidRDefault="00D95ABE" w:rsidP="006D5187">
            <w:pPr>
              <w:pStyle w:val="Heading4"/>
              <w:numPr>
                <w:ilvl w:val="0"/>
                <w:numId w:val="0"/>
              </w:numPr>
              <w:spacing w:before="2" w:after="2"/>
              <w:ind w:left="864" w:hanging="864"/>
              <w:rPr>
                <w:rFonts w:ascii="Times New Roman" w:hAnsi="Times New Roman"/>
                <w:b w:val="0"/>
                <w:i w:val="0"/>
                <w:color w:val="auto"/>
              </w:rPr>
            </w:pPr>
            <w:r w:rsidRPr="0003349E">
              <w:rPr>
                <w:rFonts w:ascii="Times New Roman" w:hAnsi="Times New Roman"/>
                <w:b w:val="0"/>
                <w:i w:val="0"/>
                <w:color w:val="auto"/>
              </w:rPr>
              <w:t>European Territorial Cooperation beyond 2013-</w:t>
            </w:r>
          </w:p>
          <w:p w:rsidR="00D95ABE" w:rsidRPr="0003349E" w:rsidRDefault="00D95ABE" w:rsidP="006D5187">
            <w:pPr>
              <w:pStyle w:val="Heading4"/>
              <w:numPr>
                <w:ilvl w:val="0"/>
                <w:numId w:val="0"/>
              </w:numPr>
              <w:spacing w:before="2" w:after="2"/>
              <w:ind w:left="864" w:hanging="864"/>
              <w:rPr>
                <w:rFonts w:ascii="Times New Roman" w:hAnsi="Times New Roman"/>
                <w:b w:val="0"/>
                <w:i w:val="0"/>
                <w:color w:val="auto"/>
              </w:rPr>
            </w:pPr>
            <w:r w:rsidRPr="0003349E">
              <w:rPr>
                <w:rFonts w:ascii="Times New Roman" w:hAnsi="Times New Roman"/>
                <w:b w:val="0"/>
                <w:i w:val="0"/>
                <w:color w:val="auto"/>
              </w:rPr>
              <w:t>ConsultationWorkshop</w:t>
            </w:r>
          </w:p>
        </w:tc>
        <w:tc>
          <w:tcPr>
            <w:tcW w:w="1843" w:type="dxa"/>
            <w:vAlign w:val="center"/>
          </w:tcPr>
          <w:p w:rsidR="00D95ABE" w:rsidRPr="0003349E" w:rsidRDefault="00D95ABE" w:rsidP="006D5187">
            <w:pPr>
              <w:jc w:val="center"/>
            </w:pPr>
            <w:r w:rsidRPr="0003349E">
              <w:t>Brusel</w:t>
            </w:r>
          </w:p>
        </w:tc>
      </w:tr>
      <w:tr w:rsidR="00D95ABE" w:rsidRPr="0003349E" w:rsidTr="006D5187">
        <w:trPr>
          <w:gridBefore w:val="1"/>
        </w:trPr>
        <w:tc>
          <w:tcPr>
            <w:tcW w:w="1526" w:type="dxa"/>
            <w:vAlign w:val="center"/>
          </w:tcPr>
          <w:p w:rsidR="00D95ABE" w:rsidRPr="0003349E" w:rsidRDefault="00D95ABE" w:rsidP="006D5187">
            <w:pPr>
              <w:jc w:val="center"/>
            </w:pPr>
            <w:r w:rsidRPr="0003349E">
              <w:t>15.</w:t>
            </w:r>
            <w:r>
              <w:t>0</w:t>
            </w:r>
            <w:r w:rsidRPr="0003349E">
              <w:t>6.2010</w:t>
            </w:r>
          </w:p>
        </w:tc>
        <w:tc>
          <w:tcPr>
            <w:tcW w:w="5103" w:type="dxa"/>
            <w:vAlign w:val="center"/>
          </w:tcPr>
          <w:p w:rsidR="00D95ABE" w:rsidRPr="0003349E" w:rsidRDefault="00D95ABE" w:rsidP="006D5187">
            <w:pPr>
              <w:jc w:val="both"/>
            </w:pPr>
            <w:r w:rsidRPr="0003349E">
              <w:t>Irregularities and other challenges for Certifying Authorities in European Territorial Cooperation Programmes</w:t>
            </w:r>
          </w:p>
        </w:tc>
        <w:tc>
          <w:tcPr>
            <w:tcW w:w="1843" w:type="dxa"/>
            <w:vAlign w:val="center"/>
          </w:tcPr>
          <w:p w:rsidR="00D95ABE" w:rsidRPr="0003349E" w:rsidRDefault="00D95ABE" w:rsidP="006D5187">
            <w:pPr>
              <w:jc w:val="center"/>
              <w:rPr>
                <w:lang w:val="cs-CZ"/>
              </w:rPr>
            </w:pPr>
            <w:r w:rsidRPr="0003349E">
              <w:t>R</w:t>
            </w:r>
            <w:r w:rsidRPr="0003349E">
              <w:rPr>
                <w:lang w:val="cs-CZ"/>
              </w:rPr>
              <w:t>ím</w:t>
            </w:r>
          </w:p>
        </w:tc>
      </w:tr>
      <w:tr w:rsidR="00D95ABE" w:rsidRPr="0003349E" w:rsidTr="006D5187">
        <w:trPr>
          <w:gridBefore w:val="1"/>
        </w:trPr>
        <w:tc>
          <w:tcPr>
            <w:tcW w:w="1526" w:type="dxa"/>
            <w:vAlign w:val="center"/>
          </w:tcPr>
          <w:p w:rsidR="00D95ABE" w:rsidRPr="0003349E" w:rsidRDefault="00D95ABE" w:rsidP="006D5187">
            <w:pPr>
              <w:jc w:val="center"/>
            </w:pPr>
            <w:r w:rsidRPr="0003349E">
              <w:t>28.-29.</w:t>
            </w:r>
            <w:r>
              <w:t>0</w:t>
            </w:r>
            <w:r w:rsidRPr="0003349E">
              <w:t>6.2010</w:t>
            </w:r>
          </w:p>
        </w:tc>
        <w:tc>
          <w:tcPr>
            <w:tcW w:w="5103" w:type="dxa"/>
            <w:vAlign w:val="center"/>
          </w:tcPr>
          <w:p w:rsidR="00D95ABE" w:rsidRPr="0003349E" w:rsidRDefault="00D95ABE" w:rsidP="006D5187">
            <w:pPr>
              <w:jc w:val="both"/>
            </w:pPr>
            <w:r w:rsidRPr="0003349E">
              <w:t>Closing meeting of Cross-programme evaluation INTERACT Pilot</w:t>
            </w:r>
          </w:p>
        </w:tc>
        <w:tc>
          <w:tcPr>
            <w:tcW w:w="1843" w:type="dxa"/>
            <w:vAlign w:val="center"/>
          </w:tcPr>
          <w:p w:rsidR="00D95ABE" w:rsidRPr="0003349E" w:rsidRDefault="00D95ABE" w:rsidP="006D5187">
            <w:pPr>
              <w:jc w:val="center"/>
            </w:pPr>
            <w:r w:rsidRPr="0003349E">
              <w:t>Viedeň</w:t>
            </w:r>
          </w:p>
        </w:tc>
      </w:tr>
    </w:tbl>
    <w:p w:rsidR="00D95ABE" w:rsidRPr="0003349E" w:rsidRDefault="00D95ABE" w:rsidP="00575C13">
      <w:pPr>
        <w:rPr>
          <w:rFonts w:ascii="Arial Narrow" w:hAnsi="Arial Narrow"/>
        </w:rPr>
      </w:pPr>
    </w:p>
    <w:p w:rsidR="00D95ABE" w:rsidRPr="0003349E" w:rsidRDefault="00D95ABE" w:rsidP="002B0654">
      <w:pPr>
        <w:pStyle w:val="Heading2"/>
        <w:numPr>
          <w:ilvl w:val="1"/>
          <w:numId w:val="1"/>
        </w:numPr>
        <w:spacing w:before="120" w:after="120"/>
        <w:rPr>
          <w:rFonts w:ascii="Times New Roman" w:hAnsi="Times New Roman"/>
          <w:color w:val="auto"/>
          <w:sz w:val="24"/>
          <w:szCs w:val="24"/>
        </w:rPr>
      </w:pPr>
      <w:bookmarkStart w:id="8" w:name="_Toc272762872"/>
      <w:r w:rsidRPr="0003349E">
        <w:rPr>
          <w:rFonts w:ascii="Times New Roman" w:hAnsi="Times New Roman"/>
          <w:color w:val="auto"/>
          <w:sz w:val="24"/>
          <w:szCs w:val="24"/>
        </w:rPr>
        <w:t>Základné problémy v obsahovej implementácii a ich riešenie</w:t>
      </w:r>
      <w:bookmarkEnd w:id="8"/>
      <w:r w:rsidRPr="0003349E">
        <w:rPr>
          <w:rFonts w:ascii="Times New Roman" w:hAnsi="Times New Roman"/>
          <w:color w:val="auto"/>
          <w:sz w:val="24"/>
          <w:szCs w:val="24"/>
        </w:rPr>
        <w:t xml:space="preserve"> </w:t>
      </w:r>
    </w:p>
    <w:p w:rsidR="00D95ABE" w:rsidRPr="0003349E" w:rsidRDefault="00D95ABE" w:rsidP="0003349E">
      <w:pPr>
        <w:jc w:val="both"/>
      </w:pPr>
      <w:r w:rsidRPr="0003349E">
        <w:t>V sledovanom období sa oproti minulosti zintenzívnila komunikácia medzi slovenskými partnermi (RO, CO, ÚV), pričom bolo uskutočnených niekoľko stretnutí k aktuálnym otázkam a taktiež koordinačná porada pred zasadnutím Monitorovacieho výboru na pôde RO (</w:t>
      </w:r>
      <w:r>
        <w:t>0</w:t>
      </w:r>
      <w:r w:rsidRPr="0003349E">
        <w:t>8.</w:t>
      </w:r>
      <w:r>
        <w:t>06.</w:t>
      </w:r>
      <w:r w:rsidRPr="0003349E">
        <w:t>2010).</w:t>
      </w:r>
    </w:p>
    <w:p w:rsidR="00D95ABE" w:rsidRPr="0003349E" w:rsidRDefault="00D95ABE" w:rsidP="0003349E">
      <w:pPr>
        <w:jc w:val="both"/>
      </w:pPr>
      <w:r w:rsidRPr="0003349E">
        <w:t>Prvý polrok 2010 bol poznamenaný pretrvávajúcimi  nedostatočnými personálnymi kapacitami RO a IS. V máji 2010 bol stav RO doplnený o programového manažéra, čím sa zvýšil počet pracovníkov RO na 3. Celkový počet funkčných miest schválených pre RO je 4.</w:t>
      </w:r>
    </w:p>
    <w:p w:rsidR="00D95ABE" w:rsidRPr="0003349E" w:rsidRDefault="00D95ABE" w:rsidP="0003349E">
      <w:pPr>
        <w:jc w:val="both"/>
      </w:pPr>
      <w:r w:rsidRPr="0003349E">
        <w:t xml:space="preserve">Počet pozícií IS bol na základe rozhodnutia Monitorovacieho výboru v Prahe v novembri 2009 doplnený o programového a finančného manažéra, čím sa celkový počet zvýšil na 7. Výberové konanie na túto pozíciu prebehlo v decembri 2009. V júni 2010 začal svoju činnosť IT officer a v júli prebehlo výberové konanie na pozíciu manažéra kvality a vedomostného manažmentu. Z celkového plánovaného počtu zamestnancov IS vykonávali činnosť pre IS 5 pracovníci. </w:t>
      </w:r>
    </w:p>
    <w:p w:rsidR="00D95ABE" w:rsidRPr="0003349E" w:rsidRDefault="00D95ABE" w:rsidP="0003349E">
      <w:pPr>
        <w:jc w:val="both"/>
      </w:pPr>
      <w:r w:rsidRPr="0003349E">
        <w:t>Na základe zistení z kontroly Úradu pre verejné obstarávanie RO pripravil zmenu organizačnej štruktúry BSK a taktiež návrh nových pracovných zmlúv pre pracovníkov IS, ktorí sa po vykonaní všetkých potrebných úkonov stanú internými zamestnancami BSK.</w:t>
      </w:r>
    </w:p>
    <w:p w:rsidR="00D95ABE" w:rsidRPr="0003349E" w:rsidRDefault="00D95ABE" w:rsidP="0003349E">
      <w:pPr>
        <w:jc w:val="both"/>
        <w:rPr>
          <w:b/>
          <w:bCs/>
        </w:rPr>
      </w:pPr>
      <w:r w:rsidRPr="0003349E">
        <w:t>Naďalej pretrváva potreba dopracovať interné postupy riadiaceho orgánu tak, aby boli v súlade s národnými koncepčnými dokumentmi, ako aj legislatívou SR a ES, aby boli jednoznačné, presné a mali vypovedaciu schopnosť pre všetky subjekty zapojené do riadenia a kontroly OP INTERACT II; je potrebné aktualizovať Interný manuál procedúr, Opis riadiac</w:t>
      </w:r>
      <w:r>
        <w:t>ich</w:t>
      </w:r>
      <w:r w:rsidRPr="0003349E">
        <w:t xml:space="preserve"> a kontroln</w:t>
      </w:r>
      <w:r>
        <w:t>ých</w:t>
      </w:r>
      <w:r w:rsidRPr="0003349E">
        <w:t xml:space="preserve"> systém</w:t>
      </w:r>
      <w:r>
        <w:t>ov</w:t>
      </w:r>
      <w:r w:rsidRPr="0003349E">
        <w:t xml:space="preserve"> a vypracovať ďalšie potrebné dokumenty (vzdelávací plán a pod.). RO plánuje  realizovať vypracovanie nových dokumentov, zmeny a doplnky súčasných materiálov v druhej polovici roku 2010.</w:t>
      </w:r>
    </w:p>
    <w:p w:rsidR="00D95ABE" w:rsidRPr="0003349E" w:rsidRDefault="00D95ABE" w:rsidP="00384C79">
      <w:pPr>
        <w:jc w:val="both"/>
      </w:pPr>
      <w:r w:rsidRPr="0003349E">
        <w:tab/>
      </w:r>
    </w:p>
    <w:p w:rsidR="00D95ABE" w:rsidRPr="0003349E" w:rsidRDefault="00D95ABE" w:rsidP="005B700D">
      <w:pPr>
        <w:pStyle w:val="Heading1"/>
        <w:numPr>
          <w:ilvl w:val="0"/>
          <w:numId w:val="1"/>
        </w:numPr>
        <w:spacing w:before="120" w:after="240"/>
        <w:rPr>
          <w:rFonts w:ascii="Times New Roman" w:hAnsi="Times New Roman"/>
          <w:color w:val="auto"/>
          <w:sz w:val="24"/>
          <w:szCs w:val="24"/>
        </w:rPr>
      </w:pPr>
      <w:bookmarkStart w:id="9" w:name="_Toc272762873"/>
      <w:r w:rsidRPr="0003349E">
        <w:rPr>
          <w:rFonts w:ascii="Times New Roman" w:hAnsi="Times New Roman"/>
          <w:color w:val="auto"/>
          <w:sz w:val="24"/>
          <w:szCs w:val="24"/>
        </w:rPr>
        <w:t>Finančná implementácia OP INTERACT II</w:t>
      </w:r>
      <w:bookmarkEnd w:id="9"/>
    </w:p>
    <w:p w:rsidR="00D95ABE" w:rsidRPr="0003349E" w:rsidRDefault="00D95ABE" w:rsidP="005B700D">
      <w:pPr>
        <w:pStyle w:val="Heading2"/>
        <w:numPr>
          <w:ilvl w:val="1"/>
          <w:numId w:val="1"/>
        </w:numPr>
        <w:spacing w:before="120" w:after="120"/>
        <w:rPr>
          <w:rFonts w:ascii="Times New Roman" w:hAnsi="Times New Roman"/>
          <w:color w:val="auto"/>
          <w:sz w:val="24"/>
          <w:szCs w:val="24"/>
        </w:rPr>
      </w:pPr>
      <w:bookmarkStart w:id="10" w:name="_Toc272762874"/>
      <w:r w:rsidRPr="0003349E">
        <w:rPr>
          <w:rFonts w:ascii="Times New Roman" w:hAnsi="Times New Roman"/>
          <w:color w:val="auto"/>
          <w:sz w:val="24"/>
          <w:szCs w:val="24"/>
        </w:rPr>
        <w:t>Prijaté platby na účet CO k 30.06.2010</w:t>
      </w:r>
      <w:bookmarkEnd w:id="10"/>
    </w:p>
    <w:p w:rsidR="00D95ABE" w:rsidRPr="0003349E" w:rsidRDefault="00D95ABE" w:rsidP="006F4518">
      <w:pPr>
        <w:jc w:val="both"/>
        <w:rPr>
          <w:i/>
          <w:u w:val="single"/>
        </w:rPr>
      </w:pPr>
      <w:r w:rsidRPr="0003349E">
        <w:rPr>
          <w:i/>
          <w:u w:val="single"/>
        </w:rPr>
        <w:t xml:space="preserve">Obdobie od </w:t>
      </w:r>
      <w:r>
        <w:rPr>
          <w:i/>
          <w:u w:val="single"/>
        </w:rPr>
        <w:t>0</w:t>
      </w:r>
      <w:r w:rsidRPr="0003349E">
        <w:rPr>
          <w:i/>
          <w:u w:val="single"/>
        </w:rPr>
        <w:t>1.</w:t>
      </w:r>
      <w:r>
        <w:rPr>
          <w:i/>
          <w:u w:val="single"/>
        </w:rPr>
        <w:t>0</w:t>
      </w:r>
      <w:r w:rsidRPr="0003349E">
        <w:rPr>
          <w:i/>
          <w:u w:val="single"/>
        </w:rPr>
        <w:t>1.2010 – 30.</w:t>
      </w:r>
      <w:r>
        <w:rPr>
          <w:i/>
          <w:u w:val="single"/>
        </w:rPr>
        <w:t>0</w:t>
      </w:r>
      <w:r w:rsidRPr="0003349E">
        <w:rPr>
          <w:i/>
          <w:u w:val="single"/>
        </w:rPr>
        <w:t>6.2010</w:t>
      </w:r>
    </w:p>
    <w:p w:rsidR="00D95ABE" w:rsidRPr="0003349E" w:rsidRDefault="00D95ABE" w:rsidP="006F4518">
      <w:pPr>
        <w:jc w:val="both"/>
        <w:rPr>
          <w:i/>
          <w:u w:val="single"/>
        </w:rPr>
      </w:pPr>
    </w:p>
    <w:p w:rsidR="00D95ABE" w:rsidRPr="0003349E" w:rsidRDefault="00D95ABE" w:rsidP="006F4518">
      <w:pPr>
        <w:jc w:val="both"/>
      </w:pPr>
      <w:r w:rsidRPr="0003349E">
        <w:t xml:space="preserve">Dňa </w:t>
      </w:r>
      <w:r>
        <w:t>0</w:t>
      </w:r>
      <w:r w:rsidRPr="0003349E">
        <w:t>2.</w:t>
      </w:r>
      <w:r>
        <w:t>0</w:t>
      </w:r>
      <w:r w:rsidRPr="0003349E">
        <w:t>2.2010 CO odoslal na EK druhú priebežnú žiadosť o platbu vo  výške 836 770,93 EUR za zdroj ERDF. Uvedená suma bola prijatá na účet CO pre</w:t>
      </w:r>
      <w:r>
        <w:t xml:space="preserve"> príjem prostriedkov ERDF dňa 22</w:t>
      </w:r>
      <w:r w:rsidRPr="0003349E">
        <w:t>.</w:t>
      </w:r>
      <w:r>
        <w:t>0</w:t>
      </w:r>
      <w:r w:rsidRPr="0003349E">
        <w:t>2.2010.</w:t>
      </w:r>
    </w:p>
    <w:p w:rsidR="00D95ABE" w:rsidRPr="0003349E" w:rsidRDefault="00D95ABE" w:rsidP="006F4518">
      <w:pPr>
        <w:jc w:val="both"/>
      </w:pPr>
      <w:r w:rsidRPr="0003349E">
        <w:t>V sledovanom období boli na účet CO pre príjem príspevkov členských štátov prijaté príspevky devätnástich členských štátov v celkovej výške 593 492,72 EUR vrátane príspevku Švajčiarskej konfederácie (16 586,08 EUR) a Nórskeho kráľovstva (10 000,00 EUR).</w:t>
      </w:r>
    </w:p>
    <w:p w:rsidR="00D95ABE" w:rsidRDefault="00D95ABE" w:rsidP="006F4518">
      <w:pPr>
        <w:jc w:val="both"/>
        <w:rPr>
          <w:i/>
          <w:u w:val="single"/>
        </w:rPr>
      </w:pPr>
    </w:p>
    <w:p w:rsidR="00D95ABE" w:rsidRDefault="00D95ABE" w:rsidP="006F4518">
      <w:pPr>
        <w:jc w:val="both"/>
        <w:rPr>
          <w:i/>
          <w:u w:val="single"/>
        </w:rPr>
      </w:pPr>
    </w:p>
    <w:p w:rsidR="00D95ABE" w:rsidRPr="0003349E" w:rsidRDefault="00D95ABE" w:rsidP="006F4518">
      <w:pPr>
        <w:jc w:val="both"/>
        <w:rPr>
          <w:i/>
          <w:u w:val="single"/>
        </w:rPr>
      </w:pPr>
    </w:p>
    <w:p w:rsidR="00D95ABE" w:rsidRDefault="00D95ABE" w:rsidP="006F4518">
      <w:pPr>
        <w:jc w:val="both"/>
        <w:rPr>
          <w:i/>
          <w:u w:val="single"/>
        </w:rPr>
      </w:pPr>
      <w:r w:rsidRPr="0003349E">
        <w:rPr>
          <w:i/>
          <w:u w:val="single"/>
        </w:rPr>
        <w:t>Kumulatívne údaje k 30.6.2010</w:t>
      </w:r>
    </w:p>
    <w:p w:rsidR="00D95ABE" w:rsidRPr="00437B3E" w:rsidRDefault="00D95ABE" w:rsidP="006F4518">
      <w:pPr>
        <w:jc w:val="both"/>
        <w:rPr>
          <w:i/>
          <w:u w:val="single"/>
        </w:rPr>
      </w:pPr>
      <w:r w:rsidRPr="0003349E">
        <w:t>Od začiatku implementácie OP INTERACT II boli k 30.</w:t>
      </w:r>
      <w:r>
        <w:t>0</w:t>
      </w:r>
      <w:r w:rsidRPr="0003349E">
        <w:t xml:space="preserve">6.2010 na účet CO pre príjem prostriedkov ERDF prijaté prostriedky vo výške 4 640 223,78 EUR. Z vyššie uvedenej sumy boli na účet CO prijaté zálohové platby z EK v celkovej výške 3 063 016,08 EUR. </w:t>
      </w:r>
    </w:p>
    <w:p w:rsidR="00D95ABE" w:rsidRPr="0003349E" w:rsidRDefault="00D95ABE" w:rsidP="006F4518">
      <w:pPr>
        <w:jc w:val="both"/>
      </w:pPr>
    </w:p>
    <w:p w:rsidR="00D95ABE" w:rsidRPr="0003349E" w:rsidRDefault="00D95ABE" w:rsidP="006F4518">
      <w:pPr>
        <w:jc w:val="both"/>
      </w:pPr>
      <w:r w:rsidRPr="0003349E">
        <w:t>Prostriedky vo výške 1 577 207,70 EUR boli na účet CO prijaté na základe odoslania dvoch priebežných žiadostí o platbu na EK. Prehľad ŽoP zaslaných na EK uvádzame v tabuľke č. 1.</w:t>
      </w:r>
    </w:p>
    <w:p w:rsidR="00D95ABE" w:rsidRPr="0003349E" w:rsidRDefault="00D95ABE" w:rsidP="006F4518">
      <w:pPr>
        <w:pStyle w:val="Odsekzoznamu1"/>
        <w:spacing w:before="120"/>
        <w:ind w:left="0"/>
        <w:jc w:val="both"/>
        <w:rPr>
          <w:rFonts w:ascii="Times New Roman" w:hAnsi="Times New Roman"/>
          <w:sz w:val="24"/>
          <w:szCs w:val="24"/>
        </w:rPr>
      </w:pPr>
    </w:p>
    <w:p w:rsidR="00D95ABE" w:rsidRPr="0003349E" w:rsidRDefault="00D95ABE" w:rsidP="006F4518">
      <w:pPr>
        <w:pStyle w:val="Odsekzoznamu1"/>
        <w:spacing w:before="120"/>
        <w:ind w:left="0"/>
        <w:jc w:val="both"/>
        <w:rPr>
          <w:rFonts w:ascii="Times New Roman" w:hAnsi="Times New Roman"/>
          <w:sz w:val="24"/>
          <w:szCs w:val="24"/>
        </w:rPr>
      </w:pPr>
      <w:r w:rsidRPr="0003349E">
        <w:rPr>
          <w:rFonts w:ascii="Times New Roman" w:hAnsi="Times New Roman"/>
          <w:sz w:val="24"/>
          <w:szCs w:val="24"/>
        </w:rPr>
        <w:t>Tabuľka č. 1</w:t>
      </w:r>
    </w:p>
    <w:tbl>
      <w:tblPr>
        <w:tblW w:w="7528" w:type="dxa"/>
        <w:tblInd w:w="55" w:type="dxa"/>
        <w:tblCellMar>
          <w:left w:w="70" w:type="dxa"/>
          <w:right w:w="70" w:type="dxa"/>
        </w:tblCellMar>
        <w:tblLook w:val="00A0"/>
      </w:tblPr>
      <w:tblGrid>
        <w:gridCol w:w="1678"/>
        <w:gridCol w:w="1678"/>
        <w:gridCol w:w="1678"/>
        <w:gridCol w:w="1678"/>
        <w:gridCol w:w="1678"/>
      </w:tblGrid>
      <w:tr w:rsidR="00D95ABE" w:rsidRPr="0003349E" w:rsidTr="009F6669">
        <w:trPr>
          <w:trHeight w:val="20"/>
        </w:trPr>
        <w:tc>
          <w:tcPr>
            <w:tcW w:w="1678" w:type="dxa"/>
            <w:tcBorders>
              <w:top w:val="single" w:sz="4" w:space="0" w:color="auto"/>
              <w:left w:val="single" w:sz="4" w:space="0" w:color="auto"/>
              <w:bottom w:val="single" w:sz="4" w:space="0" w:color="auto"/>
              <w:right w:val="single" w:sz="4" w:space="0" w:color="auto"/>
            </w:tcBorders>
            <w:shd w:val="clear" w:color="000000" w:fill="D8D8D8"/>
            <w:vAlign w:val="center"/>
          </w:tcPr>
          <w:p w:rsidR="00D95ABE" w:rsidRPr="0003349E" w:rsidRDefault="00D95ABE" w:rsidP="009F6669">
            <w:pPr>
              <w:rPr>
                <w:b/>
                <w:i/>
              </w:rPr>
            </w:pPr>
            <w:r w:rsidRPr="0003349E">
              <w:rPr>
                <w:b/>
                <w:i/>
              </w:rPr>
              <w:t>ŽoP na EK v EUR</w:t>
            </w:r>
          </w:p>
        </w:tc>
        <w:tc>
          <w:tcPr>
            <w:tcW w:w="1678" w:type="dxa"/>
            <w:tcBorders>
              <w:top w:val="single" w:sz="4" w:space="0" w:color="auto"/>
              <w:left w:val="nil"/>
              <w:bottom w:val="single" w:sz="4" w:space="0" w:color="auto"/>
              <w:right w:val="single" w:sz="4" w:space="0" w:color="auto"/>
            </w:tcBorders>
            <w:shd w:val="clear" w:color="000000" w:fill="D8D8D8"/>
            <w:vAlign w:val="center"/>
          </w:tcPr>
          <w:p w:rsidR="00D95ABE" w:rsidRPr="0003349E" w:rsidRDefault="00D95ABE" w:rsidP="009F6669">
            <w:pPr>
              <w:rPr>
                <w:b/>
                <w:i/>
              </w:rPr>
            </w:pPr>
            <w:r w:rsidRPr="0003349E">
              <w:rPr>
                <w:b/>
                <w:i/>
              </w:rPr>
              <w:t xml:space="preserve">žiadaná suma </w:t>
            </w:r>
          </w:p>
        </w:tc>
        <w:tc>
          <w:tcPr>
            <w:tcW w:w="1678" w:type="dxa"/>
            <w:tcBorders>
              <w:top w:val="single" w:sz="4" w:space="0" w:color="auto"/>
              <w:left w:val="nil"/>
              <w:bottom w:val="single" w:sz="4" w:space="0" w:color="auto"/>
              <w:right w:val="single" w:sz="4" w:space="0" w:color="auto"/>
            </w:tcBorders>
            <w:shd w:val="clear" w:color="000000" w:fill="D8D8D8"/>
            <w:vAlign w:val="center"/>
          </w:tcPr>
          <w:p w:rsidR="00D95ABE" w:rsidRPr="0003349E" w:rsidRDefault="00D95ABE" w:rsidP="009F6669">
            <w:pPr>
              <w:rPr>
                <w:b/>
                <w:i/>
              </w:rPr>
            </w:pPr>
            <w:r w:rsidRPr="0003349E">
              <w:rPr>
                <w:b/>
                <w:i/>
              </w:rPr>
              <w:t>prijatá suma</w:t>
            </w:r>
          </w:p>
        </w:tc>
        <w:tc>
          <w:tcPr>
            <w:tcW w:w="1678" w:type="dxa"/>
            <w:tcBorders>
              <w:top w:val="single" w:sz="4" w:space="0" w:color="auto"/>
              <w:left w:val="nil"/>
              <w:bottom w:val="single" w:sz="4" w:space="0" w:color="auto"/>
              <w:right w:val="single" w:sz="4" w:space="0" w:color="auto"/>
            </w:tcBorders>
            <w:shd w:val="clear" w:color="000000" w:fill="D8D8D8"/>
            <w:vAlign w:val="center"/>
          </w:tcPr>
          <w:p w:rsidR="00D95ABE" w:rsidRPr="0003349E" w:rsidRDefault="00D95ABE" w:rsidP="009F6669">
            <w:pPr>
              <w:jc w:val="center"/>
              <w:rPr>
                <w:b/>
                <w:i/>
              </w:rPr>
            </w:pPr>
            <w:r w:rsidRPr="0003349E">
              <w:rPr>
                <w:b/>
                <w:i/>
              </w:rPr>
              <w:t>dátum zaslania ŽoP na EK</w:t>
            </w:r>
          </w:p>
        </w:tc>
        <w:tc>
          <w:tcPr>
            <w:tcW w:w="1678" w:type="dxa"/>
            <w:tcBorders>
              <w:top w:val="single" w:sz="4" w:space="0" w:color="auto"/>
              <w:left w:val="nil"/>
              <w:bottom w:val="single" w:sz="4" w:space="0" w:color="auto"/>
              <w:right w:val="single" w:sz="4" w:space="0" w:color="auto"/>
            </w:tcBorders>
            <w:shd w:val="clear" w:color="000000" w:fill="D8D8D8"/>
            <w:vAlign w:val="center"/>
          </w:tcPr>
          <w:p w:rsidR="00D95ABE" w:rsidRPr="0003349E" w:rsidRDefault="00D95ABE" w:rsidP="009F6669">
            <w:pPr>
              <w:rPr>
                <w:b/>
                <w:i/>
              </w:rPr>
            </w:pPr>
            <w:r w:rsidRPr="0003349E">
              <w:rPr>
                <w:b/>
                <w:i/>
              </w:rPr>
              <w:t>dátum pripísania na účet CO</w:t>
            </w:r>
          </w:p>
        </w:tc>
      </w:tr>
      <w:tr w:rsidR="00D95ABE" w:rsidRPr="0003349E" w:rsidTr="009F6669">
        <w:trPr>
          <w:trHeight w:val="20"/>
        </w:trPr>
        <w:tc>
          <w:tcPr>
            <w:tcW w:w="1678" w:type="dxa"/>
            <w:tcBorders>
              <w:top w:val="nil"/>
              <w:left w:val="single" w:sz="4" w:space="0" w:color="auto"/>
              <w:bottom w:val="single" w:sz="4" w:space="0" w:color="auto"/>
              <w:right w:val="single" w:sz="4" w:space="0" w:color="auto"/>
            </w:tcBorders>
            <w:noWrap/>
            <w:vAlign w:val="bottom"/>
          </w:tcPr>
          <w:p w:rsidR="00D95ABE" w:rsidRPr="0003349E" w:rsidRDefault="00D95ABE" w:rsidP="009F6669">
            <w:pPr>
              <w:rPr>
                <w:i/>
              </w:rPr>
            </w:pPr>
            <w:r w:rsidRPr="0003349E">
              <w:rPr>
                <w:i/>
              </w:rPr>
              <w:t>201 09 007 01</w:t>
            </w:r>
          </w:p>
        </w:tc>
        <w:tc>
          <w:tcPr>
            <w:tcW w:w="1678" w:type="dxa"/>
            <w:tcBorders>
              <w:top w:val="nil"/>
              <w:left w:val="nil"/>
              <w:bottom w:val="single" w:sz="4" w:space="0" w:color="auto"/>
              <w:right w:val="single" w:sz="4" w:space="0" w:color="auto"/>
            </w:tcBorders>
            <w:noWrap/>
            <w:vAlign w:val="bottom"/>
          </w:tcPr>
          <w:p w:rsidR="00D95ABE" w:rsidRPr="0003349E" w:rsidRDefault="00D95ABE" w:rsidP="009F6669">
            <w:pPr>
              <w:rPr>
                <w:i/>
              </w:rPr>
            </w:pPr>
            <w:r w:rsidRPr="0003349E">
              <w:rPr>
                <w:i/>
              </w:rPr>
              <w:t>740 436,77</w:t>
            </w:r>
          </w:p>
        </w:tc>
        <w:tc>
          <w:tcPr>
            <w:tcW w:w="1678" w:type="dxa"/>
            <w:tcBorders>
              <w:top w:val="nil"/>
              <w:left w:val="nil"/>
              <w:bottom w:val="single" w:sz="4" w:space="0" w:color="auto"/>
              <w:right w:val="single" w:sz="4" w:space="0" w:color="auto"/>
            </w:tcBorders>
            <w:noWrap/>
            <w:vAlign w:val="bottom"/>
          </w:tcPr>
          <w:p w:rsidR="00D95ABE" w:rsidRPr="0003349E" w:rsidRDefault="00D95ABE" w:rsidP="009F6669">
            <w:pPr>
              <w:rPr>
                <w:i/>
              </w:rPr>
            </w:pPr>
            <w:r w:rsidRPr="0003349E">
              <w:rPr>
                <w:i/>
              </w:rPr>
              <w:t>740 436,77</w:t>
            </w:r>
          </w:p>
        </w:tc>
        <w:tc>
          <w:tcPr>
            <w:tcW w:w="1678" w:type="dxa"/>
            <w:tcBorders>
              <w:top w:val="nil"/>
              <w:left w:val="nil"/>
              <w:bottom w:val="single" w:sz="4" w:space="0" w:color="auto"/>
              <w:right w:val="single" w:sz="4" w:space="0" w:color="auto"/>
            </w:tcBorders>
            <w:noWrap/>
            <w:vAlign w:val="bottom"/>
          </w:tcPr>
          <w:p w:rsidR="00D95ABE" w:rsidRPr="0003349E" w:rsidRDefault="00D95ABE" w:rsidP="009F6669">
            <w:pPr>
              <w:jc w:val="right"/>
              <w:rPr>
                <w:i/>
              </w:rPr>
            </w:pPr>
            <w:r w:rsidRPr="0003349E">
              <w:rPr>
                <w:i/>
              </w:rPr>
              <w:t>11.12.2009</w:t>
            </w:r>
          </w:p>
        </w:tc>
        <w:tc>
          <w:tcPr>
            <w:tcW w:w="1678" w:type="dxa"/>
            <w:tcBorders>
              <w:top w:val="nil"/>
              <w:left w:val="nil"/>
              <w:bottom w:val="single" w:sz="4" w:space="0" w:color="auto"/>
              <w:right w:val="single" w:sz="4" w:space="0" w:color="auto"/>
            </w:tcBorders>
            <w:noWrap/>
            <w:vAlign w:val="bottom"/>
          </w:tcPr>
          <w:p w:rsidR="00D95ABE" w:rsidRPr="0003349E" w:rsidRDefault="00D95ABE" w:rsidP="009F6669">
            <w:pPr>
              <w:jc w:val="right"/>
              <w:rPr>
                <w:i/>
              </w:rPr>
            </w:pPr>
            <w:r w:rsidRPr="0003349E">
              <w:rPr>
                <w:i/>
              </w:rPr>
              <w:t>31.12.20</w:t>
            </w:r>
            <w:r>
              <w:rPr>
                <w:i/>
              </w:rPr>
              <w:t>09</w:t>
            </w:r>
          </w:p>
        </w:tc>
      </w:tr>
      <w:tr w:rsidR="00D95ABE" w:rsidRPr="0003349E" w:rsidTr="009F6669">
        <w:trPr>
          <w:trHeight w:val="20"/>
        </w:trPr>
        <w:tc>
          <w:tcPr>
            <w:tcW w:w="1678" w:type="dxa"/>
            <w:tcBorders>
              <w:top w:val="nil"/>
              <w:left w:val="single" w:sz="4" w:space="0" w:color="auto"/>
              <w:bottom w:val="single" w:sz="4" w:space="0" w:color="auto"/>
              <w:right w:val="single" w:sz="4" w:space="0" w:color="auto"/>
            </w:tcBorders>
            <w:noWrap/>
            <w:vAlign w:val="bottom"/>
          </w:tcPr>
          <w:p w:rsidR="00D95ABE" w:rsidRPr="0003349E" w:rsidRDefault="00D95ABE" w:rsidP="009F6669">
            <w:pPr>
              <w:rPr>
                <w:i/>
              </w:rPr>
            </w:pPr>
            <w:r w:rsidRPr="0003349E">
              <w:rPr>
                <w:i/>
              </w:rPr>
              <w:t>201 10 007 02</w:t>
            </w:r>
          </w:p>
        </w:tc>
        <w:tc>
          <w:tcPr>
            <w:tcW w:w="1678" w:type="dxa"/>
            <w:tcBorders>
              <w:top w:val="nil"/>
              <w:left w:val="nil"/>
              <w:bottom w:val="single" w:sz="4" w:space="0" w:color="auto"/>
              <w:right w:val="single" w:sz="4" w:space="0" w:color="auto"/>
            </w:tcBorders>
            <w:noWrap/>
            <w:vAlign w:val="bottom"/>
          </w:tcPr>
          <w:p w:rsidR="00D95ABE" w:rsidRPr="0003349E" w:rsidRDefault="00D95ABE" w:rsidP="009F6669">
            <w:pPr>
              <w:rPr>
                <w:i/>
              </w:rPr>
            </w:pPr>
            <w:r w:rsidRPr="0003349E">
              <w:rPr>
                <w:i/>
              </w:rPr>
              <w:t>836 770,93</w:t>
            </w:r>
          </w:p>
        </w:tc>
        <w:tc>
          <w:tcPr>
            <w:tcW w:w="1678" w:type="dxa"/>
            <w:tcBorders>
              <w:top w:val="nil"/>
              <w:left w:val="nil"/>
              <w:bottom w:val="single" w:sz="4" w:space="0" w:color="auto"/>
              <w:right w:val="single" w:sz="4" w:space="0" w:color="auto"/>
            </w:tcBorders>
            <w:noWrap/>
            <w:vAlign w:val="bottom"/>
          </w:tcPr>
          <w:p w:rsidR="00D95ABE" w:rsidRPr="0003349E" w:rsidRDefault="00D95ABE" w:rsidP="009F6669">
            <w:pPr>
              <w:rPr>
                <w:i/>
              </w:rPr>
            </w:pPr>
            <w:r w:rsidRPr="0003349E">
              <w:rPr>
                <w:i/>
              </w:rPr>
              <w:t>836 770,93</w:t>
            </w:r>
          </w:p>
        </w:tc>
        <w:tc>
          <w:tcPr>
            <w:tcW w:w="1678" w:type="dxa"/>
            <w:tcBorders>
              <w:top w:val="nil"/>
              <w:left w:val="nil"/>
              <w:bottom w:val="single" w:sz="4" w:space="0" w:color="auto"/>
              <w:right w:val="single" w:sz="4" w:space="0" w:color="auto"/>
            </w:tcBorders>
            <w:noWrap/>
            <w:vAlign w:val="bottom"/>
          </w:tcPr>
          <w:p w:rsidR="00D95ABE" w:rsidRPr="0003349E" w:rsidRDefault="00D95ABE" w:rsidP="009F6669">
            <w:pPr>
              <w:jc w:val="right"/>
              <w:rPr>
                <w:i/>
              </w:rPr>
            </w:pPr>
            <w:r>
              <w:rPr>
                <w:i/>
              </w:rPr>
              <w:t>0</w:t>
            </w:r>
            <w:r w:rsidRPr="0003349E">
              <w:rPr>
                <w:i/>
              </w:rPr>
              <w:t>2.</w:t>
            </w:r>
            <w:r>
              <w:rPr>
                <w:i/>
              </w:rPr>
              <w:t>0</w:t>
            </w:r>
            <w:r w:rsidRPr="0003349E">
              <w:rPr>
                <w:i/>
              </w:rPr>
              <w:t>2.2010</w:t>
            </w:r>
          </w:p>
        </w:tc>
        <w:tc>
          <w:tcPr>
            <w:tcW w:w="1678" w:type="dxa"/>
            <w:tcBorders>
              <w:top w:val="nil"/>
              <w:left w:val="nil"/>
              <w:bottom w:val="single" w:sz="4" w:space="0" w:color="auto"/>
              <w:right w:val="single" w:sz="4" w:space="0" w:color="auto"/>
            </w:tcBorders>
            <w:noWrap/>
            <w:vAlign w:val="bottom"/>
          </w:tcPr>
          <w:p w:rsidR="00D95ABE" w:rsidRPr="0003349E" w:rsidRDefault="00D95ABE" w:rsidP="009F6669">
            <w:pPr>
              <w:jc w:val="right"/>
              <w:rPr>
                <w:i/>
              </w:rPr>
            </w:pPr>
            <w:r w:rsidRPr="0003349E">
              <w:rPr>
                <w:i/>
              </w:rPr>
              <w:t>2</w:t>
            </w:r>
            <w:r>
              <w:rPr>
                <w:i/>
              </w:rPr>
              <w:t>2</w:t>
            </w:r>
            <w:r w:rsidRPr="0003349E">
              <w:rPr>
                <w:i/>
              </w:rPr>
              <w:t>.</w:t>
            </w:r>
            <w:r>
              <w:rPr>
                <w:i/>
              </w:rPr>
              <w:t>0</w:t>
            </w:r>
            <w:r w:rsidRPr="0003349E">
              <w:rPr>
                <w:i/>
              </w:rPr>
              <w:t>2.2010</w:t>
            </w:r>
          </w:p>
        </w:tc>
      </w:tr>
    </w:tbl>
    <w:p w:rsidR="00D95ABE" w:rsidRPr="0003349E" w:rsidRDefault="00D95ABE" w:rsidP="006F4518">
      <w:pPr>
        <w:jc w:val="both"/>
      </w:pPr>
      <w:r w:rsidRPr="0003349E">
        <w:t>Zdroj: CO</w:t>
      </w:r>
    </w:p>
    <w:p w:rsidR="00D95ABE" w:rsidRPr="0003349E" w:rsidRDefault="00D95ABE" w:rsidP="006F4518">
      <w:pPr>
        <w:jc w:val="both"/>
      </w:pPr>
    </w:p>
    <w:p w:rsidR="00D95ABE" w:rsidRPr="0003349E" w:rsidRDefault="00D95ABE" w:rsidP="006F4518">
      <w:pPr>
        <w:jc w:val="both"/>
      </w:pPr>
      <w:r w:rsidRPr="0003349E">
        <w:t>K 30.</w:t>
      </w:r>
      <w:r>
        <w:t>0</w:t>
      </w:r>
      <w:r w:rsidRPr="0003349E">
        <w:t xml:space="preserve">6.2010 členské štáty zaslali na účet CO pre príjem príspevkov členských štátov svoje národné príspevky v celkovej výške </w:t>
      </w:r>
      <w:r w:rsidRPr="0003349E">
        <w:rPr>
          <w:bCs/>
        </w:rPr>
        <w:t>2 673 461,43 EUR vrátane príspevku</w:t>
      </w:r>
      <w:r w:rsidRPr="0003349E">
        <w:t xml:space="preserve">  Švajčiarskej konfederácie (33 196,08 EUR) a Nórskeho kráľovstva (40 000 EUR). Prijatá výška príspevkov predstavuje 49,06% z celkovej alokácie príspevkov členských štátov. Prehľadná tabuľka prijatých národných príspevkov je uvedená v prílohe č. 1.</w:t>
      </w:r>
    </w:p>
    <w:p w:rsidR="00D95ABE" w:rsidRPr="0003349E" w:rsidRDefault="00D95ABE" w:rsidP="006F4518">
      <w:pPr>
        <w:jc w:val="both"/>
      </w:pPr>
    </w:p>
    <w:p w:rsidR="00D95ABE" w:rsidRPr="0003349E" w:rsidRDefault="00D95ABE" w:rsidP="007B4573">
      <w:pPr>
        <w:pStyle w:val="Heading2"/>
        <w:numPr>
          <w:ilvl w:val="1"/>
          <w:numId w:val="1"/>
        </w:numPr>
        <w:spacing w:before="120" w:after="120"/>
        <w:rPr>
          <w:rFonts w:ascii="Times New Roman" w:hAnsi="Times New Roman"/>
          <w:color w:val="auto"/>
          <w:sz w:val="24"/>
          <w:szCs w:val="24"/>
        </w:rPr>
      </w:pPr>
      <w:bookmarkStart w:id="11" w:name="_Toc272762875"/>
      <w:r w:rsidRPr="0003349E">
        <w:rPr>
          <w:rFonts w:ascii="Times New Roman" w:hAnsi="Times New Roman"/>
          <w:color w:val="auto"/>
          <w:sz w:val="24"/>
          <w:szCs w:val="24"/>
        </w:rPr>
        <w:t>Platby poskytnuté z účtu CO k 30.</w:t>
      </w:r>
      <w:r>
        <w:rPr>
          <w:rFonts w:ascii="Times New Roman" w:hAnsi="Times New Roman"/>
          <w:color w:val="auto"/>
          <w:sz w:val="24"/>
          <w:szCs w:val="24"/>
        </w:rPr>
        <w:t>0</w:t>
      </w:r>
      <w:r w:rsidRPr="0003349E">
        <w:rPr>
          <w:rFonts w:ascii="Times New Roman" w:hAnsi="Times New Roman"/>
          <w:color w:val="auto"/>
          <w:sz w:val="24"/>
          <w:szCs w:val="24"/>
        </w:rPr>
        <w:t>6.2010</w:t>
      </w:r>
      <w:bookmarkEnd w:id="11"/>
    </w:p>
    <w:p w:rsidR="00D95ABE" w:rsidRPr="0003349E" w:rsidRDefault="00D95ABE" w:rsidP="006F4518">
      <w:pPr>
        <w:jc w:val="both"/>
        <w:rPr>
          <w:i/>
          <w:u w:val="single"/>
        </w:rPr>
      </w:pPr>
    </w:p>
    <w:p w:rsidR="00D95ABE" w:rsidRPr="0003349E" w:rsidRDefault="00D95ABE" w:rsidP="006F4518">
      <w:pPr>
        <w:jc w:val="both"/>
        <w:rPr>
          <w:b/>
        </w:rPr>
      </w:pPr>
      <w:r w:rsidRPr="0003349E">
        <w:rPr>
          <w:b/>
        </w:rPr>
        <w:t>4.2.1 Zálohové platby poskytnuté prijímateľom</w:t>
      </w:r>
    </w:p>
    <w:p w:rsidR="00D95ABE" w:rsidRPr="0003349E" w:rsidRDefault="00D95ABE" w:rsidP="006F4518">
      <w:pPr>
        <w:jc w:val="both"/>
        <w:rPr>
          <w:b/>
        </w:rPr>
      </w:pPr>
    </w:p>
    <w:p w:rsidR="00D95ABE" w:rsidRPr="0003349E" w:rsidRDefault="00D95ABE" w:rsidP="006F4518">
      <w:pPr>
        <w:jc w:val="both"/>
        <w:rPr>
          <w:i/>
          <w:u w:val="single"/>
        </w:rPr>
      </w:pPr>
      <w:r w:rsidRPr="0003349E">
        <w:rPr>
          <w:i/>
          <w:u w:val="single"/>
        </w:rPr>
        <w:t xml:space="preserve">Obdobie od </w:t>
      </w:r>
      <w:r>
        <w:rPr>
          <w:i/>
          <w:u w:val="single"/>
        </w:rPr>
        <w:t>0</w:t>
      </w:r>
      <w:r w:rsidRPr="0003349E">
        <w:rPr>
          <w:i/>
          <w:u w:val="single"/>
        </w:rPr>
        <w:t>1.</w:t>
      </w:r>
      <w:r>
        <w:rPr>
          <w:i/>
          <w:u w:val="single"/>
        </w:rPr>
        <w:t>0</w:t>
      </w:r>
      <w:r w:rsidRPr="0003349E">
        <w:rPr>
          <w:i/>
          <w:u w:val="single"/>
        </w:rPr>
        <w:t>1.2010 – 30.</w:t>
      </w:r>
      <w:r>
        <w:rPr>
          <w:i/>
          <w:u w:val="single"/>
        </w:rPr>
        <w:t>0</w:t>
      </w:r>
      <w:r w:rsidRPr="0003349E">
        <w:rPr>
          <w:i/>
          <w:u w:val="single"/>
        </w:rPr>
        <w:t>6.2010</w:t>
      </w:r>
    </w:p>
    <w:p w:rsidR="00D95ABE" w:rsidRPr="0003349E" w:rsidRDefault="00D95ABE" w:rsidP="006F4518">
      <w:pPr>
        <w:jc w:val="both"/>
      </w:pPr>
      <w:r w:rsidRPr="0003349E">
        <w:t>V sledovanom období boli poskytnuté 3 zálohové platby v celkovej výške 340 000 EUR, z toho 289 000 EUR za zdroj ERDF a 51 000 EUR za zdroj príspevkov členských štátov v rámci prioritnej osi 1 pre prijímateľa IS a v rámci prioritnej osi 2 pre prijímateľa RO a IS.</w:t>
      </w:r>
    </w:p>
    <w:p w:rsidR="00D95ABE" w:rsidRPr="0003349E" w:rsidRDefault="00D95ABE" w:rsidP="006F4518">
      <w:pPr>
        <w:jc w:val="both"/>
      </w:pPr>
    </w:p>
    <w:p w:rsidR="00D95ABE" w:rsidRPr="0003349E" w:rsidRDefault="00D95ABE" w:rsidP="006F4518">
      <w:pPr>
        <w:jc w:val="both"/>
        <w:rPr>
          <w:i/>
          <w:u w:val="single"/>
        </w:rPr>
      </w:pPr>
      <w:r w:rsidRPr="0003349E">
        <w:rPr>
          <w:i/>
          <w:u w:val="single"/>
        </w:rPr>
        <w:t>Kumulatívne údaje k 30.</w:t>
      </w:r>
      <w:r>
        <w:rPr>
          <w:i/>
          <w:u w:val="single"/>
        </w:rPr>
        <w:t>0</w:t>
      </w:r>
      <w:r w:rsidRPr="0003349E">
        <w:rPr>
          <w:i/>
          <w:u w:val="single"/>
        </w:rPr>
        <w:t>6.2010</w:t>
      </w:r>
    </w:p>
    <w:p w:rsidR="00D95ABE" w:rsidRPr="0003349E" w:rsidRDefault="00D95ABE" w:rsidP="006F4518">
      <w:pPr>
        <w:jc w:val="both"/>
      </w:pPr>
      <w:r w:rsidRPr="0003349E">
        <w:t>Od začiatku implementácie OP INTERACT II bolo na CO poskytnutých 21 zálohových platieb nasledovne:</w:t>
      </w:r>
    </w:p>
    <w:p w:rsidR="00D95ABE" w:rsidRPr="0003349E" w:rsidRDefault="00D95ABE" w:rsidP="006F4518">
      <w:pPr>
        <w:numPr>
          <w:ilvl w:val="0"/>
          <w:numId w:val="8"/>
        </w:numPr>
        <w:jc w:val="both"/>
      </w:pPr>
      <w:r w:rsidRPr="0003349E">
        <w:t xml:space="preserve">jedna tranža zálohovej platby bola schválená a uhradená v rámci prioritnej osi 2 pre prijímateľa CO a OA, </w:t>
      </w:r>
    </w:p>
    <w:p w:rsidR="00D95ABE" w:rsidRPr="0003349E" w:rsidRDefault="00D95ABE" w:rsidP="006F4518">
      <w:pPr>
        <w:numPr>
          <w:ilvl w:val="0"/>
          <w:numId w:val="8"/>
        </w:numPr>
        <w:jc w:val="both"/>
      </w:pPr>
      <w:r w:rsidRPr="0003349E">
        <w:t>dve tranže zálohových platieb boli schválené a uhradené v rámci prioritnej osi 1 pre IP Turku, IP Valencia, IP Viborg a IP Viedeň a RO,</w:t>
      </w:r>
    </w:p>
    <w:p w:rsidR="00D95ABE" w:rsidRPr="0003349E" w:rsidRDefault="00D95ABE" w:rsidP="006F4518">
      <w:pPr>
        <w:numPr>
          <w:ilvl w:val="0"/>
          <w:numId w:val="8"/>
        </w:numPr>
        <w:jc w:val="both"/>
      </w:pPr>
      <w:r w:rsidRPr="0003349E">
        <w:t xml:space="preserve">tri tranže zálohových platieb boli schválené v rámci prioritnej osi 1 pre prijímateľa IS a v rámci prioritnej osi 2 pre prijímateľa RO a IS. </w:t>
      </w:r>
    </w:p>
    <w:p w:rsidR="00D95ABE" w:rsidRPr="0003349E" w:rsidRDefault="00D95ABE" w:rsidP="006F4518">
      <w:pPr>
        <w:jc w:val="both"/>
      </w:pPr>
    </w:p>
    <w:p w:rsidR="00D95ABE" w:rsidRPr="0003349E" w:rsidRDefault="00D95ABE" w:rsidP="006F4518">
      <w:pPr>
        <w:jc w:val="both"/>
      </w:pPr>
      <w:r w:rsidRPr="0003349E">
        <w:t xml:space="preserve">Celkovo bolo zo strany CO v zálohových platbách vyplatených 3 794 515 EUR, z toho za zdroj ERDF 3 225 337,75 EUR a za zdroj príspevkov členských štátov 569 177,25 EUR. </w:t>
      </w:r>
    </w:p>
    <w:p w:rsidR="00D95ABE" w:rsidRPr="0003349E" w:rsidRDefault="00D95ABE" w:rsidP="00BE056E">
      <w:pPr>
        <w:pStyle w:val="BodyTextIndent"/>
        <w:ind w:firstLine="0"/>
        <w:rPr>
          <w:rFonts w:cs="Arial Narrow"/>
        </w:rPr>
      </w:pPr>
      <w:r w:rsidRPr="0003349E">
        <w:t>Prvé tranže zálohových platieb boli kontaktným bodom uhradené v súlade so Zmluvou o poskytnutí príspevku (Subsidy Contract). Pre prijímateľov v rámci prioritnej osi 2 CO a OA  a prijímateľov v rámci oboch prioritných osí RO a IS bolo na základe záverov zo stretnutia CO a BSK, ktoré sa uskutočnilo dňa 29.07.2008 a z dôvodu zabezpečenia rozbehnutia činnosti jednotlivých subjektov na začiatku implementácie OP INTERACT II umožnené poskytnutie zálohových platieb v súlade s Rozhodnutím o použití prostriedkov operačného programu</w:t>
      </w:r>
      <w:r w:rsidRPr="0003349E">
        <w:rPr>
          <w:rFonts w:cs="Arial Narrow"/>
        </w:rPr>
        <w:t>.</w:t>
      </w:r>
    </w:p>
    <w:p w:rsidR="00D95ABE" w:rsidRPr="0003349E" w:rsidRDefault="00D95ABE" w:rsidP="00BE056E">
      <w:pPr>
        <w:jc w:val="both"/>
      </w:pPr>
      <w:r w:rsidRPr="0003349E">
        <w:t>Požiadavka na vyplatenie druhých tranží zálohových platieb bola prediskutovaná na stretnutí zástupcov RO, IS a CO v Bruseli zo dňa 09.03.2010, v zmysle záverov ktorého boli vyplatené zálohové platby pre kontaktné body. Následne CO pristúpil k rovnakému ústretovému kroku aj voči prijímateľom RO a IS.</w:t>
      </w:r>
    </w:p>
    <w:p w:rsidR="00D95ABE" w:rsidRPr="0003349E" w:rsidRDefault="00D95ABE" w:rsidP="00BE056E">
      <w:pPr>
        <w:jc w:val="both"/>
      </w:pPr>
    </w:p>
    <w:p w:rsidR="00D95ABE" w:rsidRPr="0003349E" w:rsidRDefault="00D95ABE" w:rsidP="00BE056E">
      <w:pPr>
        <w:jc w:val="both"/>
      </w:pPr>
      <w:r w:rsidRPr="0003349E">
        <w:t xml:space="preserve">Požiadavka na vyplatenie 3. tranže zálohovej platby pre prijímateľov RO a IS bola zo strany RO predložená na stretnutí zástupcov RO, IS, CO dňa 23.04.2010 a odsúhlasená CO listom zo dňa 05.05.2010 vzhľadom na finančné problémy RO a IS, ktoré ohrozovali samotnú implementáciu programu. </w:t>
      </w:r>
    </w:p>
    <w:p w:rsidR="00D95ABE" w:rsidRPr="0003349E" w:rsidRDefault="00D95ABE" w:rsidP="00BE056E">
      <w:pPr>
        <w:jc w:val="both"/>
      </w:pPr>
      <w:r w:rsidRPr="0003349E">
        <w:t>Detailné údaje o výške a termínoch vyplatenia zálohových platieb sú uvedené v prílohe č. 2.</w:t>
      </w:r>
    </w:p>
    <w:p w:rsidR="00D95ABE" w:rsidRPr="0003349E" w:rsidRDefault="00D95ABE" w:rsidP="006F4518">
      <w:pPr>
        <w:jc w:val="both"/>
      </w:pPr>
    </w:p>
    <w:p w:rsidR="00D95ABE" w:rsidRPr="0003349E" w:rsidRDefault="00D95ABE" w:rsidP="006F4518">
      <w:pPr>
        <w:jc w:val="both"/>
      </w:pPr>
    </w:p>
    <w:p w:rsidR="00D95ABE" w:rsidRPr="0003349E" w:rsidRDefault="00D95ABE" w:rsidP="006F4518">
      <w:pPr>
        <w:jc w:val="both"/>
        <w:rPr>
          <w:b/>
        </w:rPr>
      </w:pPr>
      <w:r w:rsidRPr="0003349E">
        <w:rPr>
          <w:b/>
        </w:rPr>
        <w:t>4.2.2 Prostriedky poskytnuté na základe predložených žiadostí o priebežnú platbu (refundácia)</w:t>
      </w:r>
    </w:p>
    <w:p w:rsidR="00D95ABE" w:rsidRPr="0003349E" w:rsidRDefault="00D95ABE" w:rsidP="006F4518">
      <w:pPr>
        <w:jc w:val="both"/>
        <w:rPr>
          <w:i/>
          <w:u w:val="single"/>
        </w:rPr>
      </w:pPr>
      <w:r w:rsidRPr="0003349E">
        <w:rPr>
          <w:i/>
          <w:u w:val="single"/>
        </w:rPr>
        <w:t xml:space="preserve">Obdobie od </w:t>
      </w:r>
      <w:r>
        <w:rPr>
          <w:i/>
          <w:u w:val="single"/>
        </w:rPr>
        <w:t>0</w:t>
      </w:r>
      <w:r w:rsidRPr="0003349E">
        <w:rPr>
          <w:i/>
          <w:u w:val="single"/>
        </w:rPr>
        <w:t>1.</w:t>
      </w:r>
      <w:r>
        <w:rPr>
          <w:i/>
          <w:u w:val="single"/>
        </w:rPr>
        <w:t>0</w:t>
      </w:r>
      <w:r w:rsidRPr="0003349E">
        <w:rPr>
          <w:i/>
          <w:u w:val="single"/>
        </w:rPr>
        <w:t>1.2010 – 30.</w:t>
      </w:r>
      <w:r>
        <w:rPr>
          <w:i/>
          <w:u w:val="single"/>
        </w:rPr>
        <w:t>0</w:t>
      </w:r>
      <w:r w:rsidRPr="0003349E">
        <w:rPr>
          <w:i/>
          <w:u w:val="single"/>
        </w:rPr>
        <w:t>6.2010</w:t>
      </w:r>
    </w:p>
    <w:p w:rsidR="00D95ABE" w:rsidRPr="0003349E" w:rsidRDefault="00D95ABE" w:rsidP="006F4518">
      <w:pPr>
        <w:jc w:val="both"/>
        <w:rPr>
          <w:i/>
          <w:u w:val="single"/>
        </w:rPr>
      </w:pPr>
    </w:p>
    <w:p w:rsidR="00D95ABE" w:rsidRPr="0003349E" w:rsidRDefault="00D95ABE" w:rsidP="006F4518">
      <w:pPr>
        <w:jc w:val="both"/>
      </w:pPr>
      <w:r w:rsidRPr="0003349E">
        <w:t>V sledovanom období bolo na CO predložených celkovo 6 priebežných žiadostí o platbu v celkovej výške 525 139,21 EUR. Z uvedeného počtu bolo 5 ŽoP schválených v celkovej sume 510 741,38 EUR, v rámci ktorých bola 1 ŽoP schválená v zníženej sume. Na RO bola vrátená 1 ŽoP v sume 11 481,13 EUR.</w:t>
      </w:r>
    </w:p>
    <w:p w:rsidR="00D95ABE" w:rsidRPr="0003349E" w:rsidRDefault="00D95ABE" w:rsidP="006F4518">
      <w:pPr>
        <w:jc w:val="both"/>
        <w:rPr>
          <w:i/>
          <w:u w:val="single"/>
        </w:rPr>
      </w:pPr>
    </w:p>
    <w:p w:rsidR="00D95ABE" w:rsidRPr="0003349E" w:rsidRDefault="00D95ABE" w:rsidP="006F4518">
      <w:pPr>
        <w:jc w:val="both"/>
        <w:rPr>
          <w:i/>
          <w:u w:val="single"/>
        </w:rPr>
      </w:pPr>
      <w:r w:rsidRPr="0003349E">
        <w:rPr>
          <w:i/>
          <w:u w:val="single"/>
        </w:rPr>
        <w:t>Kumulatívne údaje k 30.</w:t>
      </w:r>
      <w:r>
        <w:rPr>
          <w:i/>
          <w:u w:val="single"/>
        </w:rPr>
        <w:t>0</w:t>
      </w:r>
      <w:r w:rsidRPr="0003349E">
        <w:rPr>
          <w:i/>
          <w:u w:val="single"/>
        </w:rPr>
        <w:t>6.2010</w:t>
      </w:r>
    </w:p>
    <w:p w:rsidR="00D95ABE" w:rsidRPr="0003349E" w:rsidRDefault="00D95ABE" w:rsidP="006F4518">
      <w:pPr>
        <w:jc w:val="both"/>
      </w:pPr>
      <w:r w:rsidRPr="0003349E">
        <w:t>Na CO bolo k 30.06.2010 predložených 20 priebežných ŽoP v celkovej výške 2 792 834,61 EUR, z toho za zdroj ERDF 2 373 909,43 a za zdroj príspevkov členských štátov 418 925,18 EUR, pričom z uvedeného počtu bolo z úrovne CO:</w:t>
      </w:r>
    </w:p>
    <w:p w:rsidR="00D95ABE" w:rsidRPr="0003349E" w:rsidRDefault="00D95ABE" w:rsidP="006F4518">
      <w:pPr>
        <w:pStyle w:val="Odsekzoznamu1"/>
        <w:numPr>
          <w:ilvl w:val="0"/>
          <w:numId w:val="10"/>
        </w:numPr>
        <w:jc w:val="both"/>
        <w:rPr>
          <w:rFonts w:ascii="Times New Roman" w:hAnsi="Times New Roman"/>
          <w:sz w:val="24"/>
          <w:szCs w:val="24"/>
        </w:rPr>
      </w:pPr>
      <w:r w:rsidRPr="0003349E">
        <w:rPr>
          <w:rFonts w:ascii="Times New Roman" w:hAnsi="Times New Roman"/>
          <w:sz w:val="24"/>
          <w:szCs w:val="24"/>
        </w:rPr>
        <w:t>16 ŽoP schválených v celkovej výške 2 611 277,83 EUR;</w:t>
      </w:r>
    </w:p>
    <w:p w:rsidR="00D95ABE" w:rsidRPr="0003349E" w:rsidRDefault="00D95ABE" w:rsidP="006F4518">
      <w:pPr>
        <w:pStyle w:val="Odsekzoznamu1"/>
        <w:numPr>
          <w:ilvl w:val="0"/>
          <w:numId w:val="10"/>
        </w:numPr>
        <w:jc w:val="both"/>
        <w:rPr>
          <w:rFonts w:ascii="Times New Roman" w:hAnsi="Times New Roman"/>
          <w:sz w:val="24"/>
          <w:szCs w:val="24"/>
        </w:rPr>
      </w:pPr>
      <w:r w:rsidRPr="0003349E">
        <w:rPr>
          <w:rFonts w:ascii="Times New Roman" w:hAnsi="Times New Roman"/>
          <w:sz w:val="24"/>
          <w:szCs w:val="24"/>
        </w:rPr>
        <w:t>3 ŽoP zamietnuté v celkovej výške 170 075,65 EUR;</w:t>
      </w:r>
    </w:p>
    <w:p w:rsidR="00D95ABE" w:rsidRPr="0003349E" w:rsidRDefault="00D95ABE" w:rsidP="006F4518">
      <w:pPr>
        <w:pStyle w:val="Odsekzoznamu1"/>
        <w:numPr>
          <w:ilvl w:val="0"/>
          <w:numId w:val="10"/>
        </w:numPr>
        <w:jc w:val="both"/>
        <w:rPr>
          <w:rFonts w:ascii="Times New Roman" w:hAnsi="Times New Roman"/>
          <w:sz w:val="24"/>
          <w:szCs w:val="24"/>
        </w:rPr>
      </w:pPr>
      <w:r w:rsidRPr="0003349E">
        <w:rPr>
          <w:rFonts w:ascii="Times New Roman" w:hAnsi="Times New Roman"/>
          <w:sz w:val="24"/>
          <w:szCs w:val="24"/>
        </w:rPr>
        <w:t>1 ŽoP vrátená na RO v celkovej výške 11 481,13 EUR.</w:t>
      </w:r>
    </w:p>
    <w:p w:rsidR="00D95ABE" w:rsidRPr="0003349E" w:rsidRDefault="00D95ABE" w:rsidP="006F4518">
      <w:pPr>
        <w:jc w:val="both"/>
      </w:pPr>
      <w:r w:rsidRPr="0003349E">
        <w:t>Zo strany CO boli k 30.</w:t>
      </w:r>
      <w:r>
        <w:t>0</w:t>
      </w:r>
      <w:r w:rsidRPr="0003349E">
        <w:t>6.2010 schválené  priebežné žiadosti o platbu v celkovej výške 2 611 277,83 EUR, z toho za zdroj ERDF 2 219 586,16 EUR a za zdroj príspevkov členských štátov 391 691,67 EUR (príloha č. 3).</w:t>
      </w:r>
    </w:p>
    <w:p w:rsidR="00D95ABE" w:rsidRPr="0003349E" w:rsidRDefault="00D95ABE" w:rsidP="006F4518">
      <w:pPr>
        <w:jc w:val="both"/>
        <w:rPr>
          <w:b/>
        </w:rPr>
      </w:pPr>
    </w:p>
    <w:p w:rsidR="00D95ABE" w:rsidRPr="0003349E" w:rsidRDefault="00D95ABE" w:rsidP="007B4573">
      <w:pPr>
        <w:pStyle w:val="Heading2"/>
        <w:numPr>
          <w:ilvl w:val="1"/>
          <w:numId w:val="1"/>
        </w:numPr>
        <w:spacing w:before="120" w:after="120"/>
        <w:rPr>
          <w:rFonts w:ascii="Times New Roman" w:hAnsi="Times New Roman"/>
          <w:color w:val="auto"/>
          <w:sz w:val="24"/>
          <w:szCs w:val="24"/>
        </w:rPr>
      </w:pPr>
      <w:bookmarkStart w:id="12" w:name="_Toc272762876"/>
      <w:r w:rsidRPr="0003349E">
        <w:rPr>
          <w:rFonts w:ascii="Times New Roman" w:hAnsi="Times New Roman"/>
          <w:color w:val="auto"/>
          <w:sz w:val="24"/>
          <w:szCs w:val="24"/>
        </w:rPr>
        <w:t>Stav čerpania k 30. 06 2010</w:t>
      </w:r>
      <w:bookmarkEnd w:id="12"/>
    </w:p>
    <w:p w:rsidR="00D95ABE" w:rsidRPr="0003349E" w:rsidRDefault="00D95ABE" w:rsidP="006F4518">
      <w:pPr>
        <w:spacing w:before="120"/>
        <w:jc w:val="both"/>
      </w:pPr>
      <w:r w:rsidRPr="0003349E">
        <w:t>Aktuálne čerpanie prostriedkov ERDF vo výške 2 219 586,00 EUR voči záväzku 2007 – 2013 (30 154 277,00 EUR)</w:t>
      </w:r>
      <w:r w:rsidRPr="0003349E">
        <w:rPr>
          <w:rStyle w:val="FootnoteReference"/>
        </w:rPr>
        <w:footnoteReference w:id="4"/>
      </w:r>
      <w:r w:rsidRPr="0003349E">
        <w:t xml:space="preserve"> pre OP INTERACT II, predstavuje 7,36 % (viď príloha č. 4). </w:t>
      </w:r>
    </w:p>
    <w:p w:rsidR="00D95ABE" w:rsidRPr="0003349E" w:rsidRDefault="00D95ABE" w:rsidP="006F4518">
      <w:pPr>
        <w:pStyle w:val="Odsekzoznamu1"/>
        <w:spacing w:before="120"/>
        <w:ind w:left="0"/>
        <w:jc w:val="both"/>
        <w:rPr>
          <w:rFonts w:ascii="Times New Roman" w:hAnsi="Times New Roman"/>
          <w:sz w:val="24"/>
          <w:szCs w:val="24"/>
        </w:rPr>
      </w:pPr>
      <w:r w:rsidRPr="0003349E">
        <w:rPr>
          <w:rFonts w:ascii="Times New Roman" w:hAnsi="Times New Roman"/>
          <w:sz w:val="24"/>
          <w:szCs w:val="24"/>
        </w:rPr>
        <w:t>Podiel čerpania prostriedkov ERDF (2 219 586,00 EUR) po zohľadnení prijatých zálohových platieb (3 063 016,00 EUR) voči upravenému záväzku 2008</w:t>
      </w:r>
      <w:r w:rsidRPr="0003349E">
        <w:rPr>
          <w:rStyle w:val="FootnoteReference"/>
          <w:rFonts w:ascii="Times New Roman" w:hAnsi="Times New Roman"/>
          <w:sz w:val="24"/>
          <w:szCs w:val="24"/>
        </w:rPr>
        <w:footnoteReference w:id="5"/>
      </w:r>
      <w:r w:rsidRPr="0003349E">
        <w:rPr>
          <w:rFonts w:ascii="Times New Roman" w:hAnsi="Times New Roman"/>
          <w:sz w:val="24"/>
          <w:szCs w:val="24"/>
        </w:rPr>
        <w:t xml:space="preserve"> (v zmysle tzv. pravidla n+3) v sume </w:t>
      </w:r>
      <w:r>
        <w:rPr>
          <w:rFonts w:ascii="Times New Roman" w:hAnsi="Times New Roman"/>
          <w:sz w:val="24"/>
          <w:szCs w:val="24"/>
        </w:rPr>
        <w:t>4 378 651</w:t>
      </w:r>
      <w:r w:rsidRPr="0003349E">
        <w:rPr>
          <w:rFonts w:ascii="Times New Roman" w:hAnsi="Times New Roman"/>
          <w:sz w:val="24"/>
          <w:szCs w:val="24"/>
        </w:rPr>
        <w:t xml:space="preserve"> EUR pre OP INTERACT II k 30.</w:t>
      </w:r>
      <w:r>
        <w:rPr>
          <w:rFonts w:ascii="Times New Roman" w:hAnsi="Times New Roman"/>
          <w:sz w:val="24"/>
          <w:szCs w:val="24"/>
        </w:rPr>
        <w:t>0</w:t>
      </w:r>
      <w:r w:rsidRPr="0003349E">
        <w:rPr>
          <w:rFonts w:ascii="Times New Roman" w:hAnsi="Times New Roman"/>
          <w:sz w:val="24"/>
          <w:szCs w:val="24"/>
        </w:rPr>
        <w:t xml:space="preserve">6.2010 predstavuje 100 %, čím bolo splnené pravidlo n+3 pre záväzok roku 2008. </w:t>
      </w:r>
    </w:p>
    <w:p w:rsidR="00D95ABE" w:rsidRPr="0003349E" w:rsidRDefault="00D95ABE" w:rsidP="006F4518">
      <w:pPr>
        <w:pStyle w:val="Odsekzoznamu1"/>
        <w:spacing w:before="120"/>
        <w:ind w:left="0"/>
        <w:jc w:val="both"/>
        <w:rPr>
          <w:rFonts w:ascii="Times New Roman" w:hAnsi="Times New Roman"/>
          <w:sz w:val="24"/>
          <w:szCs w:val="24"/>
        </w:rPr>
      </w:pPr>
      <w:r w:rsidRPr="0003349E">
        <w:rPr>
          <w:rFonts w:ascii="Times New Roman" w:hAnsi="Times New Roman"/>
          <w:sz w:val="24"/>
          <w:szCs w:val="24"/>
        </w:rPr>
        <w:t>Podiel čerpania prostriedkov ERDF vo výške 2 219 586,00 EUR k 30.</w:t>
      </w:r>
      <w:r>
        <w:rPr>
          <w:rFonts w:ascii="Times New Roman" w:hAnsi="Times New Roman"/>
          <w:sz w:val="24"/>
          <w:szCs w:val="24"/>
        </w:rPr>
        <w:t>0</w:t>
      </w:r>
      <w:r w:rsidRPr="0003349E">
        <w:rPr>
          <w:rFonts w:ascii="Times New Roman" w:hAnsi="Times New Roman"/>
          <w:sz w:val="24"/>
          <w:szCs w:val="24"/>
        </w:rPr>
        <w:t xml:space="preserve">6.2010 voči upravenému záväzku 2009 (v zmysle pravidla n+3) v sume </w:t>
      </w:r>
      <w:r>
        <w:rPr>
          <w:rFonts w:ascii="Times New Roman" w:hAnsi="Times New Roman"/>
          <w:sz w:val="24"/>
          <w:szCs w:val="24"/>
        </w:rPr>
        <w:t>4 792 372</w:t>
      </w:r>
      <w:r w:rsidRPr="0003349E">
        <w:rPr>
          <w:rFonts w:ascii="Times New Roman" w:hAnsi="Times New Roman"/>
          <w:sz w:val="24"/>
          <w:szCs w:val="24"/>
        </w:rPr>
        <w:t xml:space="preserve"> EUR je na úrovni </w:t>
      </w:r>
      <w:r>
        <w:rPr>
          <w:rFonts w:ascii="Times New Roman" w:hAnsi="Times New Roman"/>
          <w:sz w:val="24"/>
          <w:szCs w:val="24"/>
        </w:rPr>
        <w:t>18,86 </w:t>
      </w:r>
      <w:r w:rsidRPr="0003349E">
        <w:rPr>
          <w:rFonts w:ascii="Times New Roman" w:hAnsi="Times New Roman"/>
          <w:sz w:val="24"/>
          <w:szCs w:val="24"/>
        </w:rPr>
        <w:t>%.</w:t>
      </w:r>
    </w:p>
    <w:p w:rsidR="00D95ABE" w:rsidRPr="0003349E" w:rsidRDefault="00D95ABE" w:rsidP="002B0654">
      <w:pPr>
        <w:rPr>
          <w:rFonts w:ascii="Arial Narrow" w:hAnsi="Arial Narrow"/>
        </w:rPr>
      </w:pPr>
      <w:r w:rsidRPr="0003349E">
        <w:rPr>
          <w:rFonts w:ascii="Arial Narrow" w:hAnsi="Arial Narrow"/>
        </w:rPr>
        <w:tab/>
      </w:r>
      <w:r w:rsidRPr="0003349E">
        <w:rPr>
          <w:rFonts w:ascii="Arial Narrow" w:hAnsi="Arial Narrow"/>
        </w:rPr>
        <w:tab/>
      </w:r>
      <w:r w:rsidRPr="0003349E">
        <w:rPr>
          <w:rFonts w:ascii="Arial Narrow" w:hAnsi="Arial Narrow"/>
        </w:rPr>
        <w:tab/>
      </w:r>
      <w:r w:rsidRPr="0003349E">
        <w:rPr>
          <w:rFonts w:ascii="Arial Narrow" w:hAnsi="Arial Narrow"/>
        </w:rPr>
        <w:tab/>
        <w:t xml:space="preserve"> </w:t>
      </w:r>
    </w:p>
    <w:p w:rsidR="00D95ABE" w:rsidRPr="0003349E" w:rsidRDefault="00D95ABE" w:rsidP="00575C13">
      <w:pPr>
        <w:pStyle w:val="Heading2"/>
        <w:numPr>
          <w:ilvl w:val="1"/>
          <w:numId w:val="1"/>
        </w:numPr>
        <w:spacing w:before="120" w:after="120"/>
        <w:rPr>
          <w:rFonts w:ascii="Times New Roman" w:hAnsi="Times New Roman"/>
          <w:color w:val="auto"/>
          <w:sz w:val="24"/>
          <w:szCs w:val="24"/>
        </w:rPr>
      </w:pPr>
      <w:bookmarkStart w:id="13" w:name="_Toc272762877"/>
      <w:r w:rsidRPr="0003349E">
        <w:rPr>
          <w:rFonts w:ascii="Times New Roman" w:hAnsi="Times New Roman"/>
          <w:color w:val="auto"/>
          <w:sz w:val="24"/>
          <w:szCs w:val="24"/>
        </w:rPr>
        <w:t>Certifikácia výdavkov a systémov riadenia a kontroly</w:t>
      </w:r>
      <w:bookmarkEnd w:id="13"/>
      <w:r w:rsidRPr="0003349E">
        <w:rPr>
          <w:rFonts w:ascii="Times New Roman" w:hAnsi="Times New Roman"/>
          <w:color w:val="auto"/>
          <w:sz w:val="24"/>
          <w:szCs w:val="24"/>
        </w:rPr>
        <w:tab/>
      </w:r>
      <w:r w:rsidRPr="0003349E">
        <w:rPr>
          <w:rFonts w:ascii="Times New Roman" w:hAnsi="Times New Roman"/>
          <w:color w:val="auto"/>
          <w:sz w:val="24"/>
          <w:szCs w:val="24"/>
        </w:rPr>
        <w:tab/>
      </w:r>
    </w:p>
    <w:p w:rsidR="00D95ABE" w:rsidRPr="0003349E" w:rsidRDefault="00D95ABE" w:rsidP="006C60D1">
      <w:pPr>
        <w:jc w:val="both"/>
      </w:pPr>
      <w:r>
        <w:t xml:space="preserve">V sledovanom období od 01.01.2010 – 30.06.2010 </w:t>
      </w:r>
      <w:r w:rsidRPr="0003349E">
        <w:t xml:space="preserve">bolo vykonané </w:t>
      </w:r>
      <w:r>
        <w:t>p</w:t>
      </w:r>
      <w:r w:rsidRPr="0003349E">
        <w:t>riebežné certifikačné overovanie priamo na RO v rámci 1 ŽoP</w:t>
      </w:r>
      <w:r>
        <w:t xml:space="preserve"> zo 6 predložených</w:t>
      </w:r>
      <w:r w:rsidRPr="0003349E">
        <w:t xml:space="preserve">. Overovaná vzorka výdavkov predstavuje sumu 9 426,15 EUR, čo </w:t>
      </w:r>
      <w:r w:rsidRPr="001C6DFB">
        <w:t>je 1,79 %</w:t>
      </w:r>
      <w:r w:rsidRPr="0003349E">
        <w:t xml:space="preserve"> z objemu predložených ŽoP, a zároveň 100 % z objemu overovaných ŽoP. </w:t>
      </w:r>
    </w:p>
    <w:p w:rsidR="00D95ABE" w:rsidRPr="0003349E" w:rsidRDefault="00D95ABE" w:rsidP="00A207B4">
      <w:pPr>
        <w:tabs>
          <w:tab w:val="left" w:pos="360"/>
        </w:tabs>
        <w:autoSpaceDE w:val="0"/>
        <w:autoSpaceDN w:val="0"/>
        <w:adjustRightInd w:val="0"/>
        <w:spacing w:before="120" w:line="240" w:lineRule="atLeast"/>
        <w:jc w:val="both"/>
      </w:pPr>
      <w:r w:rsidRPr="0003349E">
        <w:rPr>
          <w:b/>
        </w:rPr>
        <w:t>Neoprávnené výdavky</w:t>
      </w:r>
      <w:r w:rsidRPr="0003349E">
        <w:t xml:space="preserve"> boli v rámci predložených ŽoP prvotne identifikované vo výške 2 916,70 EUR, čo je 30,94 % z overovanej vzorky a k 30.</w:t>
      </w:r>
      <w:r>
        <w:t>0</w:t>
      </w:r>
      <w:r w:rsidRPr="0003349E">
        <w:t>6.2010 boli stále v štádiu riešenia.</w:t>
      </w:r>
    </w:p>
    <w:p w:rsidR="00D95ABE" w:rsidRPr="0003349E" w:rsidRDefault="00D95ABE" w:rsidP="00A207B4">
      <w:pPr>
        <w:tabs>
          <w:tab w:val="left" w:pos="360"/>
        </w:tabs>
        <w:autoSpaceDE w:val="0"/>
        <w:autoSpaceDN w:val="0"/>
        <w:adjustRightInd w:val="0"/>
        <w:spacing w:before="120" w:line="240" w:lineRule="atLeast"/>
        <w:jc w:val="both"/>
      </w:pPr>
      <w:r w:rsidRPr="0003349E">
        <w:t>V priebehu 1. polroka 2010 nebol z úrovne CO zaslaný žiaden podnet na výkon vládneho auditu, ani na Úrad pre verejné obstarávanie.</w:t>
      </w:r>
    </w:p>
    <w:p w:rsidR="00D95ABE" w:rsidRPr="0003349E" w:rsidRDefault="00D95ABE" w:rsidP="006C60D1">
      <w:pPr>
        <w:spacing w:before="120"/>
        <w:jc w:val="both"/>
      </w:pPr>
      <w:r w:rsidRPr="0003349E">
        <w:t>Pri certifikačnom overovaní ŽoP boli v 1. polroku 2010 identifikované nasledovné zistenia:</w:t>
      </w:r>
    </w:p>
    <w:p w:rsidR="00D95ABE" w:rsidRPr="0003349E" w:rsidRDefault="00D95ABE" w:rsidP="00A207B4">
      <w:pPr>
        <w:rPr>
          <w:u w:val="single"/>
        </w:rPr>
      </w:pPr>
      <w:r w:rsidRPr="0003349E">
        <w:rPr>
          <w:u w:val="single"/>
        </w:rPr>
        <w:t>Neoprávnené výdavky</w:t>
      </w:r>
    </w:p>
    <w:p w:rsidR="00D95ABE" w:rsidRPr="0003349E" w:rsidRDefault="00D95ABE" w:rsidP="007F3F68">
      <w:pPr>
        <w:numPr>
          <w:ilvl w:val="0"/>
          <w:numId w:val="3"/>
        </w:numPr>
        <w:ind w:left="539" w:hanging="539"/>
      </w:pPr>
      <w:r w:rsidRPr="0003349E">
        <w:t>nesprávne vypočítané vyúčtovanie zahraničnej pracovnej cesty zo strany prijímateľa,</w:t>
      </w:r>
    </w:p>
    <w:p w:rsidR="00D95ABE" w:rsidRPr="0003349E" w:rsidRDefault="00D95ABE" w:rsidP="007F3F68">
      <w:pPr>
        <w:numPr>
          <w:ilvl w:val="0"/>
          <w:numId w:val="3"/>
        </w:numPr>
        <w:ind w:left="539" w:hanging="539"/>
      </w:pPr>
      <w:r w:rsidRPr="0003349E">
        <w:t>nesprávny spôsob výpočtu nárokovanej sumy v ŽoP,</w:t>
      </w:r>
    </w:p>
    <w:p w:rsidR="00D95ABE" w:rsidRPr="0003349E" w:rsidRDefault="00D95ABE" w:rsidP="00A207B4">
      <w:pPr>
        <w:rPr>
          <w:u w:val="single"/>
        </w:rPr>
      </w:pPr>
      <w:r w:rsidRPr="0003349E">
        <w:rPr>
          <w:u w:val="single"/>
        </w:rPr>
        <w:t>Nesprávna aplikácia postupov, chýbajúce postupy, nedostatky vo výstupoch RO/SORO/PJ</w:t>
      </w:r>
    </w:p>
    <w:p w:rsidR="00D95ABE" w:rsidRPr="0003349E" w:rsidRDefault="00D95ABE" w:rsidP="007F3F68">
      <w:pPr>
        <w:numPr>
          <w:ilvl w:val="0"/>
          <w:numId w:val="3"/>
        </w:numPr>
        <w:ind w:left="539" w:hanging="539"/>
      </w:pPr>
      <w:r w:rsidRPr="0003349E">
        <w:t>RO nepredložil zoznam oprávnených výdavkov deklarovaných v ŽoP.</w:t>
      </w:r>
    </w:p>
    <w:p w:rsidR="00D95ABE" w:rsidRPr="0003349E" w:rsidRDefault="00D95ABE" w:rsidP="00A207B4">
      <w:pPr>
        <w:autoSpaceDE w:val="0"/>
        <w:autoSpaceDN w:val="0"/>
        <w:adjustRightInd w:val="0"/>
        <w:spacing w:line="240" w:lineRule="atLeast"/>
        <w:ind w:left="539"/>
        <w:jc w:val="both"/>
      </w:pPr>
    </w:p>
    <w:p w:rsidR="00D95ABE" w:rsidRPr="0003349E" w:rsidRDefault="00D95ABE" w:rsidP="00A207B4">
      <w:pPr>
        <w:autoSpaceDE w:val="0"/>
        <w:autoSpaceDN w:val="0"/>
        <w:adjustRightInd w:val="0"/>
        <w:spacing w:line="240" w:lineRule="atLeast"/>
        <w:jc w:val="both"/>
      </w:pPr>
      <w:r w:rsidRPr="0003349E">
        <w:t>RO k 30.</w:t>
      </w:r>
      <w:r>
        <w:t>0</w:t>
      </w:r>
      <w:r w:rsidRPr="0003349E">
        <w:t xml:space="preserve">6.2010 prijal k uvedeným zisteniam opatrenia, ktoré CO čiastočne akceptoval. </w:t>
      </w:r>
    </w:p>
    <w:p w:rsidR="00D95ABE" w:rsidRPr="0003349E" w:rsidRDefault="00D95ABE" w:rsidP="00575C13"/>
    <w:p w:rsidR="00D95ABE" w:rsidRPr="0003349E" w:rsidRDefault="00D95ABE" w:rsidP="00575C13">
      <w:pPr>
        <w:pStyle w:val="Heading2"/>
        <w:numPr>
          <w:ilvl w:val="1"/>
          <w:numId w:val="1"/>
        </w:numPr>
        <w:spacing w:before="120" w:after="120"/>
        <w:rPr>
          <w:rFonts w:ascii="Times New Roman" w:hAnsi="Times New Roman"/>
          <w:color w:val="auto"/>
          <w:sz w:val="24"/>
          <w:szCs w:val="24"/>
        </w:rPr>
      </w:pPr>
      <w:bookmarkStart w:id="14" w:name="_Toc272762878"/>
      <w:r w:rsidRPr="0003349E">
        <w:rPr>
          <w:rFonts w:ascii="Times New Roman" w:hAnsi="Times New Roman"/>
          <w:color w:val="auto"/>
          <w:sz w:val="24"/>
          <w:szCs w:val="24"/>
        </w:rPr>
        <w:t>Nezrovnalosti a finančné opravy</w:t>
      </w:r>
      <w:bookmarkEnd w:id="14"/>
    </w:p>
    <w:p w:rsidR="00D95ABE" w:rsidRDefault="00D95ABE" w:rsidP="00437B3E">
      <w:pPr>
        <w:pStyle w:val="BodyText3"/>
        <w:spacing w:after="0"/>
        <w:jc w:val="both"/>
        <w:rPr>
          <w:sz w:val="24"/>
          <w:szCs w:val="24"/>
          <w:lang w:eastAsia="en-US"/>
        </w:rPr>
      </w:pPr>
      <w:r w:rsidRPr="0003349E">
        <w:rPr>
          <w:sz w:val="24"/>
          <w:szCs w:val="24"/>
          <w:lang w:eastAsia="en-US"/>
        </w:rPr>
        <w:t>V súlade s nariadením (ES) č. 1828/2006 upravujúcim problematiku identifikovania a oznamovania nezrovnalostí EK a v súlade s národnými postupmi (najmä zákon č. 528/2008 Z.z. o pomoci a podpore poskytovanej z fondov Európskej únie) sú subjekty zapojené do implementácie OP INTERACT II povinné bezodkladne oznamovať zistené nezrovnalosti certifikačnému orgánu</w:t>
      </w:r>
      <w:r w:rsidRPr="00C220CB">
        <w:rPr>
          <w:sz w:val="24"/>
          <w:szCs w:val="24"/>
          <w:lang w:eastAsia="en-US"/>
        </w:rPr>
        <w:t xml:space="preserve"> </w:t>
      </w:r>
      <w:r>
        <w:rPr>
          <w:sz w:val="24"/>
          <w:szCs w:val="24"/>
          <w:lang w:eastAsia="en-US"/>
        </w:rPr>
        <w:t>a ďalším príslušným subjektom</w:t>
      </w:r>
      <w:r w:rsidRPr="0003349E">
        <w:rPr>
          <w:sz w:val="24"/>
          <w:szCs w:val="24"/>
          <w:lang w:eastAsia="en-US"/>
        </w:rPr>
        <w:t xml:space="preserve">. </w:t>
      </w:r>
      <w:r>
        <w:rPr>
          <w:sz w:val="24"/>
          <w:szCs w:val="24"/>
          <w:lang w:eastAsia="en-US"/>
        </w:rPr>
        <w:t xml:space="preserve">Zároveň je daná povinnosť evidovať údaje o zistených nezrovnalostiach v INTERACT manažment systéme - </w:t>
      </w:r>
      <w:r w:rsidRPr="00C220CB">
        <w:rPr>
          <w:sz w:val="24"/>
          <w:szCs w:val="24"/>
          <w:lang w:eastAsia="en-US"/>
        </w:rPr>
        <w:t>I</w:t>
      </w:r>
      <w:r>
        <w:rPr>
          <w:sz w:val="24"/>
          <w:szCs w:val="24"/>
          <w:lang w:eastAsia="en-US"/>
        </w:rPr>
        <w:t>NTERACT</w:t>
      </w:r>
      <w:r w:rsidRPr="00C220CB">
        <w:rPr>
          <w:sz w:val="24"/>
          <w:szCs w:val="24"/>
          <w:lang w:eastAsia="en-US"/>
        </w:rPr>
        <w:t xml:space="preserve"> Management System</w:t>
      </w:r>
      <w:r w:rsidRPr="0003349E">
        <w:rPr>
          <w:sz w:val="24"/>
          <w:szCs w:val="24"/>
          <w:lang w:eastAsia="en-US"/>
        </w:rPr>
        <w:t xml:space="preserve">. Na základe zhromaždených údajov o zistených nezrovnalostiach je certifikačný orgán povinný predkladať </w:t>
      </w:r>
      <w:r>
        <w:rPr>
          <w:sz w:val="24"/>
          <w:szCs w:val="24"/>
          <w:lang w:eastAsia="en-US"/>
        </w:rPr>
        <w:t xml:space="preserve">orgánu zabezpečujúcemu ochranu finančných záujmov  - </w:t>
      </w:r>
      <w:r w:rsidRPr="0003349E">
        <w:rPr>
          <w:sz w:val="24"/>
          <w:szCs w:val="24"/>
          <w:lang w:eastAsia="en-US"/>
        </w:rPr>
        <w:t>sekcii kontroly a boja proti korupcii ÚV SR súhrnný prehľad správ o zistenej nezrovnalosti štvrťročne, k 15. máju, k 15. augustu, k 15. novembru a k 15. februáru. V súhrnnom prehľade správ o zistenej nezrovnalosti sa uvádzajú správy o zistenej nezrovnalosti podľa č</w:t>
      </w:r>
      <w:r>
        <w:rPr>
          <w:sz w:val="24"/>
          <w:szCs w:val="24"/>
          <w:lang w:eastAsia="en-US"/>
        </w:rPr>
        <w:t xml:space="preserve">l. 28, 30 a 36 nariadenia (ES) </w:t>
      </w:r>
      <w:r w:rsidRPr="0003349E">
        <w:rPr>
          <w:sz w:val="24"/>
          <w:szCs w:val="24"/>
          <w:lang w:eastAsia="en-US"/>
        </w:rPr>
        <w:t>č. 1828/2006 v znení nariadenia (ES) č. 846/2009.</w:t>
      </w:r>
      <w:r w:rsidRPr="00C220CB">
        <w:rPr>
          <w:lang w:eastAsia="en-US"/>
        </w:rPr>
        <w:t xml:space="preserve"> </w:t>
      </w:r>
      <w:r w:rsidRPr="009C58F5">
        <w:rPr>
          <w:sz w:val="24"/>
          <w:lang w:eastAsia="en-US"/>
        </w:rPr>
        <w:t xml:space="preserve">Certifikačný orgán je povinný predkladať orgánu zabezpečujúcemu ochranu finančných záujmov správu o zistenej nezrovnalosti do piatich pracovných dní od získania informácie o zistenej nezrovnalosti, ak ide o nezrovnalosť podľa </w:t>
      </w:r>
      <w:r w:rsidRPr="0003349E">
        <w:rPr>
          <w:sz w:val="24"/>
          <w:szCs w:val="24"/>
          <w:lang w:eastAsia="en-US"/>
        </w:rPr>
        <w:t xml:space="preserve">čl. </w:t>
      </w:r>
      <w:r>
        <w:rPr>
          <w:sz w:val="24"/>
          <w:szCs w:val="24"/>
          <w:lang w:eastAsia="en-US"/>
        </w:rPr>
        <w:t xml:space="preserve">29 </w:t>
      </w:r>
      <w:r w:rsidRPr="0003349E">
        <w:rPr>
          <w:sz w:val="24"/>
          <w:szCs w:val="24"/>
          <w:lang w:eastAsia="en-US"/>
        </w:rPr>
        <w:t>nariadenia</w:t>
      </w:r>
      <w:r>
        <w:rPr>
          <w:sz w:val="24"/>
          <w:szCs w:val="24"/>
          <w:lang w:eastAsia="en-US"/>
        </w:rPr>
        <w:t xml:space="preserve"> </w:t>
      </w:r>
      <w:r w:rsidRPr="0003349E">
        <w:rPr>
          <w:sz w:val="24"/>
          <w:szCs w:val="24"/>
          <w:lang w:eastAsia="en-US"/>
        </w:rPr>
        <w:t>(ES) č. 1828/2006</w:t>
      </w:r>
      <w:r>
        <w:rPr>
          <w:sz w:val="24"/>
          <w:szCs w:val="24"/>
          <w:lang w:eastAsia="en-US"/>
        </w:rPr>
        <w:t>.</w:t>
      </w:r>
    </w:p>
    <w:p w:rsidR="00D95ABE" w:rsidRPr="00555004" w:rsidRDefault="00D95ABE" w:rsidP="00C220CB">
      <w:pPr>
        <w:pStyle w:val="BodyText3"/>
        <w:spacing w:after="0"/>
        <w:jc w:val="both"/>
        <w:rPr>
          <w:sz w:val="24"/>
          <w:lang w:eastAsia="en-US"/>
        </w:rPr>
      </w:pPr>
      <w:r w:rsidRPr="00555004">
        <w:rPr>
          <w:sz w:val="24"/>
          <w:lang w:eastAsia="en-US"/>
        </w:rPr>
        <w:t>Pri zachovaní pravidiel územnej pôsobnosti právnych predpisov SR sa pre oblasť nezrovnalostí, finančných opráv a vysporiadaní finančných vzťahov postupuje v súlade so zákonom č. 528/2008 Z. z. o pomoci a podpore poskytovanej z fondov Európskeho spoločenstva v znení neskorších predpisov.</w:t>
      </w:r>
    </w:p>
    <w:p w:rsidR="00D95ABE" w:rsidRPr="0003349E" w:rsidRDefault="00D95ABE" w:rsidP="001C6720">
      <w:pPr>
        <w:jc w:val="both"/>
        <w:rPr>
          <w:rFonts w:ascii="Arial Narrow" w:hAnsi="Arial Narrow"/>
        </w:rPr>
      </w:pPr>
      <w:r w:rsidRPr="0003349E">
        <w:rPr>
          <w:lang w:eastAsia="en-US"/>
        </w:rPr>
        <w:t>V sledovanom období do 30.</w:t>
      </w:r>
      <w:r>
        <w:rPr>
          <w:lang w:eastAsia="en-US"/>
        </w:rPr>
        <w:t>0</w:t>
      </w:r>
      <w:r w:rsidRPr="0003349E">
        <w:rPr>
          <w:lang w:eastAsia="en-US"/>
        </w:rPr>
        <w:t>6.2010 neboli certifikačnému orgánu oznámené žiadne nezrovnalosti za OP INTERACT II</w:t>
      </w:r>
      <w:r w:rsidRPr="0003349E">
        <w:rPr>
          <w:rFonts w:ascii="Arial Narrow" w:hAnsi="Arial Narrow"/>
          <w:lang w:eastAsia="en-US"/>
        </w:rPr>
        <w:t xml:space="preserve">. </w:t>
      </w:r>
    </w:p>
    <w:p w:rsidR="00D95ABE" w:rsidRPr="0003349E" w:rsidRDefault="00D95ABE" w:rsidP="002B0654">
      <w:pPr>
        <w:rPr>
          <w:rFonts w:ascii="Arial Narrow" w:hAnsi="Arial Narrow"/>
        </w:rPr>
      </w:pPr>
    </w:p>
    <w:p w:rsidR="00D95ABE" w:rsidRPr="0003349E" w:rsidRDefault="00D95ABE" w:rsidP="002B0654">
      <w:pPr>
        <w:pStyle w:val="Heading2"/>
        <w:numPr>
          <w:ilvl w:val="1"/>
          <w:numId w:val="1"/>
        </w:numPr>
        <w:spacing w:before="120" w:after="120"/>
        <w:rPr>
          <w:rFonts w:ascii="Times New Roman" w:hAnsi="Times New Roman"/>
          <w:color w:val="auto"/>
          <w:sz w:val="24"/>
          <w:szCs w:val="24"/>
        </w:rPr>
      </w:pPr>
      <w:bookmarkStart w:id="15" w:name="_Toc272762879"/>
      <w:bookmarkStart w:id="16" w:name="OLE_LINK2"/>
      <w:r w:rsidRPr="0003349E">
        <w:rPr>
          <w:rFonts w:ascii="Times New Roman" w:hAnsi="Times New Roman"/>
          <w:color w:val="auto"/>
          <w:sz w:val="24"/>
          <w:szCs w:val="24"/>
        </w:rPr>
        <w:t>Základné problémy vo finančnej implementácii a ich riešenie</w:t>
      </w:r>
      <w:bookmarkEnd w:id="15"/>
    </w:p>
    <w:bookmarkEnd w:id="16"/>
    <w:p w:rsidR="00D95ABE" w:rsidRPr="0003349E" w:rsidRDefault="00D95ABE" w:rsidP="004B14AD">
      <w:pPr>
        <w:jc w:val="both"/>
        <w:rPr>
          <w:b/>
        </w:rPr>
      </w:pPr>
      <w:r w:rsidRPr="0003349E">
        <w:rPr>
          <w:b/>
        </w:rPr>
        <w:t>Zmluvy s pracovníkmi RO a IS</w:t>
      </w:r>
    </w:p>
    <w:p w:rsidR="00D95ABE" w:rsidRDefault="00D95ABE" w:rsidP="004B14AD">
      <w:pPr>
        <w:jc w:val="both"/>
      </w:pPr>
      <w:r w:rsidRPr="0003349E">
        <w:t>V nadväznosti na zistenia z certifikačného overovania ŽoP č. 09/MA/1-IP1, 09/MA/2-IP1, 09/IS/1-IP1 a 09/IS2-IP1 zo dňa 30.</w:t>
      </w:r>
      <w:r>
        <w:t>0</w:t>
      </w:r>
      <w:r w:rsidRPr="0003349E">
        <w:t xml:space="preserve">7.2009 a ŽoP č. 09/IS/1-IP2, 09/IS/2-IP2 zo dňa </w:t>
      </w:r>
      <w:r>
        <w:t>0</w:t>
      </w:r>
      <w:r w:rsidRPr="0003349E">
        <w:t>3.12.2009 Úrad pre verejné obstarávanie dňa 20.</w:t>
      </w:r>
      <w:r>
        <w:t>0</w:t>
      </w:r>
      <w:r w:rsidRPr="0003349E">
        <w:t>4.2010 konštatoval porušenie zákona č. 25/2006 Z. z. o verejnom obstarávaní a o zmene a doplnení niektorých zákonov zo strany RO vo všetkých prípadoch uzavretých zmlúv, resp. dohôd na zabezpečenie zmluvných vzťahov pre OP INTERACT II .</w:t>
      </w:r>
    </w:p>
    <w:p w:rsidR="00D95ABE" w:rsidRDefault="00D95ABE" w:rsidP="004B14AD">
      <w:pPr>
        <w:jc w:val="both"/>
      </w:pPr>
    </w:p>
    <w:p w:rsidR="00D95ABE" w:rsidRPr="007446DE" w:rsidRDefault="00D95ABE" w:rsidP="00BF605D">
      <w:pPr>
        <w:autoSpaceDE w:val="0"/>
        <w:autoSpaceDN w:val="0"/>
        <w:adjustRightInd w:val="0"/>
        <w:jc w:val="both"/>
      </w:pPr>
      <w:r w:rsidRPr="007446DE">
        <w:t xml:space="preserve">BSK vydal </w:t>
      </w:r>
      <w:r w:rsidRPr="007446DE">
        <w:rPr>
          <w:b/>
        </w:rPr>
        <w:t xml:space="preserve">Internú smernicu č. 53/2010 </w:t>
      </w:r>
      <w:r w:rsidRPr="007446DE">
        <w:rPr>
          <w:color w:val="000000"/>
        </w:rPr>
        <w:t>o postupe k výberovému konaniu na obsadenie externých pozícií  RO  a</w:t>
      </w:r>
      <w:r>
        <w:rPr>
          <w:color w:val="000000"/>
        </w:rPr>
        <w:t xml:space="preserve"> IS </w:t>
      </w:r>
      <w:r w:rsidRPr="007446DE">
        <w:rPr>
          <w:color w:val="000000"/>
        </w:rPr>
        <w:t>OP INTERACT II</w:t>
      </w:r>
      <w:r>
        <w:rPr>
          <w:color w:val="000000"/>
        </w:rPr>
        <w:t xml:space="preserve"> platnú k</w:t>
      </w:r>
      <w:r>
        <w:rPr>
          <w:b/>
        </w:rPr>
        <w:t> 18.6.20</w:t>
      </w:r>
      <w:r w:rsidRPr="007446DE">
        <w:rPr>
          <w:b/>
        </w:rPr>
        <w:t>10</w:t>
      </w:r>
      <w:r>
        <w:rPr>
          <w:b/>
        </w:rPr>
        <w:t xml:space="preserve">. </w:t>
      </w:r>
      <w:r w:rsidRPr="007446DE">
        <w:t xml:space="preserve"> RO podal návrh na zmenu  organizačnej štruktúry BSK a</w:t>
      </w:r>
      <w:r>
        <w:t> </w:t>
      </w:r>
      <w:r w:rsidRPr="007446DE">
        <w:t>pripravil</w:t>
      </w:r>
      <w:r>
        <w:t xml:space="preserve"> </w:t>
      </w:r>
      <w:r w:rsidRPr="007446DE">
        <w:t>návrh</w:t>
      </w:r>
      <w:r>
        <w:t xml:space="preserve"> </w:t>
      </w:r>
      <w:r w:rsidRPr="007446DE">
        <w:t xml:space="preserve">pre zastupiteľstvo BSK </w:t>
      </w:r>
      <w:r>
        <w:t xml:space="preserve">na </w:t>
      </w:r>
      <w:r w:rsidRPr="007446DE">
        <w:t xml:space="preserve">vznik </w:t>
      </w:r>
      <w:r>
        <w:t xml:space="preserve">neziskovej </w:t>
      </w:r>
      <w:r w:rsidRPr="007446DE">
        <w:t>organizácie I</w:t>
      </w:r>
      <w:r>
        <w:t>NTERACT</w:t>
      </w:r>
      <w:r w:rsidRPr="007446DE">
        <w:t xml:space="preserve"> secretariat n.o.</w:t>
      </w:r>
      <w:r>
        <w:t xml:space="preserve"> Oprávnenosť čerpania výdavkov z prioritnej osi 1 pre RO je v štádiu riešenia, prebieha komunikácia medzi RO a CO.</w:t>
      </w:r>
    </w:p>
    <w:p w:rsidR="00D95ABE" w:rsidRPr="007446DE" w:rsidRDefault="00D95ABE" w:rsidP="00AE4C8B">
      <w:pPr>
        <w:pStyle w:val="Odsekzoznamu1"/>
        <w:spacing w:after="120"/>
        <w:ind w:left="0"/>
        <w:jc w:val="both"/>
        <w:rPr>
          <w:rFonts w:ascii="Times New Roman" w:hAnsi="Times New Roman"/>
          <w:sz w:val="24"/>
          <w:szCs w:val="24"/>
        </w:rPr>
      </w:pPr>
    </w:p>
    <w:p w:rsidR="00D95ABE" w:rsidRPr="0003349E" w:rsidRDefault="00D95ABE" w:rsidP="00AE4C8B">
      <w:pPr>
        <w:pStyle w:val="Odsekzoznamu1"/>
        <w:spacing w:after="120"/>
        <w:ind w:left="0"/>
        <w:jc w:val="both"/>
        <w:rPr>
          <w:rFonts w:ascii="Times New Roman" w:hAnsi="Times New Roman"/>
          <w:b/>
          <w:sz w:val="24"/>
          <w:szCs w:val="24"/>
        </w:rPr>
      </w:pPr>
      <w:r w:rsidRPr="0003349E">
        <w:rPr>
          <w:rFonts w:ascii="Times New Roman" w:hAnsi="Times New Roman"/>
          <w:b/>
          <w:sz w:val="24"/>
          <w:szCs w:val="24"/>
        </w:rPr>
        <w:t>Financovanie RO z prioritnej osi 1</w:t>
      </w:r>
    </w:p>
    <w:p w:rsidR="00D95ABE" w:rsidRPr="0003349E" w:rsidRDefault="00D95ABE" w:rsidP="00AE4C8B">
      <w:pPr>
        <w:pStyle w:val="Odsekzoznamu1"/>
        <w:spacing w:after="120"/>
        <w:ind w:left="0"/>
        <w:jc w:val="both"/>
        <w:rPr>
          <w:rFonts w:ascii="Times New Roman" w:hAnsi="Times New Roman"/>
          <w:sz w:val="24"/>
          <w:szCs w:val="24"/>
        </w:rPr>
      </w:pPr>
      <w:r w:rsidRPr="0003349E">
        <w:rPr>
          <w:rFonts w:ascii="Times New Roman" w:hAnsi="Times New Roman"/>
          <w:sz w:val="24"/>
          <w:szCs w:val="24"/>
        </w:rPr>
        <w:t>Ďalším zistením uvedeného certifikačného overovania bolo nejednoznačné rozdelenie vykonávaných činností RO medzi prioritné osi 1 a 2. V nadväznosti na stanovisko EK bol zo strany RO vypracovaný návrh vymedzenia oprávnených aktivít RO podľa prioritných osí v súlade s Operačným programom INTERACT II, ktorý bol následne v niekoľkých kolách pripomienkovaný CO. Ku dňu 30.</w:t>
      </w:r>
      <w:r>
        <w:rPr>
          <w:rFonts w:ascii="Times New Roman" w:hAnsi="Times New Roman"/>
          <w:sz w:val="24"/>
          <w:szCs w:val="24"/>
        </w:rPr>
        <w:t>0</w:t>
      </w:r>
      <w:r w:rsidRPr="0003349E">
        <w:rPr>
          <w:rFonts w:ascii="Times New Roman" w:hAnsi="Times New Roman"/>
          <w:sz w:val="24"/>
          <w:szCs w:val="24"/>
        </w:rPr>
        <w:t>6.2010 nebol dokument vzájomne odsúhlasen</w:t>
      </w:r>
      <w:r>
        <w:rPr>
          <w:rFonts w:ascii="Times New Roman" w:hAnsi="Times New Roman"/>
          <w:sz w:val="24"/>
          <w:szCs w:val="24"/>
        </w:rPr>
        <w:t>ý</w:t>
      </w:r>
      <w:r w:rsidRPr="0003349E">
        <w:rPr>
          <w:rFonts w:ascii="Times New Roman" w:hAnsi="Times New Roman"/>
          <w:sz w:val="24"/>
          <w:szCs w:val="24"/>
        </w:rPr>
        <w:t>. Odsúhlasenie tohto dokumentu podmieňuje ďalšie financovanie aktivít RO z prioritnej osi 1.</w:t>
      </w:r>
    </w:p>
    <w:p w:rsidR="00D95ABE" w:rsidRPr="0003349E" w:rsidRDefault="00D95ABE" w:rsidP="000B4F94">
      <w:pPr>
        <w:pStyle w:val="Odsekzoznamu1"/>
        <w:spacing w:after="120"/>
        <w:ind w:left="0"/>
        <w:jc w:val="both"/>
        <w:rPr>
          <w:rFonts w:ascii="Times New Roman" w:hAnsi="Times New Roman"/>
          <w:b/>
          <w:sz w:val="24"/>
          <w:szCs w:val="24"/>
        </w:rPr>
      </w:pPr>
    </w:p>
    <w:p w:rsidR="00D95ABE" w:rsidRPr="0003349E" w:rsidRDefault="00D95ABE" w:rsidP="000B4F94">
      <w:pPr>
        <w:pStyle w:val="Odsekzoznamu1"/>
        <w:spacing w:after="120"/>
        <w:ind w:left="0"/>
        <w:jc w:val="both"/>
        <w:rPr>
          <w:rFonts w:ascii="Times New Roman" w:hAnsi="Times New Roman"/>
          <w:b/>
          <w:sz w:val="24"/>
          <w:szCs w:val="24"/>
        </w:rPr>
      </w:pPr>
      <w:r w:rsidRPr="0003349E">
        <w:rPr>
          <w:rFonts w:ascii="Times New Roman" w:hAnsi="Times New Roman"/>
          <w:b/>
          <w:sz w:val="24"/>
          <w:szCs w:val="24"/>
        </w:rPr>
        <w:t>Likvidita</w:t>
      </w:r>
    </w:p>
    <w:p w:rsidR="00D95ABE" w:rsidRPr="0003349E" w:rsidRDefault="00D95ABE" w:rsidP="00BE056E">
      <w:pPr>
        <w:pStyle w:val="ListParagraph"/>
        <w:tabs>
          <w:tab w:val="num" w:pos="1134"/>
        </w:tabs>
        <w:spacing w:after="120"/>
        <w:ind w:left="0"/>
        <w:jc w:val="both"/>
      </w:pPr>
      <w:r w:rsidRPr="0003349E">
        <w:t>Nepredkladanie žiadostí o platbu na CO v pravidelných intervaloch ohrozuje likviditu prijímateľov, ako aj CO, keďže nedisponuje v zmysle stanovených postupov dostatočným objemom výdavkov, ktoré je možné deklarovať na EK. Likviditu CO negatívne ovplyvnilo aj vyplatenie neštandardných 2. tranží zálohových platieb pre všetky kontaktné body, RO a IS, ako aj vyplatenie  3. tranží zálohových platieb pre RO a IS. CO je nútený daný stav riešiť presunom prostriedkov z účtu pre príjem príspevkov členských štátov na účet pre príjem prostriedkov z ERDF. CO takýmto spôsobom po prvý raz riešil nedostatok likvidity na vyplatenie prostriedkov schválených v prvých priebežných žiadostiach o platbu kontaktných bodov v októbri 2009. Presun na účet ERDF bol realizovaný vo výške 1 124 383,12 EUR dňa 28.10.2009 a k aktuálnemu dátumu nemohli byť tieto prostriedky z dôvodu nedostatočnej likvidity účtu ERDF vrátené na účet určený pre príjem prostriedkov členských štátov. Aktuálne bol k 30.</w:t>
      </w:r>
      <w:r>
        <w:t>0</w:t>
      </w:r>
      <w:r w:rsidRPr="0003349E">
        <w:t xml:space="preserve">6.2010 stav na účte pre príjem a vyplácanie prostriedkov ERDF 334 479,32 EUR a na účte pre príjem príspevkov členských štátov vo výške 592 099,75 EUR. </w:t>
      </w:r>
    </w:p>
    <w:p w:rsidR="00D95ABE" w:rsidRPr="0003349E" w:rsidRDefault="00D95ABE" w:rsidP="000B4F94">
      <w:pPr>
        <w:pStyle w:val="Odsekzoznamu1"/>
        <w:spacing w:after="120"/>
        <w:ind w:left="0"/>
        <w:jc w:val="both"/>
        <w:rPr>
          <w:rFonts w:ascii="Times New Roman" w:hAnsi="Times New Roman"/>
          <w:sz w:val="24"/>
          <w:szCs w:val="24"/>
        </w:rPr>
      </w:pPr>
      <w:r w:rsidRPr="0003349E">
        <w:rPr>
          <w:rFonts w:ascii="Times New Roman" w:hAnsi="Times New Roman"/>
          <w:sz w:val="24"/>
          <w:szCs w:val="24"/>
        </w:rPr>
        <w:t xml:space="preserve">V nadväznosti na </w:t>
      </w:r>
      <w:r>
        <w:rPr>
          <w:rFonts w:ascii="Times New Roman" w:hAnsi="Times New Roman"/>
          <w:sz w:val="24"/>
          <w:szCs w:val="24"/>
        </w:rPr>
        <w:t xml:space="preserve">vyššie uvedené </w:t>
      </w:r>
      <w:r w:rsidRPr="0003349E">
        <w:rPr>
          <w:rFonts w:ascii="Times New Roman" w:hAnsi="Times New Roman"/>
          <w:sz w:val="24"/>
          <w:szCs w:val="24"/>
        </w:rPr>
        <w:t>dlhodobo pretrvávajúce problémy a na závery stretnutia zástupcov EK, OA, CO, RO, IS a ÚV SR zo dňa 16.</w:t>
      </w:r>
      <w:r>
        <w:rPr>
          <w:rFonts w:ascii="Times New Roman" w:hAnsi="Times New Roman"/>
          <w:sz w:val="24"/>
          <w:szCs w:val="24"/>
        </w:rPr>
        <w:t>0</w:t>
      </w:r>
      <w:r w:rsidRPr="0003349E">
        <w:rPr>
          <w:rFonts w:ascii="Times New Roman" w:hAnsi="Times New Roman"/>
          <w:sz w:val="24"/>
          <w:szCs w:val="24"/>
        </w:rPr>
        <w:t>3.2010 bol vypracovaný Akčný plán pre prijatie nápravných opatrení pre riešenie kritickej situácie vo finančnom a administratívnom riadené programu. Na vypracovaní Akčného plánu sa podieľal RO a CO v spolupráci s ÚV SR. Akčný plán bol podpísaný zo strany všetkých subjektov 12.</w:t>
      </w:r>
      <w:r>
        <w:rPr>
          <w:rFonts w:ascii="Times New Roman" w:hAnsi="Times New Roman"/>
          <w:sz w:val="24"/>
          <w:szCs w:val="24"/>
        </w:rPr>
        <w:t>0</w:t>
      </w:r>
      <w:r w:rsidRPr="0003349E">
        <w:rPr>
          <w:rFonts w:ascii="Times New Roman" w:hAnsi="Times New Roman"/>
          <w:sz w:val="24"/>
          <w:szCs w:val="24"/>
        </w:rPr>
        <w:t>6.2010 a zo strany RO zaslaný na Európsku komisiu 25.</w:t>
      </w:r>
      <w:r>
        <w:rPr>
          <w:rFonts w:ascii="Times New Roman" w:hAnsi="Times New Roman"/>
          <w:sz w:val="24"/>
          <w:szCs w:val="24"/>
        </w:rPr>
        <w:t>0</w:t>
      </w:r>
      <w:r w:rsidRPr="0003349E">
        <w:rPr>
          <w:rFonts w:ascii="Times New Roman" w:hAnsi="Times New Roman"/>
          <w:sz w:val="24"/>
          <w:szCs w:val="24"/>
        </w:rPr>
        <w:t>6.2010.</w:t>
      </w:r>
    </w:p>
    <w:p w:rsidR="00D95ABE" w:rsidRPr="0003349E" w:rsidRDefault="00D95ABE" w:rsidP="00DA7307">
      <w:pPr>
        <w:pStyle w:val="Odsekzoznamu1"/>
        <w:ind w:left="0"/>
        <w:jc w:val="both"/>
        <w:rPr>
          <w:rFonts w:ascii="Arial Narrow" w:hAnsi="Arial Narrow"/>
          <w:sz w:val="24"/>
          <w:szCs w:val="24"/>
        </w:rPr>
      </w:pPr>
    </w:p>
    <w:p w:rsidR="00D95ABE" w:rsidRPr="0003349E" w:rsidRDefault="00D95ABE" w:rsidP="002B0654">
      <w:pPr>
        <w:pStyle w:val="Heading1"/>
        <w:numPr>
          <w:ilvl w:val="0"/>
          <w:numId w:val="1"/>
        </w:numPr>
        <w:spacing w:before="240" w:after="240"/>
        <w:rPr>
          <w:rFonts w:ascii="Times New Roman" w:hAnsi="Times New Roman"/>
          <w:color w:val="auto"/>
          <w:sz w:val="24"/>
          <w:szCs w:val="24"/>
        </w:rPr>
      </w:pPr>
      <w:bookmarkStart w:id="17" w:name="_Toc272762880"/>
      <w:r w:rsidRPr="0003349E">
        <w:rPr>
          <w:rFonts w:ascii="Times New Roman" w:hAnsi="Times New Roman"/>
          <w:color w:val="auto"/>
          <w:sz w:val="24"/>
          <w:szCs w:val="24"/>
        </w:rPr>
        <w:t>Aktivity orgánu auditu</w:t>
      </w:r>
      <w:bookmarkEnd w:id="17"/>
    </w:p>
    <w:p w:rsidR="00D95ABE" w:rsidRPr="0003349E" w:rsidRDefault="00D95ABE" w:rsidP="0003349E">
      <w:pPr>
        <w:autoSpaceDE w:val="0"/>
        <w:autoSpaceDN w:val="0"/>
        <w:adjustRightInd w:val="0"/>
        <w:jc w:val="both"/>
      </w:pPr>
      <w:r w:rsidRPr="0003349E">
        <w:t>V decembri 2009 v súlade s čl. 62 nariadenia Rady (ES) č. 1083/2006 orgán auditu  vypracoval výročnú kontrolnú správu a stanovisko za referenčné obdobie 01.07.2008 – 30.06.2009, ako aj aktualizáciu stratégie auditu na obdobie 2010 – 2012. Oba dokumenty boli zaslané na pripomienkovanie a schválenie členom skupiny audítorov a následne boli odoslané EK dňa 29.12.2009 prostredníctvom systému SFC2007. Dňa 09.02.2010 Európska komisia zaslala orgánu auditu list, potvrdzujúci akceptáciu výročnej kontrolnej správy za rok 2009 a tiež prehlásenie, že berie na vedomie zmeny súvisiace so zmenou stratégie auditu na OP INTERACT II.</w:t>
      </w:r>
    </w:p>
    <w:p w:rsidR="00D95ABE" w:rsidRPr="0003349E" w:rsidRDefault="00D95ABE" w:rsidP="0003349E">
      <w:pPr>
        <w:autoSpaceDE w:val="0"/>
        <w:autoSpaceDN w:val="0"/>
        <w:adjustRightInd w:val="0"/>
        <w:jc w:val="both"/>
      </w:pPr>
      <w:r w:rsidRPr="0003349E">
        <w:t> Na základe poverenia MF SR a v súlade so schválenou stratégiou auditu bol v období od  20.04.2010 do 09.06.2010 vykonaný externou audítorskou spoločnosťou PricewaterhouseCoopers Slovensko, s.r.o. vládny audit zameraný na získanie uistenia o dostatočnosti a účinnosti fungovania systému riadenia a kontroly (systémový audit) ako aj uistenia o oprávnenosti výdavkov na primeranej vzorke operácií (audit operácií) v rámci operačného programu INTERACT II. Predmetom auditu boli nasledovné inštitúcie zahrnuté v štruktúre implementácie OP INTERACT II.</w:t>
      </w:r>
    </w:p>
    <w:p w:rsidR="00D95ABE" w:rsidRPr="0003349E" w:rsidRDefault="00D95ABE" w:rsidP="0003349E">
      <w:pPr>
        <w:autoSpaceDE w:val="0"/>
        <w:autoSpaceDN w:val="0"/>
        <w:adjustRightInd w:val="0"/>
        <w:jc w:val="both"/>
      </w:pPr>
    </w:p>
    <w:p w:rsidR="00D95ABE" w:rsidRPr="0003349E" w:rsidRDefault="00D95ABE" w:rsidP="0003349E">
      <w:pPr>
        <w:numPr>
          <w:ilvl w:val="0"/>
          <w:numId w:val="22"/>
        </w:numPr>
        <w:jc w:val="both"/>
      </w:pPr>
      <w:r w:rsidRPr="0003349E">
        <w:t>Riadiaci orgán (RO) - Bratislavský samosprávny kraj,</w:t>
      </w:r>
    </w:p>
    <w:p w:rsidR="00D95ABE" w:rsidRPr="0003349E" w:rsidRDefault="00D95ABE" w:rsidP="0003349E">
      <w:pPr>
        <w:numPr>
          <w:ilvl w:val="0"/>
          <w:numId w:val="22"/>
        </w:numPr>
        <w:jc w:val="both"/>
      </w:pPr>
      <w:r>
        <w:t xml:space="preserve">INTERACT </w:t>
      </w:r>
      <w:r w:rsidRPr="0003349E">
        <w:t>sekretariát (</w:t>
      </w:r>
      <w:r>
        <w:t>I</w:t>
      </w:r>
      <w:r w:rsidRPr="0003349E">
        <w:t>S) - Bratislavský samosprávny kraj,</w:t>
      </w:r>
    </w:p>
    <w:p w:rsidR="00D95ABE" w:rsidRPr="0003349E" w:rsidRDefault="00D95ABE" w:rsidP="0003349E">
      <w:pPr>
        <w:numPr>
          <w:ilvl w:val="0"/>
          <w:numId w:val="22"/>
        </w:numPr>
        <w:tabs>
          <w:tab w:val="left" w:pos="1800"/>
        </w:tabs>
        <w:jc w:val="both"/>
      </w:pPr>
      <w:r w:rsidRPr="0003349E">
        <w:t xml:space="preserve">Prijímatelia </w:t>
      </w:r>
      <w:r w:rsidRPr="0003349E">
        <w:tab/>
        <w:t>-  IP Turku (FI),</w:t>
      </w:r>
    </w:p>
    <w:p w:rsidR="00D95ABE" w:rsidRPr="0003349E" w:rsidRDefault="00D95ABE" w:rsidP="0003349E">
      <w:pPr>
        <w:tabs>
          <w:tab w:val="left" w:pos="1440"/>
          <w:tab w:val="left" w:pos="1800"/>
        </w:tabs>
        <w:ind w:left="1080"/>
        <w:jc w:val="both"/>
      </w:pPr>
      <w:r w:rsidRPr="0003349E">
        <w:tab/>
      </w:r>
      <w:r w:rsidRPr="0003349E">
        <w:tab/>
      </w:r>
      <w:r>
        <w:tab/>
      </w:r>
      <w:r w:rsidRPr="0003349E">
        <w:t>-  IP Valencia (ES),</w:t>
      </w:r>
    </w:p>
    <w:p w:rsidR="00D95ABE" w:rsidRPr="0003349E" w:rsidRDefault="00D95ABE" w:rsidP="0003349E">
      <w:pPr>
        <w:tabs>
          <w:tab w:val="left" w:pos="1440"/>
          <w:tab w:val="left" w:pos="1800"/>
        </w:tabs>
        <w:ind w:left="1080"/>
        <w:jc w:val="both"/>
      </w:pPr>
      <w:r w:rsidRPr="0003349E">
        <w:tab/>
      </w:r>
      <w:r w:rsidRPr="0003349E">
        <w:tab/>
      </w:r>
      <w:r>
        <w:tab/>
      </w:r>
      <w:r w:rsidRPr="0003349E">
        <w:t>-  IP Viborg (DK),</w:t>
      </w:r>
    </w:p>
    <w:p w:rsidR="00D95ABE" w:rsidRPr="0003349E" w:rsidRDefault="00D95ABE" w:rsidP="0003349E">
      <w:pPr>
        <w:tabs>
          <w:tab w:val="left" w:pos="1440"/>
          <w:tab w:val="left" w:pos="1800"/>
        </w:tabs>
        <w:ind w:left="1080"/>
        <w:jc w:val="both"/>
      </w:pPr>
      <w:r w:rsidRPr="0003349E">
        <w:tab/>
      </w:r>
      <w:r w:rsidRPr="0003349E">
        <w:tab/>
      </w:r>
      <w:r>
        <w:tab/>
      </w:r>
      <w:r w:rsidRPr="0003349E">
        <w:t>-  IP Viedeň (AT),</w:t>
      </w:r>
    </w:p>
    <w:p w:rsidR="00D95ABE" w:rsidRPr="0003349E" w:rsidRDefault="00D95ABE" w:rsidP="0003349E">
      <w:pPr>
        <w:tabs>
          <w:tab w:val="left" w:pos="1080"/>
        </w:tabs>
        <w:jc w:val="both"/>
      </w:pPr>
    </w:p>
    <w:p w:rsidR="00D95ABE" w:rsidRPr="0003349E" w:rsidRDefault="00D95ABE" w:rsidP="0003349E">
      <w:pPr>
        <w:tabs>
          <w:tab w:val="left" w:pos="1080"/>
        </w:tabs>
        <w:jc w:val="both"/>
        <w:rPr>
          <w:b/>
        </w:rPr>
      </w:pPr>
      <w:r w:rsidRPr="0003349E">
        <w:rPr>
          <w:b/>
        </w:rPr>
        <w:t>Systémový audit</w:t>
      </w:r>
    </w:p>
    <w:p w:rsidR="00D95ABE" w:rsidRPr="0003349E" w:rsidRDefault="00D95ABE" w:rsidP="0003349E">
      <w:pPr>
        <w:autoSpaceDE w:val="0"/>
        <w:autoSpaceDN w:val="0"/>
        <w:adjustRightInd w:val="0"/>
        <w:jc w:val="both"/>
      </w:pPr>
      <w:r w:rsidRPr="0003349E">
        <w:t>Hodnotenie jednotlivých kritérií, kľúčových požiadaviek a právomocí v rámci implementačnej štruktúry OP I</w:t>
      </w:r>
      <w:r>
        <w:t>NTERACT</w:t>
      </w:r>
      <w:r w:rsidRPr="0003349E">
        <w:t xml:space="preserve"> II v rámci systémového auditu preukázalo, že systém riadenia a kontroly je vo väčšine oblastí funkčný, sú však potrebné zlepšenia najmä na úrovni RO/</w:t>
      </w:r>
      <w:r>
        <w:t>I</w:t>
      </w:r>
      <w:r w:rsidRPr="0003349E">
        <w:t>S a to v nasledovných oblastiach:</w:t>
      </w:r>
    </w:p>
    <w:p w:rsidR="00D95ABE" w:rsidRPr="0003349E" w:rsidRDefault="00D95ABE" w:rsidP="0003349E">
      <w:pPr>
        <w:autoSpaceDE w:val="0"/>
        <w:autoSpaceDN w:val="0"/>
        <w:adjustRightInd w:val="0"/>
        <w:jc w:val="both"/>
      </w:pPr>
    </w:p>
    <w:p w:rsidR="00D95ABE" w:rsidRPr="0003349E" w:rsidRDefault="00D95ABE" w:rsidP="0003349E">
      <w:pPr>
        <w:numPr>
          <w:ilvl w:val="0"/>
          <w:numId w:val="23"/>
        </w:numPr>
        <w:autoSpaceDE w:val="0"/>
        <w:autoSpaceDN w:val="0"/>
        <w:adjustRightInd w:val="0"/>
        <w:jc w:val="both"/>
      </w:pPr>
      <w:r w:rsidRPr="0003349E">
        <w:rPr>
          <w:b/>
        </w:rPr>
        <w:t>Štruktúra manažmentu a organizácie</w:t>
      </w:r>
      <w:r w:rsidRPr="0003349E">
        <w:t xml:space="preserve"> - v rámci Bratislavského samosprávneho kraja existujú pracovné zmluvy súčasných i bývalých zamestnancov RO a </w:t>
      </w:r>
      <w:r>
        <w:t>I</w:t>
      </w:r>
      <w:r w:rsidRPr="0003349E">
        <w:t>S, ktoré nedostatočne definujú úlohy, povinnosti a zodpovednosti zamestnancov, tieto zmluvy sú v rozpore so skutočne vykonávanými pracovnými činnosťami alebo sú v rozpore s popisom práce uvedenom v Prílohe 4 k IMP. Taktiež bol zistený nesprávny postup pri obstarávaní profesionálnych služieb súčasných i bývalých zamestnancov RO a </w:t>
      </w:r>
      <w:r>
        <w:t>I</w:t>
      </w:r>
      <w:r w:rsidRPr="0003349E">
        <w:t>S, keď uvedené služby neboli obstarané prostredníctvom verejnej súťaže tak ako to určuje platná legislatíva SR.</w:t>
      </w:r>
    </w:p>
    <w:p w:rsidR="00D95ABE" w:rsidRPr="0003349E" w:rsidRDefault="00D95ABE" w:rsidP="0003349E">
      <w:pPr>
        <w:tabs>
          <w:tab w:val="left" w:pos="1080"/>
        </w:tabs>
        <w:jc w:val="both"/>
      </w:pPr>
    </w:p>
    <w:p w:rsidR="00D95ABE" w:rsidRPr="0003349E" w:rsidRDefault="00D95ABE" w:rsidP="0003349E">
      <w:pPr>
        <w:numPr>
          <w:ilvl w:val="0"/>
          <w:numId w:val="23"/>
        </w:numPr>
        <w:tabs>
          <w:tab w:val="left" w:pos="1080"/>
        </w:tabs>
        <w:jc w:val="both"/>
      </w:pPr>
      <w:r w:rsidRPr="0003349E">
        <w:rPr>
          <w:b/>
        </w:rPr>
        <w:t>IT systémy</w:t>
      </w:r>
      <w:r w:rsidRPr="0003349E">
        <w:t xml:space="preserve"> - súčasný I</w:t>
      </w:r>
      <w:r>
        <w:t>NTERACT</w:t>
      </w:r>
      <w:r w:rsidRPr="0003349E">
        <w:t xml:space="preserve"> manažérsky systém na úrovni OP nespĺňa požiadavky čl. 58, písm. d, Nariadenia EK 1083/2006, nakoľko nepokrýva kľúčové oblasti riadenia a monitorovania programu, ako sú čerpanie finančných zdrojov, nezrovnalosti, kontroly priamo na mieste a príslušné nápravné opatrenia.</w:t>
      </w:r>
    </w:p>
    <w:p w:rsidR="00D95ABE" w:rsidRPr="0003349E" w:rsidRDefault="00D95ABE" w:rsidP="0003349E">
      <w:pPr>
        <w:autoSpaceDE w:val="0"/>
        <w:autoSpaceDN w:val="0"/>
        <w:adjustRightInd w:val="0"/>
        <w:jc w:val="both"/>
      </w:pPr>
    </w:p>
    <w:p w:rsidR="00D95ABE" w:rsidRPr="0003349E" w:rsidRDefault="00D95ABE" w:rsidP="0003349E">
      <w:pPr>
        <w:tabs>
          <w:tab w:val="left" w:pos="1080"/>
        </w:tabs>
        <w:jc w:val="both"/>
      </w:pPr>
      <w:r w:rsidRPr="0003349E">
        <w:t>Na úrovni IP boli identifikované prevažne formálne zistenia , ktoré by bolo vhodné zo strany IP zmeniť tak, aby zodpovedali zaužívanej praxi a to v oblastiach aktualizácie audit trailu, predchádzania nezrovnalostí, pozmeňovacích návrhov, archivácie dokumentov, havarijného plánu pre účtovnícke systémy a plnenia termínov a lehôt pre predloženie žiadostí o platbu (ŽoP) zo strany IP.</w:t>
      </w:r>
    </w:p>
    <w:p w:rsidR="00D95ABE" w:rsidRPr="0003349E" w:rsidRDefault="00D95ABE" w:rsidP="0003349E">
      <w:pPr>
        <w:tabs>
          <w:tab w:val="left" w:pos="1080"/>
        </w:tabs>
        <w:jc w:val="both"/>
      </w:pPr>
      <w:r w:rsidRPr="0003349E">
        <w:t xml:space="preserve">Na základe uvedených skutočností audítori konštatujú, že </w:t>
      </w:r>
      <w:r w:rsidRPr="0003349E">
        <w:rPr>
          <w:b/>
        </w:rPr>
        <w:t>systém funguje, ale sú potrebné niektoré zlepšenia.</w:t>
      </w:r>
      <w:r w:rsidRPr="0003349E">
        <w:t xml:space="preserve"> Odporúčania sformulované na základe identifikovaných nedostatkov auditovaná osoba zohľadní prijatím opatrení na nápravu nedostatkov zistených vládnym auditom a na odstránenie príčin ich vzniku a ich písomný odpočet bude orgánu auditu zaslaný 30.09.2010. Plnenie týchto opatrení bude zároveň predmetom ďalšieho overovania v rámci systémového auditu v roku 2011.</w:t>
      </w:r>
    </w:p>
    <w:p w:rsidR="00D95ABE" w:rsidRDefault="00D95ABE" w:rsidP="0003349E">
      <w:pPr>
        <w:tabs>
          <w:tab w:val="left" w:pos="1080"/>
        </w:tabs>
        <w:jc w:val="both"/>
        <w:rPr>
          <w:b/>
        </w:rPr>
      </w:pPr>
    </w:p>
    <w:p w:rsidR="00D95ABE" w:rsidRPr="0003349E" w:rsidRDefault="00D95ABE" w:rsidP="0003349E">
      <w:pPr>
        <w:tabs>
          <w:tab w:val="left" w:pos="1080"/>
        </w:tabs>
        <w:jc w:val="both"/>
        <w:rPr>
          <w:b/>
        </w:rPr>
      </w:pPr>
    </w:p>
    <w:p w:rsidR="00D95ABE" w:rsidRPr="0003349E" w:rsidRDefault="00D95ABE" w:rsidP="0003349E">
      <w:pPr>
        <w:tabs>
          <w:tab w:val="left" w:pos="1080"/>
        </w:tabs>
        <w:jc w:val="both"/>
        <w:rPr>
          <w:b/>
        </w:rPr>
      </w:pPr>
      <w:r w:rsidRPr="0003349E">
        <w:rPr>
          <w:b/>
        </w:rPr>
        <w:t>Audit operácií</w:t>
      </w:r>
    </w:p>
    <w:p w:rsidR="00D95ABE" w:rsidRPr="0003349E" w:rsidRDefault="00D95ABE" w:rsidP="0003349E">
      <w:pPr>
        <w:tabs>
          <w:tab w:val="left" w:pos="1080"/>
        </w:tabs>
        <w:jc w:val="both"/>
      </w:pPr>
      <w:r w:rsidRPr="0003349E">
        <w:t xml:space="preserve">Orgán auditu vybral na overenie prostredníctvom auditu operácií všetky ŽoP deklarované na EK Certifikačným orgánom v období od  01.01.2009 do 31.12.2009, čo predstavuje jednu ŽoP za každý </w:t>
      </w:r>
      <w:r>
        <w:t>kontaktný</w:t>
      </w:r>
      <w:r w:rsidRPr="0003349E">
        <w:t xml:space="preserve"> bod (IP). Nakoľko analýza dokumentácie k vybraným žiadostiam ukázala, že obsahuje veľké množstvo opakujúcej sa dokumentácie, bola vybratá vzorka dokumentácie z každej ŽoP. Aby bolo zaistené, že populácia je homogénna a reprezentatívna, bola pred výberom vzorky populácia rozdelená do skupín: Zamestnanci, Administratíva, Cestovanie a ubytovanie, Externí experti, Akcie a Publikácie. Toto rozdelenie populácie zaručuje, že položky v rámci oddelených skupín predstavujú rovnaké riziká ako aj reprezentatívnosť vzorky. Výber výdavkov bol vykonaný na individuálnej báze pre každú definovanú skupinu pomocou náhodného výberu dodržaním metódy formálneho prístupu k neštatistickému výberu vzorky.</w:t>
      </w:r>
    </w:p>
    <w:p w:rsidR="00D95ABE" w:rsidRPr="0003349E" w:rsidRDefault="00D95ABE" w:rsidP="0003349E">
      <w:pPr>
        <w:tabs>
          <w:tab w:val="left" w:pos="1080"/>
        </w:tabs>
        <w:jc w:val="both"/>
      </w:pPr>
    </w:p>
    <w:p w:rsidR="00D95ABE" w:rsidRPr="0003349E" w:rsidRDefault="00D95ABE" w:rsidP="0003349E">
      <w:pPr>
        <w:tabs>
          <w:tab w:val="left" w:pos="1080"/>
        </w:tabs>
        <w:jc w:val="both"/>
      </w:pPr>
      <w:r w:rsidRPr="0003349E">
        <w:t>Auditom operácií boli overené výdavky v nasledovnej štruktúre:</w:t>
      </w:r>
    </w:p>
    <w:tbl>
      <w:tblPr>
        <w:tblW w:w="8973"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1260"/>
        <w:gridCol w:w="1303"/>
        <w:gridCol w:w="962"/>
        <w:gridCol w:w="1119"/>
        <w:gridCol w:w="816"/>
        <w:gridCol w:w="1043"/>
        <w:gridCol w:w="1001"/>
        <w:gridCol w:w="1469"/>
      </w:tblGrid>
      <w:tr w:rsidR="00D95ABE" w:rsidRPr="0003349E" w:rsidTr="00AA3FF4">
        <w:trPr>
          <w:trHeight w:val="480"/>
        </w:trPr>
        <w:tc>
          <w:tcPr>
            <w:tcW w:w="1345" w:type="dxa"/>
            <w:vMerge w:val="restart"/>
            <w:tcBorders>
              <w:top w:val="single" w:sz="12" w:space="0" w:color="auto"/>
            </w:tcBorders>
            <w:shd w:val="clear" w:color="auto" w:fill="C0C0C0"/>
            <w:tcMar>
              <w:left w:w="28" w:type="dxa"/>
              <w:right w:w="28" w:type="dxa"/>
            </w:tcMar>
            <w:vAlign w:val="center"/>
          </w:tcPr>
          <w:p w:rsidR="00D95ABE" w:rsidRPr="0003349E" w:rsidRDefault="00D95ABE" w:rsidP="00AA3FF4">
            <w:pPr>
              <w:jc w:val="center"/>
            </w:pPr>
            <w:r w:rsidRPr="0003349E">
              <w:t>č. ŽoP z M</w:t>
            </w:r>
            <w:r>
              <w:t>anažment</w:t>
            </w:r>
            <w:r w:rsidRPr="0003349E">
              <w:t xml:space="preserve"> systému</w:t>
            </w:r>
          </w:p>
        </w:tc>
        <w:tc>
          <w:tcPr>
            <w:tcW w:w="1328" w:type="dxa"/>
            <w:vMerge w:val="restart"/>
            <w:tcBorders>
              <w:top w:val="single" w:sz="12" w:space="0" w:color="auto"/>
            </w:tcBorders>
            <w:shd w:val="clear" w:color="auto" w:fill="C0C0C0"/>
            <w:tcMar>
              <w:left w:w="28" w:type="dxa"/>
              <w:right w:w="28" w:type="dxa"/>
            </w:tcMar>
            <w:vAlign w:val="center"/>
          </w:tcPr>
          <w:p w:rsidR="00D95ABE" w:rsidRPr="0003349E" w:rsidRDefault="00D95ABE" w:rsidP="00AA3FF4">
            <w:pPr>
              <w:jc w:val="center"/>
            </w:pPr>
            <w:r w:rsidRPr="0003349E">
              <w:t>Deklarovaná suma ŽoP na EK</w:t>
            </w:r>
          </w:p>
        </w:tc>
        <w:tc>
          <w:tcPr>
            <w:tcW w:w="5186" w:type="dxa"/>
            <w:gridSpan w:val="5"/>
            <w:tcBorders>
              <w:top w:val="single" w:sz="12" w:space="0" w:color="auto"/>
            </w:tcBorders>
            <w:shd w:val="clear" w:color="auto" w:fill="C0C0C0"/>
            <w:tcMar>
              <w:left w:w="28" w:type="dxa"/>
              <w:right w:w="28" w:type="dxa"/>
            </w:tcMar>
            <w:vAlign w:val="center"/>
          </w:tcPr>
          <w:p w:rsidR="00D95ABE" w:rsidRPr="0003349E" w:rsidRDefault="00D95ABE" w:rsidP="00AA3FF4">
            <w:pPr>
              <w:jc w:val="center"/>
            </w:pPr>
            <w:r w:rsidRPr="0003349E">
              <w:t>Overené výdavky</w:t>
            </w:r>
          </w:p>
        </w:tc>
        <w:tc>
          <w:tcPr>
            <w:tcW w:w="1114" w:type="dxa"/>
            <w:vMerge w:val="restart"/>
            <w:tcBorders>
              <w:top w:val="single" w:sz="12" w:space="0" w:color="auto"/>
            </w:tcBorders>
            <w:shd w:val="clear" w:color="auto" w:fill="C0C0C0"/>
            <w:tcMar>
              <w:left w:w="28" w:type="dxa"/>
              <w:right w:w="28" w:type="dxa"/>
            </w:tcMar>
            <w:vAlign w:val="center"/>
          </w:tcPr>
          <w:p w:rsidR="00D95ABE" w:rsidRPr="0003349E" w:rsidRDefault="00D95ABE" w:rsidP="00AA3FF4">
            <w:pPr>
              <w:jc w:val="center"/>
            </w:pPr>
            <w:r w:rsidRPr="0003349E">
              <w:t>Podiel overených výdavkov na deklarovaných</w:t>
            </w:r>
          </w:p>
        </w:tc>
      </w:tr>
      <w:tr w:rsidR="00D95ABE" w:rsidRPr="0003349E" w:rsidTr="00AA3FF4">
        <w:trPr>
          <w:trHeight w:val="540"/>
        </w:trPr>
        <w:tc>
          <w:tcPr>
            <w:tcW w:w="1345" w:type="dxa"/>
            <w:vMerge/>
            <w:tcBorders>
              <w:bottom w:val="single" w:sz="12" w:space="0" w:color="auto"/>
            </w:tcBorders>
            <w:tcMar>
              <w:left w:w="28" w:type="dxa"/>
              <w:right w:w="28" w:type="dxa"/>
            </w:tcMar>
            <w:vAlign w:val="center"/>
          </w:tcPr>
          <w:p w:rsidR="00D95ABE" w:rsidRPr="0003349E" w:rsidRDefault="00D95ABE" w:rsidP="00AA3FF4">
            <w:pPr>
              <w:jc w:val="center"/>
            </w:pPr>
          </w:p>
        </w:tc>
        <w:tc>
          <w:tcPr>
            <w:tcW w:w="1328" w:type="dxa"/>
            <w:vMerge/>
            <w:tcBorders>
              <w:bottom w:val="single" w:sz="12" w:space="0" w:color="auto"/>
            </w:tcBorders>
            <w:tcMar>
              <w:left w:w="28" w:type="dxa"/>
              <w:right w:w="28" w:type="dxa"/>
            </w:tcMar>
            <w:vAlign w:val="center"/>
          </w:tcPr>
          <w:p w:rsidR="00D95ABE" w:rsidRPr="0003349E" w:rsidRDefault="00D95ABE" w:rsidP="00AA3FF4">
            <w:pPr>
              <w:jc w:val="center"/>
            </w:pPr>
          </w:p>
        </w:tc>
        <w:tc>
          <w:tcPr>
            <w:tcW w:w="1260" w:type="dxa"/>
            <w:tcBorders>
              <w:bottom w:val="single" w:sz="12" w:space="0" w:color="auto"/>
            </w:tcBorders>
            <w:shd w:val="clear" w:color="auto" w:fill="C0C0C0"/>
            <w:tcMar>
              <w:left w:w="28" w:type="dxa"/>
              <w:right w:w="28" w:type="dxa"/>
            </w:tcMar>
            <w:vAlign w:val="center"/>
          </w:tcPr>
          <w:p w:rsidR="00D95ABE" w:rsidRPr="0003349E" w:rsidRDefault="00D95ABE" w:rsidP="00AA3FF4">
            <w:pPr>
              <w:jc w:val="center"/>
            </w:pPr>
            <w:r w:rsidRPr="0003349E">
              <w:t>EU (85%)</w:t>
            </w:r>
          </w:p>
        </w:tc>
        <w:tc>
          <w:tcPr>
            <w:tcW w:w="1260" w:type="dxa"/>
            <w:tcBorders>
              <w:bottom w:val="single" w:sz="12" w:space="0" w:color="auto"/>
            </w:tcBorders>
            <w:shd w:val="clear" w:color="auto" w:fill="C0C0C0"/>
            <w:tcMar>
              <w:left w:w="28" w:type="dxa"/>
              <w:right w:w="28" w:type="dxa"/>
            </w:tcMar>
            <w:vAlign w:val="center"/>
          </w:tcPr>
          <w:p w:rsidR="00D95ABE" w:rsidRPr="0003349E" w:rsidRDefault="00D95ABE" w:rsidP="00AA3FF4">
            <w:pPr>
              <w:jc w:val="center"/>
            </w:pPr>
            <w:r w:rsidRPr="0003349E">
              <w:t>Národný príspevok (15%)</w:t>
            </w:r>
          </w:p>
        </w:tc>
        <w:tc>
          <w:tcPr>
            <w:tcW w:w="636" w:type="dxa"/>
            <w:tcBorders>
              <w:bottom w:val="single" w:sz="12" w:space="0" w:color="auto"/>
            </w:tcBorders>
            <w:shd w:val="clear" w:color="auto" w:fill="C0C0C0"/>
            <w:tcMar>
              <w:left w:w="28" w:type="dxa"/>
              <w:right w:w="28" w:type="dxa"/>
            </w:tcMar>
            <w:vAlign w:val="center"/>
          </w:tcPr>
          <w:p w:rsidR="00D95ABE" w:rsidRPr="0003349E" w:rsidRDefault="00D95ABE" w:rsidP="00AA3FF4">
            <w:pPr>
              <w:jc w:val="center"/>
            </w:pPr>
            <w:r w:rsidRPr="0003349E">
              <w:t>Verejné</w:t>
            </w:r>
          </w:p>
        </w:tc>
        <w:tc>
          <w:tcPr>
            <w:tcW w:w="804" w:type="dxa"/>
            <w:tcBorders>
              <w:bottom w:val="single" w:sz="12" w:space="0" w:color="auto"/>
            </w:tcBorders>
            <w:shd w:val="clear" w:color="auto" w:fill="C0C0C0"/>
            <w:tcMar>
              <w:left w:w="28" w:type="dxa"/>
              <w:right w:w="28" w:type="dxa"/>
            </w:tcMar>
            <w:vAlign w:val="center"/>
          </w:tcPr>
          <w:p w:rsidR="00D95ABE" w:rsidRPr="0003349E" w:rsidRDefault="00D95ABE" w:rsidP="00AA3FF4">
            <w:pPr>
              <w:jc w:val="center"/>
            </w:pPr>
            <w:r w:rsidRPr="0003349E">
              <w:t>Súkromné (IP)</w:t>
            </w:r>
          </w:p>
        </w:tc>
        <w:tc>
          <w:tcPr>
            <w:tcW w:w="1226" w:type="dxa"/>
            <w:tcBorders>
              <w:bottom w:val="single" w:sz="12" w:space="0" w:color="auto"/>
            </w:tcBorders>
            <w:shd w:val="clear" w:color="auto" w:fill="C0C0C0"/>
            <w:tcMar>
              <w:left w:w="28" w:type="dxa"/>
              <w:right w:w="28" w:type="dxa"/>
            </w:tcMar>
            <w:vAlign w:val="center"/>
          </w:tcPr>
          <w:p w:rsidR="00D95ABE" w:rsidRPr="0003349E" w:rsidRDefault="00D95ABE" w:rsidP="00AA3FF4">
            <w:pPr>
              <w:jc w:val="center"/>
            </w:pPr>
            <w:r w:rsidRPr="0003349E">
              <w:t>Celkom</w:t>
            </w:r>
          </w:p>
        </w:tc>
        <w:tc>
          <w:tcPr>
            <w:tcW w:w="1114" w:type="dxa"/>
            <w:vMerge/>
            <w:tcBorders>
              <w:bottom w:val="single" w:sz="12" w:space="0" w:color="auto"/>
            </w:tcBorders>
            <w:tcMar>
              <w:left w:w="28" w:type="dxa"/>
              <w:right w:w="28" w:type="dxa"/>
            </w:tcMar>
            <w:vAlign w:val="center"/>
          </w:tcPr>
          <w:p w:rsidR="00D95ABE" w:rsidRPr="0003349E" w:rsidRDefault="00D95ABE" w:rsidP="00AA3FF4"/>
        </w:tc>
      </w:tr>
      <w:tr w:rsidR="00D95ABE" w:rsidRPr="0003349E" w:rsidTr="00AA3FF4">
        <w:trPr>
          <w:trHeight w:val="285"/>
        </w:trPr>
        <w:tc>
          <w:tcPr>
            <w:tcW w:w="1345" w:type="dxa"/>
            <w:tcBorders>
              <w:top w:val="single" w:sz="12" w:space="0" w:color="auto"/>
            </w:tcBorders>
            <w:tcMar>
              <w:left w:w="28" w:type="dxa"/>
              <w:right w:w="28" w:type="dxa"/>
            </w:tcMar>
            <w:vAlign w:val="bottom"/>
          </w:tcPr>
          <w:p w:rsidR="00D95ABE" w:rsidRPr="0003349E" w:rsidRDefault="00D95ABE" w:rsidP="00AA3FF4">
            <w:r w:rsidRPr="0003349E">
              <w:t>IP Turku RfP1</w:t>
            </w:r>
          </w:p>
        </w:tc>
        <w:tc>
          <w:tcPr>
            <w:tcW w:w="1328" w:type="dxa"/>
            <w:tcBorders>
              <w:top w:val="single" w:sz="12" w:space="0" w:color="auto"/>
            </w:tcBorders>
            <w:tcMar>
              <w:left w:w="28" w:type="dxa"/>
              <w:right w:w="28" w:type="dxa"/>
            </w:tcMar>
            <w:vAlign w:val="bottom"/>
          </w:tcPr>
          <w:p w:rsidR="00D95ABE" w:rsidRPr="0003349E" w:rsidRDefault="00D95ABE" w:rsidP="00AA3FF4">
            <w:pPr>
              <w:jc w:val="right"/>
            </w:pPr>
            <w:r w:rsidRPr="0003349E">
              <w:t>148 992,00 €</w:t>
            </w:r>
          </w:p>
        </w:tc>
        <w:tc>
          <w:tcPr>
            <w:tcW w:w="1260" w:type="dxa"/>
            <w:tcBorders>
              <w:top w:val="single" w:sz="12" w:space="0" w:color="auto"/>
            </w:tcBorders>
            <w:tcMar>
              <w:left w:w="28" w:type="dxa"/>
              <w:right w:w="28" w:type="dxa"/>
            </w:tcMar>
            <w:vAlign w:val="bottom"/>
          </w:tcPr>
          <w:p w:rsidR="00D95ABE" w:rsidRPr="0003349E" w:rsidRDefault="00D95ABE" w:rsidP="00AA3FF4">
            <w:pPr>
              <w:jc w:val="right"/>
            </w:pPr>
            <w:r w:rsidRPr="0003349E">
              <w:t>112 020,24 €</w:t>
            </w:r>
          </w:p>
        </w:tc>
        <w:tc>
          <w:tcPr>
            <w:tcW w:w="1260" w:type="dxa"/>
            <w:tcBorders>
              <w:top w:val="single" w:sz="12" w:space="0" w:color="auto"/>
            </w:tcBorders>
            <w:tcMar>
              <w:left w:w="28" w:type="dxa"/>
              <w:right w:w="28" w:type="dxa"/>
            </w:tcMar>
            <w:vAlign w:val="bottom"/>
          </w:tcPr>
          <w:p w:rsidR="00D95ABE" w:rsidRPr="0003349E" w:rsidRDefault="00D95ABE" w:rsidP="00AA3FF4">
            <w:pPr>
              <w:jc w:val="right"/>
            </w:pPr>
            <w:r w:rsidRPr="0003349E">
              <w:t>19 768,28 €</w:t>
            </w:r>
          </w:p>
        </w:tc>
        <w:tc>
          <w:tcPr>
            <w:tcW w:w="636" w:type="dxa"/>
            <w:tcBorders>
              <w:top w:val="single" w:sz="12" w:space="0" w:color="auto"/>
            </w:tcBorders>
            <w:tcMar>
              <w:left w:w="28" w:type="dxa"/>
              <w:right w:w="28" w:type="dxa"/>
            </w:tcMar>
            <w:vAlign w:val="bottom"/>
          </w:tcPr>
          <w:p w:rsidR="00D95ABE" w:rsidRPr="0003349E" w:rsidRDefault="00D95ABE" w:rsidP="00AA3FF4">
            <w:pPr>
              <w:jc w:val="right"/>
            </w:pPr>
            <w:r w:rsidRPr="0003349E">
              <w:t>0</w:t>
            </w:r>
          </w:p>
        </w:tc>
        <w:tc>
          <w:tcPr>
            <w:tcW w:w="804" w:type="dxa"/>
            <w:tcBorders>
              <w:top w:val="single" w:sz="12" w:space="0" w:color="auto"/>
            </w:tcBorders>
            <w:tcMar>
              <w:left w:w="28" w:type="dxa"/>
              <w:right w:w="28" w:type="dxa"/>
            </w:tcMar>
            <w:vAlign w:val="bottom"/>
          </w:tcPr>
          <w:p w:rsidR="00D95ABE" w:rsidRPr="0003349E" w:rsidRDefault="00D95ABE" w:rsidP="00AA3FF4">
            <w:pPr>
              <w:jc w:val="right"/>
            </w:pPr>
            <w:r w:rsidRPr="0003349E">
              <w:t>0</w:t>
            </w:r>
          </w:p>
        </w:tc>
        <w:tc>
          <w:tcPr>
            <w:tcW w:w="1226" w:type="dxa"/>
            <w:tcBorders>
              <w:top w:val="single" w:sz="12" w:space="0" w:color="auto"/>
            </w:tcBorders>
            <w:tcMar>
              <w:left w:w="28" w:type="dxa"/>
              <w:right w:w="28" w:type="dxa"/>
            </w:tcMar>
            <w:vAlign w:val="bottom"/>
          </w:tcPr>
          <w:p w:rsidR="00D95ABE" w:rsidRPr="0003349E" w:rsidRDefault="00D95ABE" w:rsidP="00AA3FF4">
            <w:pPr>
              <w:jc w:val="right"/>
            </w:pPr>
            <w:r w:rsidRPr="0003349E">
              <w:t>131 788,52 €</w:t>
            </w:r>
          </w:p>
        </w:tc>
        <w:tc>
          <w:tcPr>
            <w:tcW w:w="1114" w:type="dxa"/>
            <w:tcBorders>
              <w:top w:val="single" w:sz="12" w:space="0" w:color="auto"/>
            </w:tcBorders>
            <w:tcMar>
              <w:left w:w="28" w:type="dxa"/>
              <w:right w:w="28" w:type="dxa"/>
            </w:tcMar>
            <w:vAlign w:val="bottom"/>
          </w:tcPr>
          <w:p w:rsidR="00D95ABE" w:rsidRPr="0003349E" w:rsidRDefault="00D95ABE" w:rsidP="00AA3FF4">
            <w:pPr>
              <w:jc w:val="right"/>
            </w:pPr>
            <w:r w:rsidRPr="0003349E">
              <w:t>88,45%</w:t>
            </w:r>
          </w:p>
        </w:tc>
      </w:tr>
      <w:tr w:rsidR="00D95ABE" w:rsidRPr="0003349E" w:rsidTr="00AA3FF4">
        <w:trPr>
          <w:trHeight w:val="319"/>
        </w:trPr>
        <w:tc>
          <w:tcPr>
            <w:tcW w:w="1345" w:type="dxa"/>
            <w:tcMar>
              <w:left w:w="28" w:type="dxa"/>
              <w:right w:w="28" w:type="dxa"/>
            </w:tcMar>
            <w:vAlign w:val="bottom"/>
          </w:tcPr>
          <w:p w:rsidR="00D95ABE" w:rsidRPr="0003349E" w:rsidRDefault="00D95ABE" w:rsidP="00AA3FF4">
            <w:r w:rsidRPr="0003349E">
              <w:t xml:space="preserve">IP Valencia RfP1 </w:t>
            </w:r>
          </w:p>
        </w:tc>
        <w:tc>
          <w:tcPr>
            <w:tcW w:w="1328" w:type="dxa"/>
            <w:tcMar>
              <w:left w:w="28" w:type="dxa"/>
              <w:right w:w="28" w:type="dxa"/>
            </w:tcMar>
            <w:vAlign w:val="bottom"/>
          </w:tcPr>
          <w:p w:rsidR="00D95ABE" w:rsidRPr="0003349E" w:rsidRDefault="00D95ABE" w:rsidP="00AA3FF4">
            <w:pPr>
              <w:jc w:val="right"/>
            </w:pPr>
            <w:r w:rsidRPr="0003349E">
              <w:t>115 272,22 €</w:t>
            </w:r>
          </w:p>
        </w:tc>
        <w:tc>
          <w:tcPr>
            <w:tcW w:w="1260" w:type="dxa"/>
            <w:tcMar>
              <w:left w:w="28" w:type="dxa"/>
              <w:right w:w="28" w:type="dxa"/>
            </w:tcMar>
            <w:vAlign w:val="bottom"/>
          </w:tcPr>
          <w:p w:rsidR="00D95ABE" w:rsidRPr="0003349E" w:rsidRDefault="00D95ABE" w:rsidP="00AA3FF4">
            <w:pPr>
              <w:jc w:val="right"/>
            </w:pPr>
            <w:r w:rsidRPr="0003349E">
              <w:t>95 185,91 €</w:t>
            </w:r>
          </w:p>
        </w:tc>
        <w:tc>
          <w:tcPr>
            <w:tcW w:w="1260" w:type="dxa"/>
            <w:tcMar>
              <w:left w:w="28" w:type="dxa"/>
              <w:right w:w="28" w:type="dxa"/>
            </w:tcMar>
            <w:vAlign w:val="bottom"/>
          </w:tcPr>
          <w:p w:rsidR="00D95ABE" w:rsidRPr="0003349E" w:rsidRDefault="00D95ABE" w:rsidP="00AA3FF4">
            <w:pPr>
              <w:jc w:val="right"/>
            </w:pPr>
            <w:r w:rsidRPr="0003349E">
              <w:t>16 797,53 €</w:t>
            </w:r>
          </w:p>
        </w:tc>
        <w:tc>
          <w:tcPr>
            <w:tcW w:w="636" w:type="dxa"/>
            <w:tcMar>
              <w:left w:w="28" w:type="dxa"/>
              <w:right w:w="28" w:type="dxa"/>
            </w:tcMar>
            <w:vAlign w:val="bottom"/>
          </w:tcPr>
          <w:p w:rsidR="00D95ABE" w:rsidRPr="0003349E" w:rsidRDefault="00D95ABE" w:rsidP="00AA3FF4">
            <w:pPr>
              <w:jc w:val="right"/>
            </w:pPr>
            <w:r w:rsidRPr="0003349E">
              <w:t>0</w:t>
            </w:r>
          </w:p>
        </w:tc>
        <w:tc>
          <w:tcPr>
            <w:tcW w:w="804" w:type="dxa"/>
            <w:tcMar>
              <w:left w:w="28" w:type="dxa"/>
              <w:right w:w="28" w:type="dxa"/>
            </w:tcMar>
            <w:vAlign w:val="bottom"/>
          </w:tcPr>
          <w:p w:rsidR="00D95ABE" w:rsidRPr="0003349E" w:rsidRDefault="00D95ABE" w:rsidP="00AA3FF4">
            <w:pPr>
              <w:jc w:val="right"/>
            </w:pPr>
            <w:r w:rsidRPr="0003349E">
              <w:t>0</w:t>
            </w:r>
          </w:p>
        </w:tc>
        <w:tc>
          <w:tcPr>
            <w:tcW w:w="1226" w:type="dxa"/>
            <w:tcMar>
              <w:left w:w="28" w:type="dxa"/>
              <w:right w:w="28" w:type="dxa"/>
            </w:tcMar>
            <w:vAlign w:val="bottom"/>
          </w:tcPr>
          <w:p w:rsidR="00D95ABE" w:rsidRPr="0003349E" w:rsidRDefault="00D95ABE" w:rsidP="00AA3FF4">
            <w:pPr>
              <w:jc w:val="right"/>
            </w:pPr>
            <w:r w:rsidRPr="0003349E">
              <w:t>111 983,44 €</w:t>
            </w:r>
          </w:p>
        </w:tc>
        <w:tc>
          <w:tcPr>
            <w:tcW w:w="1114" w:type="dxa"/>
            <w:tcMar>
              <w:left w:w="28" w:type="dxa"/>
              <w:right w:w="28" w:type="dxa"/>
            </w:tcMar>
            <w:vAlign w:val="bottom"/>
          </w:tcPr>
          <w:p w:rsidR="00D95ABE" w:rsidRPr="0003349E" w:rsidRDefault="00D95ABE" w:rsidP="00AA3FF4">
            <w:pPr>
              <w:jc w:val="right"/>
            </w:pPr>
            <w:r w:rsidRPr="0003349E">
              <w:t>97,15%</w:t>
            </w:r>
          </w:p>
        </w:tc>
      </w:tr>
      <w:tr w:rsidR="00D95ABE" w:rsidRPr="0003349E" w:rsidTr="00AA3FF4">
        <w:trPr>
          <w:trHeight w:val="270"/>
        </w:trPr>
        <w:tc>
          <w:tcPr>
            <w:tcW w:w="1345" w:type="dxa"/>
            <w:tcMar>
              <w:left w:w="28" w:type="dxa"/>
              <w:right w:w="28" w:type="dxa"/>
            </w:tcMar>
            <w:vAlign w:val="bottom"/>
          </w:tcPr>
          <w:p w:rsidR="00D95ABE" w:rsidRPr="0003349E" w:rsidRDefault="00D95ABE" w:rsidP="00AA3FF4">
            <w:r w:rsidRPr="0003349E">
              <w:t xml:space="preserve">IP Viborg RfP1 </w:t>
            </w:r>
          </w:p>
        </w:tc>
        <w:tc>
          <w:tcPr>
            <w:tcW w:w="1328" w:type="dxa"/>
            <w:tcMar>
              <w:left w:w="28" w:type="dxa"/>
              <w:right w:w="28" w:type="dxa"/>
            </w:tcMar>
            <w:vAlign w:val="bottom"/>
          </w:tcPr>
          <w:p w:rsidR="00D95ABE" w:rsidRPr="0003349E" w:rsidRDefault="00D95ABE" w:rsidP="00AA3FF4">
            <w:pPr>
              <w:jc w:val="right"/>
            </w:pPr>
            <w:r w:rsidRPr="0003349E">
              <w:t>238 727,51 €</w:t>
            </w:r>
          </w:p>
        </w:tc>
        <w:tc>
          <w:tcPr>
            <w:tcW w:w="1260" w:type="dxa"/>
            <w:tcMar>
              <w:left w:w="28" w:type="dxa"/>
              <w:right w:w="28" w:type="dxa"/>
            </w:tcMar>
            <w:vAlign w:val="bottom"/>
          </w:tcPr>
          <w:p w:rsidR="00D95ABE" w:rsidRPr="0003349E" w:rsidRDefault="00D95ABE" w:rsidP="00AA3FF4">
            <w:pPr>
              <w:jc w:val="right"/>
            </w:pPr>
            <w:r w:rsidRPr="0003349E">
              <w:t>192 231,02 €</w:t>
            </w:r>
          </w:p>
        </w:tc>
        <w:tc>
          <w:tcPr>
            <w:tcW w:w="1260" w:type="dxa"/>
            <w:tcMar>
              <w:left w:w="28" w:type="dxa"/>
              <w:right w:w="28" w:type="dxa"/>
            </w:tcMar>
            <w:vAlign w:val="bottom"/>
          </w:tcPr>
          <w:p w:rsidR="00D95ABE" w:rsidRPr="0003349E" w:rsidRDefault="00D95ABE" w:rsidP="00AA3FF4">
            <w:pPr>
              <w:jc w:val="right"/>
            </w:pPr>
            <w:r w:rsidRPr="0003349E">
              <w:t>33 923,13 €</w:t>
            </w:r>
          </w:p>
        </w:tc>
        <w:tc>
          <w:tcPr>
            <w:tcW w:w="636" w:type="dxa"/>
            <w:tcMar>
              <w:left w:w="28" w:type="dxa"/>
              <w:right w:w="28" w:type="dxa"/>
            </w:tcMar>
            <w:vAlign w:val="bottom"/>
          </w:tcPr>
          <w:p w:rsidR="00D95ABE" w:rsidRPr="0003349E" w:rsidRDefault="00D95ABE" w:rsidP="00AA3FF4">
            <w:pPr>
              <w:jc w:val="right"/>
            </w:pPr>
            <w:r w:rsidRPr="0003349E">
              <w:t>0</w:t>
            </w:r>
          </w:p>
        </w:tc>
        <w:tc>
          <w:tcPr>
            <w:tcW w:w="804" w:type="dxa"/>
            <w:tcMar>
              <w:left w:w="28" w:type="dxa"/>
              <w:right w:w="28" w:type="dxa"/>
            </w:tcMar>
            <w:vAlign w:val="bottom"/>
          </w:tcPr>
          <w:p w:rsidR="00D95ABE" w:rsidRPr="0003349E" w:rsidRDefault="00D95ABE" w:rsidP="00AA3FF4">
            <w:pPr>
              <w:jc w:val="right"/>
            </w:pPr>
            <w:r w:rsidRPr="0003349E">
              <w:t>0</w:t>
            </w:r>
          </w:p>
        </w:tc>
        <w:tc>
          <w:tcPr>
            <w:tcW w:w="1226" w:type="dxa"/>
            <w:tcMar>
              <w:left w:w="28" w:type="dxa"/>
              <w:right w:w="28" w:type="dxa"/>
            </w:tcMar>
            <w:vAlign w:val="bottom"/>
          </w:tcPr>
          <w:p w:rsidR="00D95ABE" w:rsidRPr="0003349E" w:rsidRDefault="00D95ABE" w:rsidP="00AA3FF4">
            <w:pPr>
              <w:jc w:val="right"/>
            </w:pPr>
            <w:r w:rsidRPr="0003349E">
              <w:t>226 154,15 €</w:t>
            </w:r>
          </w:p>
        </w:tc>
        <w:tc>
          <w:tcPr>
            <w:tcW w:w="1114" w:type="dxa"/>
            <w:tcMar>
              <w:left w:w="28" w:type="dxa"/>
              <w:right w:w="28" w:type="dxa"/>
            </w:tcMar>
            <w:vAlign w:val="bottom"/>
          </w:tcPr>
          <w:p w:rsidR="00D95ABE" w:rsidRPr="0003349E" w:rsidRDefault="00D95ABE" w:rsidP="00AA3FF4">
            <w:pPr>
              <w:jc w:val="right"/>
            </w:pPr>
            <w:r w:rsidRPr="0003349E">
              <w:t>94,73%</w:t>
            </w:r>
          </w:p>
        </w:tc>
      </w:tr>
      <w:tr w:rsidR="00D95ABE" w:rsidRPr="0003349E" w:rsidTr="00AA3FF4">
        <w:trPr>
          <w:trHeight w:val="270"/>
        </w:trPr>
        <w:tc>
          <w:tcPr>
            <w:tcW w:w="1345" w:type="dxa"/>
            <w:tcBorders>
              <w:bottom w:val="single" w:sz="12" w:space="0" w:color="auto"/>
            </w:tcBorders>
            <w:tcMar>
              <w:left w:w="28" w:type="dxa"/>
              <w:right w:w="28" w:type="dxa"/>
            </w:tcMar>
            <w:vAlign w:val="bottom"/>
          </w:tcPr>
          <w:p w:rsidR="00D95ABE" w:rsidRPr="0003349E" w:rsidRDefault="00D95ABE" w:rsidP="00AA3FF4">
            <w:r w:rsidRPr="0003349E">
              <w:t>IP Vienna RfP1</w:t>
            </w:r>
          </w:p>
        </w:tc>
        <w:tc>
          <w:tcPr>
            <w:tcW w:w="1328" w:type="dxa"/>
            <w:tcBorders>
              <w:bottom w:val="single" w:sz="12" w:space="0" w:color="auto"/>
            </w:tcBorders>
            <w:tcMar>
              <w:left w:w="28" w:type="dxa"/>
              <w:right w:w="28" w:type="dxa"/>
            </w:tcMar>
            <w:vAlign w:val="bottom"/>
          </w:tcPr>
          <w:p w:rsidR="00D95ABE" w:rsidRPr="0003349E" w:rsidRDefault="00D95ABE" w:rsidP="00AA3FF4">
            <w:pPr>
              <w:jc w:val="right"/>
            </w:pPr>
            <w:r w:rsidRPr="0003349E">
              <w:t>368 110,35 €</w:t>
            </w:r>
          </w:p>
        </w:tc>
        <w:tc>
          <w:tcPr>
            <w:tcW w:w="1260" w:type="dxa"/>
            <w:tcBorders>
              <w:bottom w:val="single" w:sz="12" w:space="0" w:color="auto"/>
            </w:tcBorders>
            <w:tcMar>
              <w:left w:w="28" w:type="dxa"/>
              <w:right w:w="28" w:type="dxa"/>
            </w:tcMar>
            <w:vAlign w:val="bottom"/>
          </w:tcPr>
          <w:p w:rsidR="00D95ABE" w:rsidRPr="0003349E" w:rsidRDefault="00D95ABE" w:rsidP="00AA3FF4">
            <w:pPr>
              <w:jc w:val="right"/>
            </w:pPr>
            <w:r w:rsidRPr="0003349E">
              <w:t>160 344,46 €</w:t>
            </w:r>
          </w:p>
        </w:tc>
        <w:tc>
          <w:tcPr>
            <w:tcW w:w="1260" w:type="dxa"/>
            <w:tcBorders>
              <w:bottom w:val="single" w:sz="12" w:space="0" w:color="auto"/>
            </w:tcBorders>
            <w:tcMar>
              <w:left w:w="28" w:type="dxa"/>
              <w:right w:w="28" w:type="dxa"/>
            </w:tcMar>
            <w:vAlign w:val="bottom"/>
          </w:tcPr>
          <w:p w:rsidR="00D95ABE" w:rsidRPr="0003349E" w:rsidRDefault="00D95ABE" w:rsidP="00AA3FF4">
            <w:pPr>
              <w:jc w:val="right"/>
            </w:pPr>
            <w:r w:rsidRPr="0003349E">
              <w:t>28 296,09 €</w:t>
            </w:r>
          </w:p>
        </w:tc>
        <w:tc>
          <w:tcPr>
            <w:tcW w:w="636" w:type="dxa"/>
            <w:tcBorders>
              <w:bottom w:val="single" w:sz="12" w:space="0" w:color="auto"/>
            </w:tcBorders>
            <w:tcMar>
              <w:left w:w="28" w:type="dxa"/>
              <w:right w:w="28" w:type="dxa"/>
            </w:tcMar>
            <w:vAlign w:val="bottom"/>
          </w:tcPr>
          <w:p w:rsidR="00D95ABE" w:rsidRPr="0003349E" w:rsidRDefault="00D95ABE" w:rsidP="00AA3FF4">
            <w:pPr>
              <w:jc w:val="right"/>
            </w:pPr>
            <w:r w:rsidRPr="0003349E">
              <w:t>0</w:t>
            </w:r>
          </w:p>
        </w:tc>
        <w:tc>
          <w:tcPr>
            <w:tcW w:w="804" w:type="dxa"/>
            <w:tcBorders>
              <w:bottom w:val="single" w:sz="12" w:space="0" w:color="auto"/>
            </w:tcBorders>
            <w:tcMar>
              <w:left w:w="28" w:type="dxa"/>
              <w:right w:w="28" w:type="dxa"/>
            </w:tcMar>
            <w:vAlign w:val="bottom"/>
          </w:tcPr>
          <w:p w:rsidR="00D95ABE" w:rsidRPr="0003349E" w:rsidRDefault="00D95ABE" w:rsidP="00AA3FF4">
            <w:pPr>
              <w:jc w:val="right"/>
            </w:pPr>
            <w:r w:rsidRPr="0003349E">
              <w:t>0</w:t>
            </w:r>
          </w:p>
        </w:tc>
        <w:tc>
          <w:tcPr>
            <w:tcW w:w="1226" w:type="dxa"/>
            <w:tcBorders>
              <w:bottom w:val="single" w:sz="12" w:space="0" w:color="auto"/>
            </w:tcBorders>
            <w:tcMar>
              <w:left w:w="28" w:type="dxa"/>
              <w:right w:w="28" w:type="dxa"/>
            </w:tcMar>
            <w:vAlign w:val="bottom"/>
          </w:tcPr>
          <w:p w:rsidR="00D95ABE" w:rsidRPr="0003349E" w:rsidRDefault="00D95ABE" w:rsidP="00AA3FF4">
            <w:pPr>
              <w:jc w:val="right"/>
            </w:pPr>
            <w:r w:rsidRPr="0003349E">
              <w:t>188 640,55 €</w:t>
            </w:r>
          </w:p>
        </w:tc>
        <w:tc>
          <w:tcPr>
            <w:tcW w:w="1114" w:type="dxa"/>
            <w:tcBorders>
              <w:bottom w:val="single" w:sz="12" w:space="0" w:color="auto"/>
            </w:tcBorders>
            <w:tcMar>
              <w:left w:w="28" w:type="dxa"/>
              <w:right w:w="28" w:type="dxa"/>
            </w:tcMar>
            <w:vAlign w:val="bottom"/>
          </w:tcPr>
          <w:p w:rsidR="00D95ABE" w:rsidRPr="0003349E" w:rsidRDefault="00D95ABE" w:rsidP="00AA3FF4">
            <w:pPr>
              <w:jc w:val="right"/>
            </w:pPr>
            <w:r w:rsidRPr="0003349E">
              <w:t>51,25%</w:t>
            </w:r>
          </w:p>
        </w:tc>
      </w:tr>
    </w:tbl>
    <w:p w:rsidR="00D95ABE" w:rsidRPr="0003349E" w:rsidRDefault="00D95ABE" w:rsidP="0003349E">
      <w:pPr>
        <w:tabs>
          <w:tab w:val="left" w:pos="1080"/>
        </w:tabs>
      </w:pPr>
    </w:p>
    <w:p w:rsidR="00D95ABE" w:rsidRPr="0003349E" w:rsidRDefault="00D95ABE" w:rsidP="0003349E">
      <w:pPr>
        <w:tabs>
          <w:tab w:val="left" w:pos="1080"/>
        </w:tabs>
      </w:pPr>
    </w:p>
    <w:p w:rsidR="00D95ABE" w:rsidRPr="0003349E" w:rsidRDefault="00D95ABE" w:rsidP="0003349E">
      <w:pPr>
        <w:autoSpaceDE w:val="0"/>
        <w:autoSpaceDN w:val="0"/>
        <w:adjustRightInd w:val="0"/>
        <w:jc w:val="both"/>
      </w:pPr>
      <w:r w:rsidRPr="0003349E">
        <w:t xml:space="preserve">Na základe podrobného overenia výdavkov zahrnutých do prvej žiadosti o platbu za jednotlivé IP bolo získané uistenie, že pre výdavky existujú dostatočné doklady a že výdavky boli oprávnené, podporené dostatočným záznamom pre audit a boli v súlade s programovými a regulačnými požiadavkami. </w:t>
      </w:r>
    </w:p>
    <w:p w:rsidR="00D95ABE" w:rsidRPr="0003349E" w:rsidRDefault="00D95ABE" w:rsidP="0003349E">
      <w:pPr>
        <w:tabs>
          <w:tab w:val="left" w:pos="1080"/>
        </w:tabs>
      </w:pPr>
    </w:p>
    <w:p w:rsidR="00D95ABE" w:rsidRPr="0003349E" w:rsidRDefault="00D95ABE" w:rsidP="0003349E">
      <w:pPr>
        <w:autoSpaceDE w:val="0"/>
        <w:autoSpaceDN w:val="0"/>
        <w:adjustRightInd w:val="0"/>
        <w:jc w:val="both"/>
      </w:pPr>
      <w:r w:rsidRPr="0003349E">
        <w:t>Orgán auditu bude o výsledkoch vykonaného systémového auditu a auditu operácií informovať EK prostredníctvom výročnej kontrolnej správy v termíne do 31.12.2010.</w:t>
      </w:r>
    </w:p>
    <w:p w:rsidR="00D95ABE" w:rsidRPr="0003349E" w:rsidRDefault="00D95ABE" w:rsidP="002B0654">
      <w:pPr>
        <w:pStyle w:val="Heading1"/>
        <w:numPr>
          <w:ilvl w:val="0"/>
          <w:numId w:val="1"/>
        </w:numPr>
        <w:spacing w:before="240" w:after="240"/>
        <w:rPr>
          <w:rFonts w:ascii="Times New Roman" w:hAnsi="Times New Roman"/>
          <w:color w:val="auto"/>
          <w:sz w:val="24"/>
          <w:szCs w:val="24"/>
        </w:rPr>
      </w:pPr>
      <w:bookmarkStart w:id="18" w:name="_Toc272762881"/>
      <w:r w:rsidRPr="0003349E">
        <w:rPr>
          <w:rFonts w:ascii="Times New Roman" w:hAnsi="Times New Roman"/>
          <w:color w:val="auto"/>
          <w:sz w:val="24"/>
          <w:szCs w:val="24"/>
        </w:rPr>
        <w:t>Využívanie informačných systémov OP INTERACT II</w:t>
      </w:r>
      <w:bookmarkEnd w:id="18"/>
      <w:r w:rsidRPr="0003349E">
        <w:rPr>
          <w:rFonts w:ascii="Times New Roman" w:hAnsi="Times New Roman"/>
          <w:color w:val="auto"/>
          <w:sz w:val="24"/>
          <w:szCs w:val="24"/>
        </w:rPr>
        <w:t xml:space="preserve"> </w:t>
      </w:r>
    </w:p>
    <w:p w:rsidR="00D95ABE" w:rsidRPr="0003349E" w:rsidRDefault="00D95ABE" w:rsidP="00F94814">
      <w:pPr>
        <w:jc w:val="both"/>
      </w:pPr>
      <w:r w:rsidRPr="0003349E">
        <w:t xml:space="preserve">V systéme ISUF je momentálne evidovaných 10 projektov, v rámci ktorých sú v účtovníctve sledované výdavky realizované IP, RO, CO a OA. </w:t>
      </w:r>
      <w:r>
        <w:t>Konsolidácia so systémom ISUF nebola uskutočnená z</w:t>
      </w:r>
      <w:r>
        <w:rPr>
          <w:color w:val="1F497D"/>
        </w:rPr>
        <w:t> </w:t>
      </w:r>
      <w:r>
        <w:t>dôvodu</w:t>
      </w:r>
      <w:r>
        <w:rPr>
          <w:color w:val="1F497D"/>
        </w:rPr>
        <w:t xml:space="preserve">, </w:t>
      </w:r>
      <w:r w:rsidRPr="00C052D4">
        <w:t>že RO</w:t>
      </w:r>
      <w:r>
        <w:rPr>
          <w:color w:val="1F497D"/>
        </w:rPr>
        <w:t xml:space="preserve"> </w:t>
      </w:r>
      <w:r>
        <w:t>nezasiela finančn</w:t>
      </w:r>
      <w:r>
        <w:rPr>
          <w:color w:val="1F497D"/>
        </w:rPr>
        <w:t>é</w:t>
      </w:r>
      <w:r>
        <w:t xml:space="preserve"> výkaz</w:t>
      </w:r>
      <w:r>
        <w:rPr>
          <w:color w:val="1F497D"/>
        </w:rPr>
        <w:t>y</w:t>
      </w:r>
      <w:r>
        <w:t xml:space="preserve"> generovan</w:t>
      </w:r>
      <w:r>
        <w:rPr>
          <w:color w:val="1F497D"/>
        </w:rPr>
        <w:t>é</w:t>
      </w:r>
      <w:r>
        <w:t xml:space="preserve"> informačným systémom IMS podľa jednotlivých žiadostí o platbu rozdelených na sumy za ERDF a národné spolufinancovanie na CO.</w:t>
      </w:r>
      <w:r>
        <w:rPr>
          <w:color w:val="1F497D"/>
        </w:rPr>
        <w:t xml:space="preserve"> </w:t>
      </w:r>
    </w:p>
    <w:p w:rsidR="00D95ABE" w:rsidRPr="0003349E" w:rsidRDefault="00D95ABE" w:rsidP="003F4046">
      <w:pPr>
        <w:jc w:val="both"/>
      </w:pPr>
      <w:r w:rsidRPr="0003349E">
        <w:t>Vo februári 2010 bol dodávateľom systému úspešne vykonaný prechod produktívneho systému ISUF na vyššiu verziu SAP ECC 6.0 a následne po vykonaní kontroly funkcionalít garantmi začali používatelia s jeho plnohodnotným používaním.</w:t>
      </w:r>
    </w:p>
    <w:p w:rsidR="00D95ABE" w:rsidRDefault="00D95ABE" w:rsidP="0003349E">
      <w:pPr>
        <w:autoSpaceDE w:val="0"/>
        <w:autoSpaceDN w:val="0"/>
        <w:adjustRightInd w:val="0"/>
        <w:spacing w:after="120"/>
        <w:jc w:val="both"/>
      </w:pPr>
      <w:r w:rsidRPr="0003349E">
        <w:t xml:space="preserve">OP INTERACT II i naďalej využíva informačný a komunikačný systém vytvorený v roku 2004 v rámci INTERACT I. Tento systém využíva IS ako ucelenú platformu pre internú a externú elektronickú komunikáciu. Zameranie sa na výmenu informácií pomocou elektronických médií vedie k zvýšeniu efektívnosti, transparentnosti a úspore času. </w:t>
      </w:r>
    </w:p>
    <w:p w:rsidR="00D95ABE" w:rsidRPr="0003349E" w:rsidRDefault="00D95ABE" w:rsidP="0003349E">
      <w:pPr>
        <w:autoSpaceDE w:val="0"/>
        <w:autoSpaceDN w:val="0"/>
        <w:adjustRightInd w:val="0"/>
        <w:spacing w:after="120"/>
        <w:jc w:val="both"/>
      </w:pPr>
      <w:r w:rsidRPr="0003349E">
        <w:t>Súčasťou systému je elektronický archív Confluence, INTERACT webová stránka a elektronická komunikácia (Zimbra). Ďalej sa využíva spoločný nástroj pre registráciu účastníkov školení a seminárov (Event registration tool) používaný v rámci programu.</w:t>
      </w:r>
    </w:p>
    <w:p w:rsidR="00D95ABE" w:rsidRPr="0003349E" w:rsidRDefault="00D95ABE" w:rsidP="0003349E">
      <w:pPr>
        <w:jc w:val="both"/>
      </w:pPr>
      <w:r w:rsidRPr="0003349E">
        <w:t>Ďalej pokračuje vyvíjanie INTERACT m</w:t>
      </w:r>
      <w:r>
        <w:t>anažment</w:t>
      </w:r>
      <w:r w:rsidRPr="0003349E">
        <w:t xml:space="preserve"> systému (IMS), ktorý je v súčasnosti zameraný najmä na monitorovanie a výkazníctvo. </w:t>
      </w:r>
    </w:p>
    <w:p w:rsidR="00D95ABE" w:rsidRPr="0003349E" w:rsidRDefault="00D95ABE" w:rsidP="002B0654">
      <w:pPr>
        <w:pStyle w:val="Heading1"/>
        <w:numPr>
          <w:ilvl w:val="0"/>
          <w:numId w:val="1"/>
        </w:numPr>
        <w:spacing w:before="240" w:after="240"/>
        <w:rPr>
          <w:rFonts w:ascii="Times New Roman" w:hAnsi="Times New Roman"/>
          <w:color w:val="auto"/>
          <w:sz w:val="24"/>
          <w:szCs w:val="24"/>
        </w:rPr>
      </w:pPr>
      <w:bookmarkStart w:id="19" w:name="_Toc272762882"/>
      <w:r w:rsidRPr="0003349E">
        <w:rPr>
          <w:rFonts w:ascii="Times New Roman" w:hAnsi="Times New Roman"/>
          <w:color w:val="auto"/>
          <w:sz w:val="24"/>
          <w:szCs w:val="24"/>
        </w:rPr>
        <w:t>Informovanie a publicita OP INTERACT II</w:t>
      </w:r>
      <w:bookmarkEnd w:id="19"/>
    </w:p>
    <w:p w:rsidR="00D95ABE" w:rsidRPr="0003349E" w:rsidRDefault="00D95ABE" w:rsidP="002F7F40">
      <w:pPr>
        <w:autoSpaceDE w:val="0"/>
        <w:autoSpaceDN w:val="0"/>
        <w:adjustRightInd w:val="0"/>
        <w:jc w:val="both"/>
      </w:pPr>
    </w:p>
    <w:p w:rsidR="00D95ABE" w:rsidRPr="0003349E" w:rsidRDefault="00D95ABE" w:rsidP="0003349E">
      <w:pPr>
        <w:autoSpaceDE w:val="0"/>
        <w:autoSpaceDN w:val="0"/>
        <w:adjustRightInd w:val="0"/>
        <w:jc w:val="both"/>
        <w:rPr>
          <w:u w:val="single"/>
        </w:rPr>
      </w:pPr>
      <w:r w:rsidRPr="0003349E">
        <w:t xml:space="preserve">OP INTERACT </w:t>
      </w:r>
      <w:r>
        <w:t xml:space="preserve">II </w:t>
      </w:r>
      <w:r w:rsidRPr="0003349E">
        <w:t xml:space="preserve">zverejňuje aktuality a informácie o programe na: </w:t>
      </w:r>
      <w:hyperlink r:id="rId7" w:history="1">
        <w:r w:rsidRPr="0003349E">
          <w:rPr>
            <w:rStyle w:val="Hyperlink"/>
            <w:color w:val="auto"/>
          </w:rPr>
          <w:t>http://www.interact-eu.net</w:t>
        </w:r>
      </w:hyperlink>
      <w:r w:rsidRPr="0003349E">
        <w:rPr>
          <w:u w:val="single"/>
        </w:rPr>
        <w:t>.</w:t>
      </w:r>
      <w:r w:rsidRPr="0003349E">
        <w:t xml:space="preserve"> Každoročne publikuje 3 vydania „newsletter“ a zverejňuje ho v elektronickej i tlačenej podobe. Taktiež vydáva 3 x do roka „newsflash“, ktorý je zasielaný do kontaktnej databázy (viac ako 8000 kontaktov). V roku 2010 sa pripravuje nový elektronický „newsflash“, ktorý bude informovať o najnovšom vývoji v oblasti Európskej teritoriálnej spolupráce. Program je tiež prezentovaný na sociálnych sieťach, napr. Facebooku: </w:t>
      </w:r>
      <w:hyperlink r:id="rId8" w:history="1">
        <w:r w:rsidRPr="0003349E">
          <w:rPr>
            <w:rStyle w:val="Hyperlink"/>
            <w:color w:val="auto"/>
          </w:rPr>
          <w:t>http://www.facebook.com/pages/Bratislava-Slovakia/INTERACT/40317896164?v=photos</w:t>
        </w:r>
      </w:hyperlink>
      <w:r w:rsidRPr="0003349E">
        <w:rPr>
          <w:u w:val="single"/>
        </w:rPr>
        <w:t xml:space="preserve"> </w:t>
      </w:r>
      <w:r w:rsidRPr="0003349E">
        <w:t xml:space="preserve">alebo na You-tube: </w:t>
      </w:r>
      <w:hyperlink r:id="rId9" w:anchor="p/a/u/2/Awy8dMu1oTc" w:history="1">
        <w:r w:rsidRPr="0003349E">
          <w:rPr>
            <w:rStyle w:val="Hyperlink"/>
            <w:color w:val="auto"/>
          </w:rPr>
          <w:t>http://www.youtube.com/INTERACTProgramme#p/a/u/2/Awy8dMu1oTc</w:t>
        </w:r>
      </w:hyperlink>
    </w:p>
    <w:p w:rsidR="00D95ABE" w:rsidRPr="0003349E" w:rsidRDefault="00D95ABE" w:rsidP="007E5D3C">
      <w:pPr>
        <w:autoSpaceDE w:val="0"/>
        <w:autoSpaceDN w:val="0"/>
        <w:adjustRightInd w:val="0"/>
        <w:jc w:val="both"/>
      </w:pPr>
    </w:p>
    <w:p w:rsidR="00D95ABE" w:rsidRPr="0003349E" w:rsidRDefault="00D95ABE" w:rsidP="0003349E">
      <w:pPr>
        <w:autoSpaceDE w:val="0"/>
        <w:autoSpaceDN w:val="0"/>
        <w:adjustRightInd w:val="0"/>
        <w:jc w:val="both"/>
      </w:pPr>
      <w:r w:rsidRPr="0003349E">
        <w:t xml:space="preserve">V sledovanom období boli vydané nasledovné publikácie: </w:t>
      </w:r>
    </w:p>
    <w:p w:rsidR="00D95ABE" w:rsidRPr="0003349E" w:rsidRDefault="00D95ABE" w:rsidP="00B33AE8">
      <w:pPr>
        <w:pStyle w:val="ListParagraph"/>
        <w:numPr>
          <w:ilvl w:val="0"/>
          <w:numId w:val="20"/>
        </w:numPr>
        <w:autoSpaceDE w:val="0"/>
        <w:autoSpaceDN w:val="0"/>
        <w:adjustRightInd w:val="0"/>
        <w:jc w:val="both"/>
      </w:pPr>
      <w:r w:rsidRPr="0003349E">
        <w:rPr>
          <w:bCs/>
        </w:rPr>
        <w:t xml:space="preserve">Compendium of FLC procedures in territorial cooperation </w:t>
      </w:r>
      <w:r w:rsidRPr="0003349E">
        <w:t>(online publikácia, máj 2010)</w:t>
      </w:r>
    </w:p>
    <w:p w:rsidR="00D95ABE" w:rsidRPr="0003349E" w:rsidRDefault="00D95ABE" w:rsidP="00B33AE8">
      <w:pPr>
        <w:pStyle w:val="ListParagraph"/>
        <w:numPr>
          <w:ilvl w:val="0"/>
          <w:numId w:val="20"/>
        </w:numPr>
        <w:autoSpaceDE w:val="0"/>
        <w:autoSpaceDN w:val="0"/>
        <w:adjustRightInd w:val="0"/>
        <w:jc w:val="both"/>
        <w:rPr>
          <w:bCs/>
        </w:rPr>
      </w:pPr>
      <w:r w:rsidRPr="0003349E">
        <w:rPr>
          <w:bCs/>
        </w:rPr>
        <w:t xml:space="preserve">Public procurement in IPA cross-border cooperation programmes with EU Member States in shared management </w:t>
      </w:r>
      <w:r w:rsidRPr="0003349E">
        <w:t>(online publikácia, máj 2010)</w:t>
      </w:r>
    </w:p>
    <w:p w:rsidR="00D95ABE" w:rsidRPr="0003349E" w:rsidRDefault="00D95ABE" w:rsidP="00B33AE8">
      <w:pPr>
        <w:pStyle w:val="ListParagraph"/>
        <w:numPr>
          <w:ilvl w:val="0"/>
          <w:numId w:val="20"/>
        </w:numPr>
        <w:autoSpaceDE w:val="0"/>
        <w:autoSpaceDN w:val="0"/>
        <w:adjustRightInd w:val="0"/>
        <w:jc w:val="both"/>
      </w:pPr>
      <w:r w:rsidRPr="0003349E">
        <w:rPr>
          <w:bCs/>
        </w:rPr>
        <w:t xml:space="preserve">Flyer on ETC in the Danube Region </w:t>
      </w:r>
      <w:r w:rsidRPr="0003349E">
        <w:t>(350 výtlačkov)</w:t>
      </w:r>
    </w:p>
    <w:p w:rsidR="00D95ABE" w:rsidRPr="0003349E" w:rsidRDefault="00D95ABE" w:rsidP="00B33AE8">
      <w:pPr>
        <w:pStyle w:val="ListParagraph"/>
        <w:numPr>
          <w:ilvl w:val="0"/>
          <w:numId w:val="20"/>
        </w:numPr>
        <w:autoSpaceDE w:val="0"/>
        <w:autoSpaceDN w:val="0"/>
        <w:adjustRightInd w:val="0"/>
        <w:jc w:val="both"/>
      </w:pPr>
      <w:r w:rsidRPr="0003349E">
        <w:rPr>
          <w:bCs/>
        </w:rPr>
        <w:t xml:space="preserve">ETC onboard with the EU Strategy for the Danube Region: Newsletter 1 </w:t>
      </w:r>
      <w:r w:rsidRPr="0003349E">
        <w:t>(280 výtlačkov)</w:t>
      </w:r>
    </w:p>
    <w:p w:rsidR="00D95ABE" w:rsidRPr="0003349E" w:rsidRDefault="00D95ABE" w:rsidP="00B33AE8">
      <w:pPr>
        <w:pStyle w:val="ListParagraph"/>
        <w:numPr>
          <w:ilvl w:val="0"/>
          <w:numId w:val="20"/>
        </w:numPr>
        <w:autoSpaceDE w:val="0"/>
        <w:autoSpaceDN w:val="0"/>
        <w:adjustRightInd w:val="0"/>
        <w:jc w:val="both"/>
      </w:pPr>
      <w:r w:rsidRPr="0003349E">
        <w:rPr>
          <w:bCs/>
        </w:rPr>
        <w:t xml:space="preserve">INTERACT Newsletter "Territorial Cooperation in a Global Context" </w:t>
      </w:r>
      <w:r w:rsidRPr="0003349E">
        <w:t>(apríl 2010, 500 výtlačkov)</w:t>
      </w:r>
    </w:p>
    <w:p w:rsidR="00D95ABE" w:rsidRPr="0003349E" w:rsidRDefault="00D95ABE" w:rsidP="0003349E">
      <w:pPr>
        <w:autoSpaceDE w:val="0"/>
        <w:autoSpaceDN w:val="0"/>
        <w:adjustRightInd w:val="0"/>
        <w:rPr>
          <w:bCs/>
        </w:rPr>
      </w:pPr>
      <w:r w:rsidRPr="0003349E">
        <w:rPr>
          <w:bCs/>
        </w:rPr>
        <w:t>Audiovizuálna publikácia:</w:t>
      </w:r>
    </w:p>
    <w:p w:rsidR="00D95ABE" w:rsidRPr="0003349E" w:rsidRDefault="00D95ABE" w:rsidP="007E5D3C">
      <w:pPr>
        <w:pStyle w:val="ListParagraph"/>
        <w:numPr>
          <w:ilvl w:val="0"/>
          <w:numId w:val="21"/>
        </w:numPr>
        <w:autoSpaceDE w:val="0"/>
        <w:autoSpaceDN w:val="0"/>
        <w:adjustRightInd w:val="0"/>
        <w:jc w:val="both"/>
      </w:pPr>
      <w:r w:rsidRPr="0003349E">
        <w:rPr>
          <w:bCs/>
        </w:rPr>
        <w:t>A journey through the Danube Region: Territorial Cooperation shaping our joint future</w:t>
      </w:r>
    </w:p>
    <w:p w:rsidR="00D95ABE" w:rsidRPr="0003349E" w:rsidRDefault="00D95ABE" w:rsidP="002B0654">
      <w:pPr>
        <w:pStyle w:val="Heading1"/>
        <w:numPr>
          <w:ilvl w:val="0"/>
          <w:numId w:val="1"/>
        </w:numPr>
        <w:spacing w:before="240" w:after="240"/>
        <w:rPr>
          <w:rFonts w:ascii="Times New Roman" w:hAnsi="Times New Roman"/>
          <w:color w:val="auto"/>
          <w:sz w:val="24"/>
          <w:szCs w:val="24"/>
        </w:rPr>
      </w:pPr>
      <w:bookmarkStart w:id="20" w:name="_Toc272762883"/>
      <w:r w:rsidRPr="0003349E">
        <w:rPr>
          <w:rFonts w:ascii="Times New Roman" w:hAnsi="Times New Roman"/>
          <w:color w:val="auto"/>
          <w:sz w:val="24"/>
          <w:szCs w:val="24"/>
        </w:rPr>
        <w:t>Monitorovanie a hodnoten</w:t>
      </w:r>
      <w:r>
        <w:rPr>
          <w:rFonts w:ascii="Times New Roman" w:hAnsi="Times New Roman"/>
          <w:color w:val="auto"/>
          <w:sz w:val="24"/>
          <w:szCs w:val="24"/>
        </w:rPr>
        <w:t>i</w:t>
      </w:r>
      <w:r w:rsidRPr="0003349E">
        <w:rPr>
          <w:rFonts w:ascii="Times New Roman" w:hAnsi="Times New Roman"/>
          <w:color w:val="auto"/>
          <w:sz w:val="24"/>
          <w:szCs w:val="24"/>
        </w:rPr>
        <w:t>e OP INTERACT II</w:t>
      </w:r>
      <w:bookmarkEnd w:id="20"/>
      <w:r w:rsidRPr="0003349E">
        <w:rPr>
          <w:rFonts w:ascii="Times New Roman" w:hAnsi="Times New Roman"/>
          <w:color w:val="auto"/>
          <w:sz w:val="24"/>
          <w:szCs w:val="24"/>
        </w:rPr>
        <w:t xml:space="preserve"> </w:t>
      </w:r>
    </w:p>
    <w:p w:rsidR="00D95ABE" w:rsidRPr="0003349E" w:rsidRDefault="00D95ABE" w:rsidP="0003349E">
      <w:pPr>
        <w:autoSpaceDE w:val="0"/>
        <w:autoSpaceDN w:val="0"/>
        <w:adjustRightInd w:val="0"/>
        <w:spacing w:after="120"/>
        <w:jc w:val="both"/>
      </w:pPr>
      <w:r w:rsidRPr="0003349E">
        <w:t>Monitorovanie operačného programu sa uskutočňuje prostredníctvom INTERACT Management System (IMS), tak ako bol využívaný počas OP INTERACT I. IMS obsahoval hlavne funkcie, ktoré boli úzko späté s úlohami monitorovania a vykazovania. Tieto údaje boli postačujúce počas programového obdobia 2000 – 2006, niekoľko ďalších aktualizovaných funkcií sa stalo nevyhnutnými aj pre súčasné programové obdobie 2007 – 2013 vďaka zvýšeným požiadavkám stanoveným v nariadení ES (napr. prístup všetkých orgánov do systému riadenia).</w:t>
      </w:r>
    </w:p>
    <w:p w:rsidR="00D95ABE" w:rsidRPr="0003349E" w:rsidRDefault="00D95ABE" w:rsidP="0003349E">
      <w:pPr>
        <w:autoSpaceDE w:val="0"/>
        <w:autoSpaceDN w:val="0"/>
        <w:adjustRightInd w:val="0"/>
        <w:spacing w:after="120"/>
        <w:jc w:val="both"/>
      </w:pPr>
      <w:r w:rsidRPr="0003349E">
        <w:t>V súčasnosti prebieha príprava rozšírenia základných funkcií tak, aby bol čo najskôr plne funkčný.</w:t>
      </w:r>
    </w:p>
    <w:p w:rsidR="00D95ABE" w:rsidRPr="0003349E" w:rsidRDefault="00D95ABE" w:rsidP="0003349E">
      <w:pPr>
        <w:autoSpaceDE w:val="0"/>
        <w:autoSpaceDN w:val="0"/>
        <w:adjustRightInd w:val="0"/>
        <w:spacing w:after="120"/>
        <w:jc w:val="both"/>
      </w:pPr>
      <w:r w:rsidRPr="0003349E">
        <w:t>Možno konštatovať, že IMS sa stal hodnotným pracovným nástrojom, podobne ako u ostatných programoch ETS, a bude ďalej vyvíjaný v roku 2010 v súlade s programovým cyklom.</w:t>
      </w:r>
    </w:p>
    <w:p w:rsidR="00D95ABE" w:rsidRPr="0003349E" w:rsidRDefault="00D95ABE" w:rsidP="0003349E">
      <w:pPr>
        <w:autoSpaceDE w:val="0"/>
        <w:autoSpaceDN w:val="0"/>
        <w:adjustRightInd w:val="0"/>
        <w:spacing w:after="120"/>
        <w:jc w:val="both"/>
      </w:pPr>
      <w:r w:rsidRPr="0003349E">
        <w:t xml:space="preserve">V sledovanom období nariadil riadiaci orgán a na základe rozhodnutia monitorovacieho výboru priebežné a usmerňujúce hodnotenie.  Dňa </w:t>
      </w:r>
      <w:r>
        <w:t>0</w:t>
      </w:r>
      <w:r w:rsidRPr="0003349E">
        <w:t>5.</w:t>
      </w:r>
      <w:r>
        <w:t>05.</w:t>
      </w:r>
      <w:r w:rsidRPr="0003349E">
        <w:t xml:space="preserve">2010 vyhlásil riadiaci orgán výzvu na predkladanie ponúk na  predmet zákazky  „Strednodobé hodnotenie OP </w:t>
      </w:r>
      <w:r>
        <w:t>INTERACT</w:t>
      </w:r>
      <w:r w:rsidRPr="0003349E">
        <w:t xml:space="preserve"> II 2007 – 2013“. K účasti na výbere ponúk boli v zmysle rozhodnutia Monitorovacieho výboru prizvaní aj zástupcovia „Skupiny pre hodnotenie“ pôsobiacej v rámci OP </w:t>
      </w:r>
      <w:r>
        <w:t>INTERACT</w:t>
      </w:r>
      <w:r w:rsidRPr="0003349E">
        <w:t xml:space="preserve"> II. Z trojčlennej skupiny prijala pozvanie zástupkyňa ČR. Výberové konanie má byť ukončené v júli 2010.    </w:t>
      </w: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Default="00D95ABE" w:rsidP="002F7F40">
      <w:pPr>
        <w:autoSpaceDE w:val="0"/>
        <w:autoSpaceDN w:val="0"/>
        <w:adjustRightInd w:val="0"/>
        <w:jc w:val="both"/>
        <w:rPr>
          <w:rFonts w:ascii="Trebuchet MS" w:hAnsi="Trebuchet MS" w:cs="Tms Rmn"/>
        </w:rPr>
      </w:pPr>
    </w:p>
    <w:p w:rsidR="00D95ABE" w:rsidRPr="0003349E" w:rsidRDefault="00D95ABE" w:rsidP="002F7F40">
      <w:pPr>
        <w:autoSpaceDE w:val="0"/>
        <w:autoSpaceDN w:val="0"/>
        <w:adjustRightInd w:val="0"/>
        <w:jc w:val="both"/>
        <w:rPr>
          <w:rFonts w:ascii="Trebuchet MS" w:hAnsi="Trebuchet MS" w:cs="Tms Rmn"/>
        </w:rPr>
      </w:pPr>
    </w:p>
    <w:p w:rsidR="00D95ABE" w:rsidRPr="0003349E" w:rsidRDefault="00D95ABE" w:rsidP="002B0654">
      <w:pPr>
        <w:pStyle w:val="Heading1"/>
        <w:numPr>
          <w:ilvl w:val="0"/>
          <w:numId w:val="0"/>
        </w:numPr>
        <w:spacing w:before="240" w:after="240"/>
        <w:ind w:left="432" w:hanging="432"/>
        <w:rPr>
          <w:rFonts w:ascii="Times New Roman" w:hAnsi="Times New Roman"/>
          <w:color w:val="auto"/>
          <w:sz w:val="24"/>
          <w:szCs w:val="24"/>
        </w:rPr>
      </w:pPr>
      <w:bookmarkStart w:id="21" w:name="_Toc272762884"/>
      <w:r w:rsidRPr="0003349E">
        <w:rPr>
          <w:rFonts w:ascii="Times New Roman" w:hAnsi="Times New Roman"/>
          <w:color w:val="auto"/>
          <w:sz w:val="24"/>
          <w:szCs w:val="24"/>
        </w:rPr>
        <w:t>Zoznam skratiek</w:t>
      </w:r>
      <w:bookmarkEnd w:id="21"/>
    </w:p>
    <w:p w:rsidR="00D95ABE" w:rsidRPr="0003349E" w:rsidRDefault="00D95ABE" w:rsidP="00784F7B">
      <w:pPr>
        <w:rPr>
          <w:bCs/>
        </w:rPr>
      </w:pPr>
      <w:r w:rsidRPr="0003349E">
        <w:rPr>
          <w:bCs/>
        </w:rPr>
        <w:t>BSK</w:t>
      </w:r>
      <w:r w:rsidRPr="0003349E">
        <w:rPr>
          <w:bCs/>
        </w:rPr>
        <w:tab/>
      </w:r>
      <w:r w:rsidRPr="0003349E">
        <w:rPr>
          <w:bCs/>
        </w:rPr>
        <w:tab/>
      </w:r>
      <w:r w:rsidRPr="0003349E">
        <w:rPr>
          <w:bCs/>
        </w:rPr>
        <w:tab/>
        <w:t>Bratislavský samosprávny kraj</w:t>
      </w:r>
    </w:p>
    <w:p w:rsidR="00D95ABE" w:rsidRPr="0003349E" w:rsidRDefault="00D95ABE" w:rsidP="00784F7B">
      <w:pPr>
        <w:pStyle w:val="Default"/>
        <w:autoSpaceDE/>
        <w:autoSpaceDN/>
        <w:adjustRightInd/>
        <w:rPr>
          <w:rFonts w:ascii="Times New Roman" w:hAnsi="Times New Roman"/>
          <w:bCs/>
          <w:color w:val="auto"/>
        </w:rPr>
      </w:pPr>
      <w:r w:rsidRPr="0003349E">
        <w:rPr>
          <w:rFonts w:ascii="Times New Roman" w:hAnsi="Times New Roman"/>
          <w:bCs/>
          <w:color w:val="auto"/>
        </w:rPr>
        <w:t>CBC</w:t>
      </w:r>
      <w:r w:rsidRPr="0003349E">
        <w:rPr>
          <w:rFonts w:ascii="Times New Roman" w:hAnsi="Times New Roman"/>
          <w:bCs/>
          <w:color w:val="auto"/>
        </w:rPr>
        <w:tab/>
      </w:r>
      <w:r w:rsidRPr="0003349E">
        <w:rPr>
          <w:rFonts w:ascii="Times New Roman" w:hAnsi="Times New Roman"/>
          <w:bCs/>
          <w:color w:val="auto"/>
        </w:rPr>
        <w:tab/>
      </w:r>
      <w:r w:rsidRPr="0003349E">
        <w:rPr>
          <w:rFonts w:ascii="Times New Roman" w:hAnsi="Times New Roman"/>
          <w:bCs/>
          <w:color w:val="auto"/>
        </w:rPr>
        <w:tab/>
        <w:t>Cezhraničná spolupráca</w:t>
      </w:r>
      <w:r w:rsidRPr="0003349E">
        <w:rPr>
          <w:rFonts w:ascii="Times New Roman" w:hAnsi="Times New Roman"/>
          <w:bCs/>
          <w:color w:val="auto"/>
        </w:rPr>
        <w:tab/>
      </w:r>
    </w:p>
    <w:p w:rsidR="00D95ABE" w:rsidRPr="0003349E" w:rsidRDefault="00D95ABE" w:rsidP="00784F7B">
      <w:pPr>
        <w:rPr>
          <w:bCs/>
        </w:rPr>
      </w:pPr>
      <w:r w:rsidRPr="0003349E">
        <w:rPr>
          <w:bCs/>
        </w:rPr>
        <w:t>CO</w:t>
      </w:r>
      <w:r w:rsidRPr="0003349E">
        <w:rPr>
          <w:bCs/>
        </w:rPr>
        <w:tab/>
      </w:r>
      <w:r w:rsidRPr="0003349E">
        <w:rPr>
          <w:bCs/>
        </w:rPr>
        <w:tab/>
      </w:r>
      <w:r w:rsidRPr="0003349E">
        <w:rPr>
          <w:bCs/>
        </w:rPr>
        <w:tab/>
        <w:t>Certifikačný orgán</w:t>
      </w:r>
    </w:p>
    <w:p w:rsidR="00D95ABE" w:rsidRPr="0003349E" w:rsidRDefault="00D95ABE" w:rsidP="00784F7B">
      <w:r w:rsidRPr="0003349E">
        <w:t xml:space="preserve">COMG </w:t>
      </w:r>
      <w:r w:rsidRPr="0003349E">
        <w:tab/>
      </w:r>
      <w:r w:rsidRPr="0003349E">
        <w:tab/>
        <w:t>Komunikačná skupina</w:t>
      </w:r>
    </w:p>
    <w:p w:rsidR="00D95ABE" w:rsidRPr="0003349E" w:rsidRDefault="00D95ABE" w:rsidP="00784F7B">
      <w:r w:rsidRPr="0003349E">
        <w:t xml:space="preserve">COOG </w:t>
      </w:r>
      <w:r w:rsidRPr="0003349E">
        <w:tab/>
      </w:r>
      <w:r w:rsidRPr="0003349E">
        <w:tab/>
        <w:t>Koordinačná skupina</w:t>
      </w:r>
    </w:p>
    <w:p w:rsidR="00D95ABE" w:rsidRPr="0003349E" w:rsidRDefault="00D95ABE" w:rsidP="00784F7B">
      <w:pPr>
        <w:rPr>
          <w:bCs/>
        </w:rPr>
      </w:pPr>
      <w:r w:rsidRPr="0003349E">
        <w:rPr>
          <w:bCs/>
        </w:rPr>
        <w:t>EK</w:t>
      </w:r>
      <w:r w:rsidRPr="0003349E">
        <w:rPr>
          <w:bCs/>
        </w:rPr>
        <w:tab/>
      </w:r>
      <w:r w:rsidRPr="0003349E">
        <w:rPr>
          <w:bCs/>
        </w:rPr>
        <w:tab/>
      </w:r>
      <w:r w:rsidRPr="0003349E">
        <w:rPr>
          <w:bCs/>
        </w:rPr>
        <w:tab/>
        <w:t>Európska komisia</w:t>
      </w:r>
    </w:p>
    <w:p w:rsidR="00D95ABE" w:rsidRPr="0003349E" w:rsidRDefault="00D95ABE" w:rsidP="00784F7B">
      <w:pPr>
        <w:rPr>
          <w:bCs/>
        </w:rPr>
      </w:pPr>
      <w:r w:rsidRPr="0003349E">
        <w:rPr>
          <w:bCs/>
        </w:rPr>
        <w:t>ENPI</w:t>
      </w:r>
      <w:r w:rsidRPr="0003349E">
        <w:rPr>
          <w:bCs/>
        </w:rPr>
        <w:tab/>
      </w:r>
      <w:r w:rsidRPr="0003349E">
        <w:rPr>
          <w:bCs/>
        </w:rPr>
        <w:tab/>
      </w:r>
      <w:r w:rsidRPr="0003349E">
        <w:rPr>
          <w:bCs/>
        </w:rPr>
        <w:tab/>
        <w:t>Európsky nástroj pre susedstvo a partnerstvo</w:t>
      </w:r>
    </w:p>
    <w:p w:rsidR="00D95ABE" w:rsidRPr="0003349E" w:rsidRDefault="00D95ABE" w:rsidP="00784F7B">
      <w:pPr>
        <w:rPr>
          <w:bCs/>
        </w:rPr>
      </w:pPr>
      <w:r w:rsidRPr="0003349E">
        <w:rPr>
          <w:bCs/>
        </w:rPr>
        <w:t>ERDF</w:t>
      </w:r>
      <w:r w:rsidRPr="0003349E">
        <w:rPr>
          <w:bCs/>
        </w:rPr>
        <w:tab/>
      </w:r>
      <w:r w:rsidRPr="0003349E">
        <w:rPr>
          <w:bCs/>
        </w:rPr>
        <w:tab/>
      </w:r>
      <w:r w:rsidRPr="0003349E">
        <w:rPr>
          <w:bCs/>
        </w:rPr>
        <w:tab/>
        <w:t>Európsky fond regionálneho rozvoja</w:t>
      </w:r>
    </w:p>
    <w:p w:rsidR="00D95ABE" w:rsidRPr="0003349E" w:rsidRDefault="00D95ABE" w:rsidP="00784F7B">
      <w:pPr>
        <w:rPr>
          <w:bCs/>
        </w:rPr>
      </w:pPr>
      <w:r w:rsidRPr="0003349E">
        <w:rPr>
          <w:bCs/>
        </w:rPr>
        <w:t>ES</w:t>
      </w:r>
      <w:r w:rsidRPr="0003349E">
        <w:rPr>
          <w:bCs/>
        </w:rPr>
        <w:tab/>
      </w:r>
      <w:r w:rsidRPr="0003349E">
        <w:rPr>
          <w:bCs/>
        </w:rPr>
        <w:tab/>
      </w:r>
      <w:r w:rsidRPr="0003349E">
        <w:rPr>
          <w:bCs/>
        </w:rPr>
        <w:tab/>
        <w:t>Európske spoločenstvo</w:t>
      </w:r>
    </w:p>
    <w:p w:rsidR="00D95ABE" w:rsidRPr="0003349E" w:rsidRDefault="00D95ABE" w:rsidP="00784F7B">
      <w:pPr>
        <w:rPr>
          <w:bCs/>
        </w:rPr>
      </w:pPr>
      <w:r w:rsidRPr="0003349E">
        <w:rPr>
          <w:bCs/>
        </w:rPr>
        <w:t>ETS</w:t>
      </w:r>
      <w:r w:rsidRPr="0003349E">
        <w:rPr>
          <w:bCs/>
        </w:rPr>
        <w:tab/>
      </w:r>
      <w:r w:rsidRPr="0003349E">
        <w:rPr>
          <w:bCs/>
        </w:rPr>
        <w:tab/>
      </w:r>
      <w:r w:rsidRPr="0003349E">
        <w:rPr>
          <w:bCs/>
        </w:rPr>
        <w:tab/>
        <w:t>Európska teritoriálna spolupráca</w:t>
      </w:r>
    </w:p>
    <w:p w:rsidR="00D95ABE" w:rsidRPr="0003349E" w:rsidRDefault="00D95ABE" w:rsidP="00784F7B">
      <w:r w:rsidRPr="0003349E">
        <w:t>EÚ</w:t>
      </w:r>
      <w:r w:rsidRPr="0003349E">
        <w:tab/>
      </w:r>
      <w:r w:rsidRPr="0003349E">
        <w:tab/>
      </w:r>
      <w:r w:rsidRPr="0003349E">
        <w:tab/>
        <w:t>Európska únia</w:t>
      </w:r>
    </w:p>
    <w:p w:rsidR="00D95ABE" w:rsidRPr="0003349E" w:rsidRDefault="00D95ABE" w:rsidP="00784F7B">
      <w:pPr>
        <w:ind w:left="2124" w:hanging="2124"/>
        <w:rPr>
          <w:bCs/>
        </w:rPr>
      </w:pPr>
      <w:r w:rsidRPr="0003349E">
        <w:t>HI</w:t>
      </w:r>
      <w:r w:rsidRPr="0003349E">
        <w:tab/>
        <w:t xml:space="preserve">Hosting Institution (inštitúcie v rámci ktorých pôsobia INTERACT </w:t>
      </w:r>
      <w:r w:rsidRPr="0003349E">
        <w:rPr>
          <w:bCs/>
        </w:rPr>
        <w:t>kontaktné body)</w:t>
      </w:r>
    </w:p>
    <w:p w:rsidR="00D95ABE" w:rsidRPr="0003349E" w:rsidRDefault="00D95ABE" w:rsidP="00784F7B">
      <w:pPr>
        <w:rPr>
          <w:bCs/>
        </w:rPr>
      </w:pPr>
      <w:r w:rsidRPr="0003349E">
        <w:rPr>
          <w:bCs/>
        </w:rPr>
        <w:t>IMS</w:t>
      </w:r>
      <w:r w:rsidRPr="0003349E">
        <w:rPr>
          <w:bCs/>
        </w:rPr>
        <w:tab/>
      </w:r>
      <w:r w:rsidRPr="0003349E">
        <w:rPr>
          <w:bCs/>
        </w:rPr>
        <w:tab/>
      </w:r>
      <w:r w:rsidRPr="0003349E">
        <w:rPr>
          <w:bCs/>
        </w:rPr>
        <w:tab/>
        <w:t xml:space="preserve">INTERACT </w:t>
      </w:r>
      <w:r>
        <w:rPr>
          <w:bCs/>
        </w:rPr>
        <w:t>manažment</w:t>
      </w:r>
      <w:r w:rsidRPr="0003349E">
        <w:rPr>
          <w:bCs/>
        </w:rPr>
        <w:t xml:space="preserve"> systém</w:t>
      </w:r>
    </w:p>
    <w:p w:rsidR="00D95ABE" w:rsidRPr="0003349E" w:rsidRDefault="00D95ABE" w:rsidP="00784F7B">
      <w:pPr>
        <w:rPr>
          <w:bCs/>
        </w:rPr>
      </w:pPr>
      <w:r w:rsidRPr="0003349E">
        <w:rPr>
          <w:bCs/>
        </w:rPr>
        <w:t>IP</w:t>
      </w:r>
      <w:r w:rsidRPr="0003349E">
        <w:rPr>
          <w:bCs/>
        </w:rPr>
        <w:tab/>
      </w:r>
      <w:r w:rsidRPr="0003349E">
        <w:rPr>
          <w:bCs/>
        </w:rPr>
        <w:tab/>
      </w:r>
      <w:r w:rsidRPr="0003349E">
        <w:rPr>
          <w:bCs/>
        </w:rPr>
        <w:tab/>
        <w:t>INTERACT kontaktný bod</w:t>
      </w:r>
    </w:p>
    <w:p w:rsidR="00D95ABE" w:rsidRPr="0003349E" w:rsidRDefault="00D95ABE" w:rsidP="00784F7B">
      <w:pPr>
        <w:rPr>
          <w:bCs/>
        </w:rPr>
      </w:pPr>
      <w:r w:rsidRPr="0003349E">
        <w:rPr>
          <w:bCs/>
        </w:rPr>
        <w:t>IS</w:t>
      </w:r>
      <w:r w:rsidRPr="0003349E">
        <w:rPr>
          <w:bCs/>
        </w:rPr>
        <w:tab/>
      </w:r>
      <w:r w:rsidRPr="0003349E">
        <w:rPr>
          <w:bCs/>
        </w:rPr>
        <w:tab/>
      </w:r>
      <w:r w:rsidRPr="0003349E">
        <w:rPr>
          <w:bCs/>
        </w:rPr>
        <w:tab/>
        <w:t xml:space="preserve">INTERACT </w:t>
      </w:r>
      <w:r>
        <w:rPr>
          <w:bCs/>
        </w:rPr>
        <w:t>sekretariát</w:t>
      </w:r>
    </w:p>
    <w:p w:rsidR="00D95ABE" w:rsidRPr="0003349E" w:rsidRDefault="00D95ABE" w:rsidP="00784F7B">
      <w:pPr>
        <w:rPr>
          <w:bCs/>
        </w:rPr>
      </w:pPr>
      <w:r w:rsidRPr="0003349E">
        <w:rPr>
          <w:bCs/>
        </w:rPr>
        <w:t>ISUF</w:t>
      </w:r>
      <w:r w:rsidRPr="0003349E">
        <w:rPr>
          <w:bCs/>
        </w:rPr>
        <w:tab/>
      </w:r>
      <w:r w:rsidRPr="0003349E">
        <w:rPr>
          <w:bCs/>
        </w:rPr>
        <w:tab/>
      </w:r>
      <w:r w:rsidRPr="0003349E">
        <w:rPr>
          <w:bCs/>
        </w:rPr>
        <w:tab/>
        <w:t>Informačný systém účtovníctva fondov</w:t>
      </w:r>
    </w:p>
    <w:p w:rsidR="00D95ABE" w:rsidRPr="0003349E" w:rsidRDefault="00D95ABE" w:rsidP="003C3A58">
      <w:pPr>
        <w:ind w:left="2124" w:hanging="2124"/>
        <w:rPr>
          <w:bCs/>
        </w:rPr>
      </w:pPr>
      <w:r w:rsidRPr="0003349E">
        <w:rPr>
          <w:bCs/>
        </w:rPr>
        <w:t>KEEP</w:t>
      </w:r>
      <w:r w:rsidRPr="0003349E">
        <w:rPr>
          <w:bCs/>
        </w:rPr>
        <w:tab/>
        <w:t>Knowledge and Expertise in European Programmes ( internetový vyhľadávač programov európskej teritoriálnej spolupráce)</w:t>
      </w:r>
    </w:p>
    <w:p w:rsidR="00D95ABE" w:rsidRPr="0003349E" w:rsidRDefault="00D95ABE" w:rsidP="00784F7B">
      <w:pPr>
        <w:rPr>
          <w:bCs/>
        </w:rPr>
      </w:pPr>
      <w:r w:rsidRPr="0003349E">
        <w:rPr>
          <w:bCs/>
        </w:rPr>
        <w:t>MF SR</w:t>
      </w:r>
      <w:r w:rsidRPr="0003349E">
        <w:rPr>
          <w:bCs/>
        </w:rPr>
        <w:tab/>
      </w:r>
      <w:r w:rsidRPr="0003349E">
        <w:rPr>
          <w:bCs/>
        </w:rPr>
        <w:tab/>
      </w:r>
      <w:r w:rsidRPr="0003349E">
        <w:rPr>
          <w:bCs/>
        </w:rPr>
        <w:tab/>
        <w:t>Ministerstvo financií SR</w:t>
      </w:r>
    </w:p>
    <w:p w:rsidR="00D95ABE" w:rsidRPr="0003349E" w:rsidRDefault="00D95ABE" w:rsidP="00784F7B">
      <w:r w:rsidRPr="0003349E">
        <w:t>MV</w:t>
      </w:r>
      <w:r w:rsidRPr="0003349E">
        <w:tab/>
      </w:r>
      <w:r w:rsidRPr="0003349E">
        <w:tab/>
      </w:r>
      <w:r w:rsidRPr="0003349E">
        <w:tab/>
        <w:t>Monitorovací výbor OP INTERACT II</w:t>
      </w:r>
    </w:p>
    <w:p w:rsidR="00D95ABE" w:rsidRPr="0003349E" w:rsidRDefault="00D95ABE" w:rsidP="00784F7B">
      <w:pPr>
        <w:rPr>
          <w:bCs/>
        </w:rPr>
      </w:pPr>
      <w:r w:rsidRPr="0003349E">
        <w:rPr>
          <w:bCs/>
        </w:rPr>
        <w:t>OA</w:t>
      </w:r>
      <w:r w:rsidRPr="0003349E">
        <w:rPr>
          <w:bCs/>
        </w:rPr>
        <w:tab/>
      </w:r>
      <w:r w:rsidRPr="0003349E">
        <w:rPr>
          <w:bCs/>
        </w:rPr>
        <w:tab/>
      </w:r>
      <w:r w:rsidRPr="0003349E">
        <w:rPr>
          <w:bCs/>
        </w:rPr>
        <w:tab/>
        <w:t>Orgán auditu</w:t>
      </w:r>
    </w:p>
    <w:p w:rsidR="00D95ABE" w:rsidRPr="0003349E" w:rsidRDefault="00D95ABE" w:rsidP="00784F7B">
      <w:pPr>
        <w:rPr>
          <w:bCs/>
        </w:rPr>
      </w:pPr>
      <w:r w:rsidRPr="0003349E">
        <w:rPr>
          <w:bCs/>
        </w:rPr>
        <w:t>OP</w:t>
      </w:r>
      <w:r w:rsidRPr="0003349E">
        <w:rPr>
          <w:bCs/>
        </w:rPr>
        <w:tab/>
      </w:r>
      <w:r w:rsidRPr="0003349E">
        <w:rPr>
          <w:bCs/>
        </w:rPr>
        <w:tab/>
      </w:r>
      <w:r w:rsidRPr="0003349E">
        <w:rPr>
          <w:bCs/>
        </w:rPr>
        <w:tab/>
        <w:t>Operačný program</w:t>
      </w:r>
    </w:p>
    <w:p w:rsidR="00D95ABE" w:rsidRPr="0003349E" w:rsidRDefault="00D95ABE" w:rsidP="00784F7B">
      <w:pPr>
        <w:rPr>
          <w:bCs/>
        </w:rPr>
      </w:pPr>
      <w:r w:rsidRPr="0003349E">
        <w:rPr>
          <w:bCs/>
        </w:rPr>
        <w:t>RKS</w:t>
      </w:r>
      <w:r w:rsidRPr="0003349E">
        <w:rPr>
          <w:bCs/>
        </w:rPr>
        <w:tab/>
      </w:r>
      <w:r w:rsidRPr="0003349E">
        <w:rPr>
          <w:bCs/>
        </w:rPr>
        <w:tab/>
      </w:r>
      <w:r w:rsidRPr="0003349E">
        <w:rPr>
          <w:bCs/>
        </w:rPr>
        <w:tab/>
        <w:t>Riadiace a kontrolné systémy</w:t>
      </w:r>
    </w:p>
    <w:p w:rsidR="00D95ABE" w:rsidRPr="0003349E" w:rsidRDefault="00D95ABE" w:rsidP="00784F7B">
      <w:pPr>
        <w:rPr>
          <w:bCs/>
        </w:rPr>
      </w:pPr>
      <w:r w:rsidRPr="0003349E">
        <w:rPr>
          <w:bCs/>
        </w:rPr>
        <w:t xml:space="preserve">RO </w:t>
      </w:r>
      <w:r w:rsidRPr="0003349E">
        <w:rPr>
          <w:bCs/>
        </w:rPr>
        <w:tab/>
      </w:r>
      <w:r w:rsidRPr="0003349E">
        <w:rPr>
          <w:bCs/>
        </w:rPr>
        <w:tab/>
      </w:r>
      <w:r w:rsidRPr="0003349E">
        <w:rPr>
          <w:bCs/>
        </w:rPr>
        <w:tab/>
        <w:t xml:space="preserve">Riadiaci orgán </w:t>
      </w:r>
    </w:p>
    <w:p w:rsidR="00D95ABE" w:rsidRPr="0003349E" w:rsidRDefault="00D95ABE" w:rsidP="00784F7B">
      <w:pPr>
        <w:rPr>
          <w:bCs/>
        </w:rPr>
      </w:pPr>
      <w:r w:rsidRPr="0003349E">
        <w:rPr>
          <w:bCs/>
        </w:rPr>
        <w:t>SR</w:t>
      </w:r>
      <w:r w:rsidRPr="0003349E">
        <w:rPr>
          <w:bCs/>
        </w:rPr>
        <w:tab/>
      </w:r>
      <w:r w:rsidRPr="0003349E">
        <w:rPr>
          <w:bCs/>
        </w:rPr>
        <w:tab/>
      </w:r>
      <w:r w:rsidRPr="0003349E">
        <w:rPr>
          <w:bCs/>
        </w:rPr>
        <w:tab/>
        <w:t>Slovenská republika</w:t>
      </w:r>
    </w:p>
    <w:p w:rsidR="00D95ABE" w:rsidRDefault="00D95ABE" w:rsidP="00784F7B">
      <w:pPr>
        <w:rPr>
          <w:bCs/>
        </w:rPr>
      </w:pPr>
      <w:r w:rsidRPr="0003349E">
        <w:rPr>
          <w:bCs/>
        </w:rPr>
        <w:t>ÚV SR</w:t>
      </w:r>
      <w:r w:rsidRPr="0003349E">
        <w:rPr>
          <w:bCs/>
        </w:rPr>
        <w:tab/>
      </w:r>
      <w:r w:rsidRPr="0003349E">
        <w:rPr>
          <w:bCs/>
        </w:rPr>
        <w:tab/>
      </w:r>
      <w:r w:rsidRPr="0003349E">
        <w:rPr>
          <w:bCs/>
        </w:rPr>
        <w:tab/>
        <w:t>Úrad vlády SR</w:t>
      </w:r>
    </w:p>
    <w:p w:rsidR="00D95ABE" w:rsidRPr="0003349E" w:rsidRDefault="00D95ABE" w:rsidP="00784F7B">
      <w:pPr>
        <w:rPr>
          <w:bCs/>
        </w:rPr>
      </w:pPr>
      <w:r>
        <w:rPr>
          <w:bCs/>
        </w:rPr>
        <w:t>ŽoP</w:t>
      </w:r>
      <w:r>
        <w:rPr>
          <w:bCs/>
        </w:rPr>
        <w:tab/>
      </w:r>
      <w:r>
        <w:rPr>
          <w:bCs/>
        </w:rPr>
        <w:tab/>
      </w:r>
      <w:r>
        <w:rPr>
          <w:bCs/>
        </w:rPr>
        <w:tab/>
        <w:t>Žiadosť o platbu</w:t>
      </w:r>
    </w:p>
    <w:p w:rsidR="00D95ABE" w:rsidRPr="0003349E" w:rsidRDefault="00D95ABE" w:rsidP="002B0654">
      <w:pPr>
        <w:pStyle w:val="Heading1"/>
        <w:numPr>
          <w:ilvl w:val="0"/>
          <w:numId w:val="0"/>
        </w:numPr>
        <w:spacing w:before="240" w:after="240"/>
        <w:ind w:left="432" w:hanging="432"/>
        <w:rPr>
          <w:rFonts w:ascii="Times New Roman" w:hAnsi="Times New Roman"/>
          <w:color w:val="auto"/>
          <w:sz w:val="24"/>
          <w:szCs w:val="24"/>
        </w:rPr>
      </w:pPr>
      <w:bookmarkStart w:id="22" w:name="_Toc272762885"/>
      <w:r w:rsidRPr="00D72CEB">
        <w:rPr>
          <w:rFonts w:ascii="Times New Roman" w:hAnsi="Times New Roman"/>
          <w:color w:val="auto"/>
          <w:sz w:val="24"/>
          <w:szCs w:val="24"/>
        </w:rPr>
        <w:t>Zoznam príloh</w:t>
      </w:r>
      <w:bookmarkEnd w:id="22"/>
    </w:p>
    <w:p w:rsidR="00D95ABE" w:rsidRPr="00D72CEB" w:rsidRDefault="00D95ABE" w:rsidP="002B0654">
      <w:r>
        <w:t xml:space="preserve">Príloha č. 1 </w:t>
      </w:r>
      <w:r w:rsidRPr="00D72CEB">
        <w:t>Národné príspevky členských štátov pre programové obdobie 2007-2013 v EUR</w:t>
      </w:r>
    </w:p>
    <w:p w:rsidR="00D95ABE" w:rsidRDefault="00D95ABE" w:rsidP="002B0654">
      <w:r>
        <w:t xml:space="preserve">Príloha č. 2 </w:t>
      </w:r>
      <w:r w:rsidRPr="00D72CEB">
        <w:t>Zálohové platby v EUR vyplatené CO k 30.06.2010</w:t>
      </w:r>
    </w:p>
    <w:p w:rsidR="00D95ABE" w:rsidRDefault="00D95ABE" w:rsidP="002B0654">
      <w:r>
        <w:t xml:space="preserve">Príloha č. 3 </w:t>
      </w:r>
      <w:r w:rsidRPr="00D72CEB">
        <w:t>Priebežné ŽoP v EUR k 30.06.2010</w:t>
      </w:r>
    </w:p>
    <w:p w:rsidR="00D95ABE" w:rsidRPr="00D72CEB" w:rsidRDefault="00D95ABE" w:rsidP="002B0654">
      <w:r>
        <w:t xml:space="preserve">Príloha č. 4 </w:t>
      </w:r>
      <w:r w:rsidRPr="00D72CEB">
        <w:t>Čerpanie OP INTERACT II k 30.06.2010 v EUR</w:t>
      </w:r>
    </w:p>
    <w:sectPr w:rsidR="00D95ABE" w:rsidRPr="00D72CEB" w:rsidSect="00B970D5">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ABE" w:rsidRDefault="00D95ABE" w:rsidP="005A65B5">
      <w:r>
        <w:separator/>
      </w:r>
    </w:p>
  </w:endnote>
  <w:endnote w:type="continuationSeparator" w:id="1">
    <w:p w:rsidR="00D95ABE" w:rsidRDefault="00D95ABE" w:rsidP="005A65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altName w:val="Century Gothic"/>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Helvetica">
    <w:panose1 w:val="020B0604020202020204"/>
    <w:charset w:val="EE"/>
    <w:family w:val="swiss"/>
    <w:pitch w:val="variable"/>
    <w:sig w:usb0="20002A87" w:usb1="80000000" w:usb2="00000008" w:usb3="00000000" w:csb0="000001FF" w:csb1="00000000"/>
  </w:font>
  <w:font w:name="Trebuchet MS">
    <w:panose1 w:val="020B0603020202020204"/>
    <w:charset w:val="EE"/>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ABE" w:rsidRPr="005A65B5" w:rsidRDefault="00D95ABE">
    <w:pPr>
      <w:pStyle w:val="Footer"/>
      <w:jc w:val="center"/>
      <w:rPr>
        <w:rFonts w:ascii="Arial Narrow" w:hAnsi="Arial Narrow"/>
        <w:sz w:val="20"/>
        <w:szCs w:val="20"/>
      </w:rPr>
    </w:pPr>
    <w:r w:rsidRPr="005A65B5">
      <w:rPr>
        <w:rFonts w:ascii="Arial Narrow" w:hAnsi="Arial Narrow"/>
        <w:sz w:val="20"/>
        <w:szCs w:val="20"/>
      </w:rPr>
      <w:t xml:space="preserve">Strana </w:t>
    </w:r>
    <w:r w:rsidRPr="005A65B5">
      <w:rPr>
        <w:rFonts w:ascii="Arial Narrow" w:hAnsi="Arial Narrow"/>
        <w:sz w:val="20"/>
        <w:szCs w:val="20"/>
      </w:rPr>
      <w:fldChar w:fldCharType="begin"/>
    </w:r>
    <w:r w:rsidRPr="005A65B5">
      <w:rPr>
        <w:rFonts w:ascii="Arial Narrow" w:hAnsi="Arial Narrow"/>
        <w:sz w:val="20"/>
        <w:szCs w:val="20"/>
      </w:rPr>
      <w:instrText>PAGE</w:instrText>
    </w:r>
    <w:r w:rsidRPr="005A65B5">
      <w:rPr>
        <w:rFonts w:ascii="Arial Narrow" w:hAnsi="Arial Narrow"/>
        <w:sz w:val="20"/>
        <w:szCs w:val="20"/>
      </w:rPr>
      <w:fldChar w:fldCharType="separate"/>
    </w:r>
    <w:r>
      <w:rPr>
        <w:rFonts w:ascii="Arial Narrow" w:hAnsi="Arial Narrow"/>
        <w:noProof/>
        <w:sz w:val="20"/>
        <w:szCs w:val="20"/>
      </w:rPr>
      <w:t>7</w:t>
    </w:r>
    <w:r w:rsidRPr="005A65B5">
      <w:rPr>
        <w:rFonts w:ascii="Arial Narrow" w:hAnsi="Arial Narrow"/>
        <w:sz w:val="20"/>
        <w:szCs w:val="20"/>
      </w:rPr>
      <w:fldChar w:fldCharType="end"/>
    </w:r>
    <w:r w:rsidRPr="005A65B5">
      <w:rPr>
        <w:rFonts w:ascii="Arial Narrow" w:hAnsi="Arial Narrow"/>
        <w:sz w:val="20"/>
        <w:szCs w:val="20"/>
      </w:rPr>
      <w:t xml:space="preserve"> z </w:t>
    </w:r>
    <w:r w:rsidRPr="005A65B5">
      <w:rPr>
        <w:rFonts w:ascii="Arial Narrow" w:hAnsi="Arial Narrow"/>
        <w:sz w:val="20"/>
        <w:szCs w:val="20"/>
      </w:rPr>
      <w:fldChar w:fldCharType="begin"/>
    </w:r>
    <w:r w:rsidRPr="005A65B5">
      <w:rPr>
        <w:rFonts w:ascii="Arial Narrow" w:hAnsi="Arial Narrow"/>
        <w:sz w:val="20"/>
        <w:szCs w:val="20"/>
      </w:rPr>
      <w:instrText>NUMPAGES</w:instrText>
    </w:r>
    <w:r w:rsidRPr="005A65B5">
      <w:rPr>
        <w:rFonts w:ascii="Arial Narrow" w:hAnsi="Arial Narrow"/>
        <w:sz w:val="20"/>
        <w:szCs w:val="20"/>
      </w:rPr>
      <w:fldChar w:fldCharType="separate"/>
    </w:r>
    <w:r>
      <w:rPr>
        <w:rFonts w:ascii="Arial Narrow" w:hAnsi="Arial Narrow"/>
        <w:noProof/>
        <w:sz w:val="20"/>
        <w:szCs w:val="20"/>
      </w:rPr>
      <w:t>17</w:t>
    </w:r>
    <w:r w:rsidRPr="005A65B5">
      <w:rPr>
        <w:rFonts w:ascii="Arial Narrow" w:hAnsi="Arial Narrow"/>
        <w:sz w:val="20"/>
        <w:szCs w:val="20"/>
      </w:rPr>
      <w:fldChar w:fldCharType="end"/>
    </w:r>
  </w:p>
  <w:p w:rsidR="00D95ABE" w:rsidRDefault="00D95A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ABE" w:rsidRDefault="00D95ABE" w:rsidP="005A65B5">
      <w:r>
        <w:separator/>
      </w:r>
    </w:p>
  </w:footnote>
  <w:footnote w:type="continuationSeparator" w:id="1">
    <w:p w:rsidR="00D95ABE" w:rsidRDefault="00D95ABE" w:rsidP="005A65B5">
      <w:r>
        <w:continuationSeparator/>
      </w:r>
    </w:p>
  </w:footnote>
  <w:footnote w:id="2">
    <w:p w:rsidR="00D95ABE" w:rsidRDefault="00D95ABE">
      <w:pPr>
        <w:pStyle w:val="FootnoteText"/>
      </w:pPr>
      <w:r w:rsidRPr="00ED6E51">
        <w:rPr>
          <w:rStyle w:val="FootnoteReference"/>
        </w:rPr>
        <w:footnoteRef/>
      </w:r>
      <w:r w:rsidRPr="00ED6E51">
        <w:t xml:space="preserve"> Na základe návrhu</w:t>
      </w:r>
      <w:r w:rsidRPr="002326E0">
        <w:t xml:space="preserve"> zákona, ktorým sa mení a dopĺňa zákon č. 575/2001 Z. z. o organizácii činnosti vlády a organizácii ústrednej štátnej správy v znení neskorších predpisov (prerokovaný v 1. čítaní na 5. schôdzi NR SR, </w:t>
      </w:r>
    </w:p>
  </w:footnote>
  <w:footnote w:id="3">
    <w:p w:rsidR="00D95ABE" w:rsidRDefault="00D95ABE" w:rsidP="000B1884">
      <w:pPr>
        <w:pStyle w:val="FootnoteText"/>
      </w:pPr>
      <w:r>
        <w:rPr>
          <w:rStyle w:val="FootnoteReference"/>
        </w:rPr>
        <w:footnoteRef/>
      </w:r>
      <w:r>
        <w:t xml:space="preserve"> </w:t>
      </w:r>
      <w:r>
        <w:rPr>
          <w:rFonts w:ascii="Times New Roman" w:hAnsi="Times New Roman"/>
          <w:sz w:val="18"/>
          <w:szCs w:val="18"/>
        </w:rPr>
        <w:t>Dňa 12.7.2010 bol schválený S</w:t>
      </w:r>
      <w:r w:rsidRPr="00194745">
        <w:rPr>
          <w:rFonts w:ascii="Times New Roman" w:hAnsi="Times New Roman"/>
          <w:sz w:val="18"/>
          <w:szCs w:val="18"/>
        </w:rPr>
        <w:t>ystém riadenia a implementácie OP INTERACT II na programové obdobie 2007 – 2013</w:t>
      </w:r>
      <w:r>
        <w:rPr>
          <w:rFonts w:ascii="Times New Roman" w:hAnsi="Times New Roman"/>
          <w:sz w:val="18"/>
          <w:szCs w:val="18"/>
        </w:rPr>
        <w:t>, verzia 2.0</w:t>
      </w:r>
    </w:p>
  </w:footnote>
  <w:footnote w:id="4">
    <w:p w:rsidR="00D95ABE" w:rsidRDefault="00D95ABE" w:rsidP="006F4518">
      <w:pPr>
        <w:pStyle w:val="FootnoteText"/>
      </w:pPr>
      <w:r>
        <w:rPr>
          <w:rStyle w:val="FootnoteReference"/>
        </w:rPr>
        <w:footnoteRef/>
      </w:r>
      <w:r>
        <w:t xml:space="preserve"> </w:t>
      </w:r>
      <w:r w:rsidRPr="00194745">
        <w:rPr>
          <w:rFonts w:ascii="Times New Roman" w:hAnsi="Times New Roman"/>
          <w:sz w:val="18"/>
          <w:szCs w:val="18"/>
        </w:rPr>
        <w:t>Pri sledovaní čerpania CO vychádza z finančného plánu bez uvedenia Nemecka.</w:t>
      </w:r>
    </w:p>
  </w:footnote>
  <w:footnote w:id="5">
    <w:p w:rsidR="00D95ABE" w:rsidRDefault="00D95ABE" w:rsidP="006F4518">
      <w:pPr>
        <w:pStyle w:val="FootnoteText"/>
      </w:pPr>
      <w:r>
        <w:rPr>
          <w:rStyle w:val="FootnoteReference"/>
        </w:rPr>
        <w:footnoteRef/>
      </w:r>
      <w:r>
        <w:t xml:space="preserve"> </w:t>
      </w:r>
      <w:r w:rsidRPr="00194745">
        <w:rPr>
          <w:rFonts w:ascii="Times New Roman" w:hAnsi="Times New Roman"/>
          <w:sz w:val="18"/>
          <w:szCs w:val="18"/>
        </w:rPr>
        <w:t>Sledovanie čerpania bolo upravené na základe novely všeobecného nariadenia 1083/2006 - nariadenie 539/2010 (v platnosti od 24.06.2010), ktorým sa určuje, že pri sledovaní čerpania v zmysle pravidla n+3/n+2 bude 1/6 záväzku 2007 pripočítaná ku každému zo záväzkov 2008-2013, tzn. hraničný termín na splnenie 1. záväzku sa posúva na 31.12.2011.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AD0"/>
    <w:multiLevelType w:val="hybridMultilevel"/>
    <w:tmpl w:val="89F61068"/>
    <w:lvl w:ilvl="0" w:tplc="D18A26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87360CB"/>
    <w:multiLevelType w:val="hybridMultilevel"/>
    <w:tmpl w:val="3522A2F8"/>
    <w:lvl w:ilvl="0" w:tplc="D18A266E">
      <w:start w:val="1"/>
      <w:numFmt w:val="bullet"/>
      <w:lvlText w:val=""/>
      <w:lvlJc w:val="left"/>
      <w:pPr>
        <w:tabs>
          <w:tab w:val="num" w:pos="360"/>
        </w:tabs>
        <w:ind w:left="360" w:hanging="360"/>
      </w:pPr>
      <w:rPr>
        <w:rFonts w:ascii="Symbol" w:hAnsi="Symbol" w:hint="default"/>
        <w:sz w:val="22"/>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09F645EE"/>
    <w:multiLevelType w:val="hybridMultilevel"/>
    <w:tmpl w:val="18C21D00"/>
    <w:lvl w:ilvl="0" w:tplc="041B0003">
      <w:start w:val="1"/>
      <w:numFmt w:val="bullet"/>
      <w:lvlText w:val="o"/>
      <w:lvlJc w:val="left"/>
      <w:pPr>
        <w:tabs>
          <w:tab w:val="num" w:pos="720"/>
        </w:tabs>
        <w:ind w:left="72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0A405FCB"/>
    <w:multiLevelType w:val="multilevel"/>
    <w:tmpl w:val="A4AABFD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DC74258"/>
    <w:multiLevelType w:val="hybridMultilevel"/>
    <w:tmpl w:val="F8187C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F9B52DB"/>
    <w:multiLevelType w:val="hybridMultilevel"/>
    <w:tmpl w:val="A4AABFD6"/>
    <w:lvl w:ilvl="0" w:tplc="041B000F">
      <w:start w:val="1"/>
      <w:numFmt w:val="decimal"/>
      <w:lvlText w:val="%1."/>
      <w:lvlJc w:val="left"/>
      <w:pPr>
        <w:tabs>
          <w:tab w:val="num" w:pos="720"/>
        </w:tabs>
        <w:ind w:left="720" w:hanging="360"/>
      </w:pPr>
      <w:rPr>
        <w:rFonts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11855EAF"/>
    <w:multiLevelType w:val="hybridMultilevel"/>
    <w:tmpl w:val="E0B2C57C"/>
    <w:lvl w:ilvl="0" w:tplc="BC049B2E">
      <w:start w:val="5"/>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nsid w:val="147E5112"/>
    <w:multiLevelType w:val="hybridMultilevel"/>
    <w:tmpl w:val="D11CB21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nsid w:val="16E62F4C"/>
    <w:multiLevelType w:val="hybridMultilevel"/>
    <w:tmpl w:val="650AA9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9806E52"/>
    <w:multiLevelType w:val="hybridMultilevel"/>
    <w:tmpl w:val="5CF48C82"/>
    <w:lvl w:ilvl="0" w:tplc="5BCAAA06">
      <w:numFmt w:val="bullet"/>
      <w:lvlText w:val="-"/>
      <w:lvlJc w:val="left"/>
      <w:pPr>
        <w:ind w:left="1770" w:hanging="360"/>
      </w:pPr>
      <w:rPr>
        <w:rFonts w:ascii="Arial Narrow" w:eastAsia="Times New Roman" w:hAnsi="Arial Narrow" w:hint="default"/>
      </w:rPr>
    </w:lvl>
    <w:lvl w:ilvl="1" w:tplc="041B0003" w:tentative="1">
      <w:start w:val="1"/>
      <w:numFmt w:val="bullet"/>
      <w:lvlText w:val="o"/>
      <w:lvlJc w:val="left"/>
      <w:pPr>
        <w:ind w:left="2490" w:hanging="360"/>
      </w:pPr>
      <w:rPr>
        <w:rFonts w:ascii="Courier New" w:hAnsi="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0">
    <w:nsid w:val="1FE9573A"/>
    <w:multiLevelType w:val="hybridMultilevel"/>
    <w:tmpl w:val="34784E20"/>
    <w:lvl w:ilvl="0" w:tplc="D18A266E">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0F43213"/>
    <w:multiLevelType w:val="hybridMultilevel"/>
    <w:tmpl w:val="A59274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6896C61"/>
    <w:multiLevelType w:val="hybridMultilevel"/>
    <w:tmpl w:val="39143D18"/>
    <w:lvl w:ilvl="0" w:tplc="041B0003">
      <w:start w:val="1"/>
      <w:numFmt w:val="bullet"/>
      <w:lvlText w:val="o"/>
      <w:lvlJc w:val="left"/>
      <w:pPr>
        <w:tabs>
          <w:tab w:val="num" w:pos="720"/>
        </w:tabs>
        <w:ind w:left="72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3F462E10"/>
    <w:multiLevelType w:val="hybridMultilevel"/>
    <w:tmpl w:val="8D5A5DF2"/>
    <w:lvl w:ilvl="0" w:tplc="D18A266E">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0A068C4"/>
    <w:multiLevelType w:val="multilevel"/>
    <w:tmpl w:val="041B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5">
    <w:nsid w:val="425D1D5F"/>
    <w:multiLevelType w:val="hybridMultilevel"/>
    <w:tmpl w:val="75CECFFA"/>
    <w:lvl w:ilvl="0" w:tplc="09C8B3CE">
      <w:start w:val="4"/>
      <w:numFmt w:val="bullet"/>
      <w:lvlText w:val="-"/>
      <w:lvlJc w:val="left"/>
      <w:pPr>
        <w:ind w:left="390" w:hanging="360"/>
      </w:pPr>
      <w:rPr>
        <w:rFonts w:ascii="Arial Narrow" w:eastAsia="Times New Roman" w:hAnsi="Arial Narrow" w:hint="default"/>
      </w:rPr>
    </w:lvl>
    <w:lvl w:ilvl="1" w:tplc="041B0003" w:tentative="1">
      <w:start w:val="1"/>
      <w:numFmt w:val="bullet"/>
      <w:lvlText w:val="o"/>
      <w:lvlJc w:val="left"/>
      <w:pPr>
        <w:ind w:left="1110" w:hanging="360"/>
      </w:pPr>
      <w:rPr>
        <w:rFonts w:ascii="Courier New" w:hAnsi="Courier New" w:hint="default"/>
      </w:rPr>
    </w:lvl>
    <w:lvl w:ilvl="2" w:tplc="041B0005" w:tentative="1">
      <w:start w:val="1"/>
      <w:numFmt w:val="bullet"/>
      <w:lvlText w:val=""/>
      <w:lvlJc w:val="left"/>
      <w:pPr>
        <w:ind w:left="1830" w:hanging="360"/>
      </w:pPr>
      <w:rPr>
        <w:rFonts w:ascii="Wingdings" w:hAnsi="Wingdings" w:hint="default"/>
      </w:rPr>
    </w:lvl>
    <w:lvl w:ilvl="3" w:tplc="041B0001" w:tentative="1">
      <w:start w:val="1"/>
      <w:numFmt w:val="bullet"/>
      <w:lvlText w:val=""/>
      <w:lvlJc w:val="left"/>
      <w:pPr>
        <w:ind w:left="2550" w:hanging="360"/>
      </w:pPr>
      <w:rPr>
        <w:rFonts w:ascii="Symbol" w:hAnsi="Symbol" w:hint="default"/>
      </w:rPr>
    </w:lvl>
    <w:lvl w:ilvl="4" w:tplc="041B0003" w:tentative="1">
      <w:start w:val="1"/>
      <w:numFmt w:val="bullet"/>
      <w:lvlText w:val="o"/>
      <w:lvlJc w:val="left"/>
      <w:pPr>
        <w:ind w:left="3270" w:hanging="360"/>
      </w:pPr>
      <w:rPr>
        <w:rFonts w:ascii="Courier New" w:hAnsi="Courier New" w:hint="default"/>
      </w:rPr>
    </w:lvl>
    <w:lvl w:ilvl="5" w:tplc="041B0005" w:tentative="1">
      <w:start w:val="1"/>
      <w:numFmt w:val="bullet"/>
      <w:lvlText w:val=""/>
      <w:lvlJc w:val="left"/>
      <w:pPr>
        <w:ind w:left="3990" w:hanging="360"/>
      </w:pPr>
      <w:rPr>
        <w:rFonts w:ascii="Wingdings" w:hAnsi="Wingdings" w:hint="default"/>
      </w:rPr>
    </w:lvl>
    <w:lvl w:ilvl="6" w:tplc="041B0001" w:tentative="1">
      <w:start w:val="1"/>
      <w:numFmt w:val="bullet"/>
      <w:lvlText w:val=""/>
      <w:lvlJc w:val="left"/>
      <w:pPr>
        <w:ind w:left="4710" w:hanging="360"/>
      </w:pPr>
      <w:rPr>
        <w:rFonts w:ascii="Symbol" w:hAnsi="Symbol" w:hint="default"/>
      </w:rPr>
    </w:lvl>
    <w:lvl w:ilvl="7" w:tplc="041B0003" w:tentative="1">
      <w:start w:val="1"/>
      <w:numFmt w:val="bullet"/>
      <w:lvlText w:val="o"/>
      <w:lvlJc w:val="left"/>
      <w:pPr>
        <w:ind w:left="5430" w:hanging="360"/>
      </w:pPr>
      <w:rPr>
        <w:rFonts w:ascii="Courier New" w:hAnsi="Courier New" w:hint="default"/>
      </w:rPr>
    </w:lvl>
    <w:lvl w:ilvl="8" w:tplc="041B0005" w:tentative="1">
      <w:start w:val="1"/>
      <w:numFmt w:val="bullet"/>
      <w:lvlText w:val=""/>
      <w:lvlJc w:val="left"/>
      <w:pPr>
        <w:ind w:left="6150" w:hanging="360"/>
      </w:pPr>
      <w:rPr>
        <w:rFonts w:ascii="Wingdings" w:hAnsi="Wingdings" w:hint="default"/>
      </w:rPr>
    </w:lvl>
  </w:abstractNum>
  <w:abstractNum w:abstractNumId="16">
    <w:nsid w:val="429D4949"/>
    <w:multiLevelType w:val="hybridMultilevel"/>
    <w:tmpl w:val="4F5AA594"/>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7">
    <w:nsid w:val="5B715568"/>
    <w:multiLevelType w:val="hybridMultilevel"/>
    <w:tmpl w:val="A21A36FA"/>
    <w:lvl w:ilvl="0" w:tplc="D18A26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D556243"/>
    <w:multiLevelType w:val="hybridMultilevel"/>
    <w:tmpl w:val="DC425B7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2381FEA"/>
    <w:multiLevelType w:val="hybridMultilevel"/>
    <w:tmpl w:val="0124008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nsid w:val="73A96EFF"/>
    <w:multiLevelType w:val="multilevel"/>
    <w:tmpl w:val="041B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nsid w:val="7C3E18EE"/>
    <w:multiLevelType w:val="hybridMultilevel"/>
    <w:tmpl w:val="C598E180"/>
    <w:lvl w:ilvl="0" w:tplc="041B0003">
      <w:start w:val="1"/>
      <w:numFmt w:val="bullet"/>
      <w:lvlText w:val="o"/>
      <w:lvlJc w:val="left"/>
      <w:pPr>
        <w:tabs>
          <w:tab w:val="num" w:pos="720"/>
        </w:tabs>
        <w:ind w:left="72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4"/>
  </w:num>
  <w:num w:numId="3">
    <w:abstractNumId w:val="18"/>
  </w:num>
  <w:num w:numId="4">
    <w:abstractNumId w:val="13"/>
  </w:num>
  <w:num w:numId="5">
    <w:abstractNumId w:val="5"/>
  </w:num>
  <w:num w:numId="6">
    <w:abstractNumId w:val="10"/>
  </w:num>
  <w:num w:numId="7">
    <w:abstractNumId w:val="19"/>
  </w:num>
  <w:num w:numId="8">
    <w:abstractNumId w:val="12"/>
  </w:num>
  <w:num w:numId="9">
    <w:abstractNumId w:val="8"/>
  </w:num>
  <w:num w:numId="10">
    <w:abstractNumId w:val="15"/>
  </w:num>
  <w:num w:numId="11">
    <w:abstractNumId w:val="14"/>
  </w:num>
  <w:num w:numId="12">
    <w:abstractNumId w:val="14"/>
  </w:num>
  <w:num w:numId="13">
    <w:abstractNumId w:val="14"/>
  </w:num>
  <w:num w:numId="14">
    <w:abstractNumId w:val="14"/>
  </w:num>
  <w:num w:numId="15">
    <w:abstractNumId w:val="7"/>
  </w:num>
  <w:num w:numId="16">
    <w:abstractNumId w:val="9"/>
  </w:num>
  <w:num w:numId="17">
    <w:abstractNumId w:val="1"/>
  </w:num>
  <w:num w:numId="18">
    <w:abstractNumId w:val="17"/>
  </w:num>
  <w:num w:numId="19">
    <w:abstractNumId w:val="0"/>
  </w:num>
  <w:num w:numId="20">
    <w:abstractNumId w:val="11"/>
  </w:num>
  <w:num w:numId="21">
    <w:abstractNumId w:val="4"/>
  </w:num>
  <w:num w:numId="22">
    <w:abstractNumId w:val="2"/>
  </w:num>
  <w:num w:numId="23">
    <w:abstractNumId w:val="21"/>
  </w:num>
  <w:num w:numId="24">
    <w:abstractNumId w:val="6"/>
  </w:num>
  <w:num w:numId="25">
    <w:abstractNumId w:val="3"/>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5C13"/>
    <w:rsid w:val="0003349E"/>
    <w:rsid w:val="00051469"/>
    <w:rsid w:val="000A2BE8"/>
    <w:rsid w:val="000A4B2C"/>
    <w:rsid w:val="000B1884"/>
    <w:rsid w:val="000B4F94"/>
    <w:rsid w:val="000C7F9F"/>
    <w:rsid w:val="000D1109"/>
    <w:rsid w:val="000D15C0"/>
    <w:rsid w:val="000D3602"/>
    <w:rsid w:val="000E2C6B"/>
    <w:rsid w:val="000E60D6"/>
    <w:rsid w:val="000F20B7"/>
    <w:rsid w:val="000F4EE6"/>
    <w:rsid w:val="000F6DB6"/>
    <w:rsid w:val="001007CD"/>
    <w:rsid w:val="0010312B"/>
    <w:rsid w:val="00103A31"/>
    <w:rsid w:val="001043D4"/>
    <w:rsid w:val="0010671B"/>
    <w:rsid w:val="00111484"/>
    <w:rsid w:val="001433A3"/>
    <w:rsid w:val="0015434A"/>
    <w:rsid w:val="001627B7"/>
    <w:rsid w:val="00165E68"/>
    <w:rsid w:val="00175718"/>
    <w:rsid w:val="00176204"/>
    <w:rsid w:val="00184BAA"/>
    <w:rsid w:val="001855B6"/>
    <w:rsid w:val="00194745"/>
    <w:rsid w:val="00196779"/>
    <w:rsid w:val="001A33C1"/>
    <w:rsid w:val="001A6ED9"/>
    <w:rsid w:val="001B348D"/>
    <w:rsid w:val="001B3538"/>
    <w:rsid w:val="001B4CB5"/>
    <w:rsid w:val="001C4267"/>
    <w:rsid w:val="001C6720"/>
    <w:rsid w:val="001C6DFB"/>
    <w:rsid w:val="001E50B1"/>
    <w:rsid w:val="001F3515"/>
    <w:rsid w:val="00201533"/>
    <w:rsid w:val="002025C9"/>
    <w:rsid w:val="0020574E"/>
    <w:rsid w:val="00206D81"/>
    <w:rsid w:val="00220D55"/>
    <w:rsid w:val="00225C99"/>
    <w:rsid w:val="002326E0"/>
    <w:rsid w:val="002342E4"/>
    <w:rsid w:val="002513A5"/>
    <w:rsid w:val="002648D5"/>
    <w:rsid w:val="00277306"/>
    <w:rsid w:val="002941B5"/>
    <w:rsid w:val="002A3A15"/>
    <w:rsid w:val="002B0654"/>
    <w:rsid w:val="002B1907"/>
    <w:rsid w:val="002B3335"/>
    <w:rsid w:val="002B5367"/>
    <w:rsid w:val="002C1C7E"/>
    <w:rsid w:val="002C7FB8"/>
    <w:rsid w:val="002D0EFF"/>
    <w:rsid w:val="002D36CA"/>
    <w:rsid w:val="002D3C24"/>
    <w:rsid w:val="002D7A81"/>
    <w:rsid w:val="002F7F40"/>
    <w:rsid w:val="0032630C"/>
    <w:rsid w:val="003351CD"/>
    <w:rsid w:val="003510B6"/>
    <w:rsid w:val="003605AC"/>
    <w:rsid w:val="00360BE6"/>
    <w:rsid w:val="00361C21"/>
    <w:rsid w:val="003752F8"/>
    <w:rsid w:val="003848DB"/>
    <w:rsid w:val="00384C79"/>
    <w:rsid w:val="003953D2"/>
    <w:rsid w:val="003B507F"/>
    <w:rsid w:val="003C3A58"/>
    <w:rsid w:val="003C5E27"/>
    <w:rsid w:val="003D5209"/>
    <w:rsid w:val="003E2F5B"/>
    <w:rsid w:val="003E3E76"/>
    <w:rsid w:val="003F4046"/>
    <w:rsid w:val="003F56A9"/>
    <w:rsid w:val="0040207B"/>
    <w:rsid w:val="00410DF1"/>
    <w:rsid w:val="00436BBA"/>
    <w:rsid w:val="00437B3E"/>
    <w:rsid w:val="0045392C"/>
    <w:rsid w:val="0046242B"/>
    <w:rsid w:val="004646EC"/>
    <w:rsid w:val="0047127D"/>
    <w:rsid w:val="0047517E"/>
    <w:rsid w:val="004A669C"/>
    <w:rsid w:val="004B14AD"/>
    <w:rsid w:val="004B6451"/>
    <w:rsid w:val="004C0CE7"/>
    <w:rsid w:val="004E02D7"/>
    <w:rsid w:val="004E39FB"/>
    <w:rsid w:val="004F639B"/>
    <w:rsid w:val="0050301E"/>
    <w:rsid w:val="005061C0"/>
    <w:rsid w:val="0051014E"/>
    <w:rsid w:val="005201F9"/>
    <w:rsid w:val="005308BD"/>
    <w:rsid w:val="005478F5"/>
    <w:rsid w:val="00552E49"/>
    <w:rsid w:val="00553ED2"/>
    <w:rsid w:val="00555004"/>
    <w:rsid w:val="00567FD2"/>
    <w:rsid w:val="00571679"/>
    <w:rsid w:val="00575C13"/>
    <w:rsid w:val="0057755A"/>
    <w:rsid w:val="00585EF1"/>
    <w:rsid w:val="00585F98"/>
    <w:rsid w:val="005A65B5"/>
    <w:rsid w:val="005B557E"/>
    <w:rsid w:val="005B700D"/>
    <w:rsid w:val="005C186C"/>
    <w:rsid w:val="005C37CA"/>
    <w:rsid w:val="005D2D28"/>
    <w:rsid w:val="005E389F"/>
    <w:rsid w:val="005F18A6"/>
    <w:rsid w:val="006028B4"/>
    <w:rsid w:val="006049CC"/>
    <w:rsid w:val="00607D85"/>
    <w:rsid w:val="00615AFB"/>
    <w:rsid w:val="00625B89"/>
    <w:rsid w:val="00660729"/>
    <w:rsid w:val="00673BFB"/>
    <w:rsid w:val="00682935"/>
    <w:rsid w:val="00692BE5"/>
    <w:rsid w:val="006B1C76"/>
    <w:rsid w:val="006B67E5"/>
    <w:rsid w:val="006B6CCA"/>
    <w:rsid w:val="006C176F"/>
    <w:rsid w:val="006C60D1"/>
    <w:rsid w:val="006D5187"/>
    <w:rsid w:val="006F0DB9"/>
    <w:rsid w:val="006F38FE"/>
    <w:rsid w:val="006F4518"/>
    <w:rsid w:val="00712A78"/>
    <w:rsid w:val="00713FEC"/>
    <w:rsid w:val="00717230"/>
    <w:rsid w:val="00720E26"/>
    <w:rsid w:val="00737A9E"/>
    <w:rsid w:val="007446DE"/>
    <w:rsid w:val="00745AC7"/>
    <w:rsid w:val="00762AE5"/>
    <w:rsid w:val="00770665"/>
    <w:rsid w:val="0077200E"/>
    <w:rsid w:val="0077375C"/>
    <w:rsid w:val="007761A8"/>
    <w:rsid w:val="00783448"/>
    <w:rsid w:val="00784F7B"/>
    <w:rsid w:val="007852EA"/>
    <w:rsid w:val="007B4573"/>
    <w:rsid w:val="007D225F"/>
    <w:rsid w:val="007E23B2"/>
    <w:rsid w:val="007E4783"/>
    <w:rsid w:val="007E5D3C"/>
    <w:rsid w:val="007F03D9"/>
    <w:rsid w:val="007F3F68"/>
    <w:rsid w:val="008213D2"/>
    <w:rsid w:val="00834CEA"/>
    <w:rsid w:val="0085156D"/>
    <w:rsid w:val="00853B2B"/>
    <w:rsid w:val="00855B02"/>
    <w:rsid w:val="00893597"/>
    <w:rsid w:val="0089425E"/>
    <w:rsid w:val="008954D5"/>
    <w:rsid w:val="008A47B0"/>
    <w:rsid w:val="008A7327"/>
    <w:rsid w:val="008B4039"/>
    <w:rsid w:val="008C52F4"/>
    <w:rsid w:val="008F0224"/>
    <w:rsid w:val="00900454"/>
    <w:rsid w:val="00900BE7"/>
    <w:rsid w:val="00907D44"/>
    <w:rsid w:val="0093123D"/>
    <w:rsid w:val="00946DB0"/>
    <w:rsid w:val="00947536"/>
    <w:rsid w:val="00960EF4"/>
    <w:rsid w:val="00975415"/>
    <w:rsid w:val="00975510"/>
    <w:rsid w:val="0098524F"/>
    <w:rsid w:val="00986A8F"/>
    <w:rsid w:val="009A0D5F"/>
    <w:rsid w:val="009A5D44"/>
    <w:rsid w:val="009B29D8"/>
    <w:rsid w:val="009B6F32"/>
    <w:rsid w:val="009C09DE"/>
    <w:rsid w:val="009C5248"/>
    <w:rsid w:val="009C58F5"/>
    <w:rsid w:val="009C630B"/>
    <w:rsid w:val="009D014B"/>
    <w:rsid w:val="009D6444"/>
    <w:rsid w:val="009E0800"/>
    <w:rsid w:val="009E233B"/>
    <w:rsid w:val="009E5DE1"/>
    <w:rsid w:val="009E65C0"/>
    <w:rsid w:val="009E6FCE"/>
    <w:rsid w:val="009F2422"/>
    <w:rsid w:val="009F6669"/>
    <w:rsid w:val="009F69DD"/>
    <w:rsid w:val="00A00917"/>
    <w:rsid w:val="00A02AB8"/>
    <w:rsid w:val="00A207B4"/>
    <w:rsid w:val="00A2422F"/>
    <w:rsid w:val="00A3131B"/>
    <w:rsid w:val="00A44308"/>
    <w:rsid w:val="00A85CE7"/>
    <w:rsid w:val="00A85E15"/>
    <w:rsid w:val="00A978E3"/>
    <w:rsid w:val="00AA2C3F"/>
    <w:rsid w:val="00AA3FF4"/>
    <w:rsid w:val="00AB36AE"/>
    <w:rsid w:val="00AB61E4"/>
    <w:rsid w:val="00AC0EC0"/>
    <w:rsid w:val="00AC64C3"/>
    <w:rsid w:val="00AC7DB2"/>
    <w:rsid w:val="00AD1671"/>
    <w:rsid w:val="00AE4C8B"/>
    <w:rsid w:val="00B018C7"/>
    <w:rsid w:val="00B021A0"/>
    <w:rsid w:val="00B111EE"/>
    <w:rsid w:val="00B1431F"/>
    <w:rsid w:val="00B33AE8"/>
    <w:rsid w:val="00B40F9D"/>
    <w:rsid w:val="00B55823"/>
    <w:rsid w:val="00B62466"/>
    <w:rsid w:val="00B65985"/>
    <w:rsid w:val="00B70439"/>
    <w:rsid w:val="00B77C04"/>
    <w:rsid w:val="00B80858"/>
    <w:rsid w:val="00B87067"/>
    <w:rsid w:val="00B87E1C"/>
    <w:rsid w:val="00B970D5"/>
    <w:rsid w:val="00BB1C25"/>
    <w:rsid w:val="00BC17D2"/>
    <w:rsid w:val="00BC6D61"/>
    <w:rsid w:val="00BD1B30"/>
    <w:rsid w:val="00BD60F1"/>
    <w:rsid w:val="00BE056E"/>
    <w:rsid w:val="00BE68BE"/>
    <w:rsid w:val="00BF1563"/>
    <w:rsid w:val="00BF605D"/>
    <w:rsid w:val="00C052D4"/>
    <w:rsid w:val="00C220CB"/>
    <w:rsid w:val="00C73E1F"/>
    <w:rsid w:val="00C82A9B"/>
    <w:rsid w:val="00C96F79"/>
    <w:rsid w:val="00CA2319"/>
    <w:rsid w:val="00CA4470"/>
    <w:rsid w:val="00CA505C"/>
    <w:rsid w:val="00CC10AA"/>
    <w:rsid w:val="00CC2BF8"/>
    <w:rsid w:val="00CC4644"/>
    <w:rsid w:val="00CE557B"/>
    <w:rsid w:val="00CE6B11"/>
    <w:rsid w:val="00CF2FE3"/>
    <w:rsid w:val="00CF4E7F"/>
    <w:rsid w:val="00CF6843"/>
    <w:rsid w:val="00D04420"/>
    <w:rsid w:val="00D0450B"/>
    <w:rsid w:val="00D105B3"/>
    <w:rsid w:val="00D53760"/>
    <w:rsid w:val="00D577E3"/>
    <w:rsid w:val="00D72CEB"/>
    <w:rsid w:val="00D7359D"/>
    <w:rsid w:val="00D749A3"/>
    <w:rsid w:val="00D74FBD"/>
    <w:rsid w:val="00D8600D"/>
    <w:rsid w:val="00D86229"/>
    <w:rsid w:val="00D939EA"/>
    <w:rsid w:val="00D95ABE"/>
    <w:rsid w:val="00DA7307"/>
    <w:rsid w:val="00DA7D90"/>
    <w:rsid w:val="00DC2582"/>
    <w:rsid w:val="00DD429E"/>
    <w:rsid w:val="00DE54BD"/>
    <w:rsid w:val="00DE5C41"/>
    <w:rsid w:val="00E6243D"/>
    <w:rsid w:val="00E67364"/>
    <w:rsid w:val="00E74CEA"/>
    <w:rsid w:val="00EB4C69"/>
    <w:rsid w:val="00EC13CD"/>
    <w:rsid w:val="00EC6743"/>
    <w:rsid w:val="00ED52E6"/>
    <w:rsid w:val="00ED6E51"/>
    <w:rsid w:val="00EE7FBF"/>
    <w:rsid w:val="00F00F20"/>
    <w:rsid w:val="00F11394"/>
    <w:rsid w:val="00F24285"/>
    <w:rsid w:val="00F44B86"/>
    <w:rsid w:val="00F53E66"/>
    <w:rsid w:val="00F61126"/>
    <w:rsid w:val="00F923B0"/>
    <w:rsid w:val="00F94814"/>
    <w:rsid w:val="00F955BE"/>
    <w:rsid w:val="00FB5168"/>
    <w:rsid w:val="00FB5178"/>
    <w:rsid w:val="00FC0CA2"/>
    <w:rsid w:val="00FC74FC"/>
    <w:rsid w:val="00FD2D6E"/>
    <w:rsid w:val="00FE5D0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575C13"/>
    <w:rPr>
      <w:rFonts w:ascii="Times New Roman" w:eastAsia="Times New Roman" w:hAnsi="Times New Roman"/>
      <w:sz w:val="24"/>
      <w:szCs w:val="24"/>
    </w:rPr>
  </w:style>
  <w:style w:type="paragraph" w:styleId="Heading1">
    <w:name w:val="heading 1"/>
    <w:basedOn w:val="Normal"/>
    <w:next w:val="Normal"/>
    <w:link w:val="Heading1Char"/>
    <w:uiPriority w:val="99"/>
    <w:qFormat/>
    <w:rsid w:val="00575C13"/>
    <w:pPr>
      <w:keepNext/>
      <w:keepLines/>
      <w:numPr>
        <w:numId w:val="2"/>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75C13"/>
    <w:pPr>
      <w:keepNext/>
      <w:keepLines/>
      <w:numPr>
        <w:ilvl w:val="1"/>
        <w:numId w:val="2"/>
      </w:numPr>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575C13"/>
    <w:pPr>
      <w:keepNext/>
      <w:keepLines/>
      <w:numPr>
        <w:ilvl w:val="2"/>
        <w:numId w:val="2"/>
      </w:numPr>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575C13"/>
    <w:pPr>
      <w:keepNext/>
      <w:keepLines/>
      <w:numPr>
        <w:ilvl w:val="3"/>
        <w:numId w:val="2"/>
      </w:numPr>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575C1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575C1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575C13"/>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575C13"/>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575C13"/>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C13"/>
    <w:rPr>
      <w:rFonts w:ascii="Cambria" w:hAnsi="Cambria" w:cs="Times New Roman"/>
      <w:b/>
      <w:bCs/>
      <w:color w:val="365F91"/>
      <w:sz w:val="28"/>
      <w:szCs w:val="28"/>
      <w:lang w:val="sk-SK" w:eastAsia="sk-SK" w:bidi="ar-SA"/>
    </w:rPr>
  </w:style>
  <w:style w:type="character" w:customStyle="1" w:styleId="Heading2Char">
    <w:name w:val="Heading 2 Char"/>
    <w:basedOn w:val="DefaultParagraphFont"/>
    <w:link w:val="Heading2"/>
    <w:uiPriority w:val="99"/>
    <w:locked/>
    <w:rsid w:val="00575C13"/>
    <w:rPr>
      <w:rFonts w:ascii="Cambria" w:hAnsi="Cambria" w:cs="Times New Roman"/>
      <w:b/>
      <w:bCs/>
      <w:color w:val="4F81BD"/>
      <w:sz w:val="26"/>
      <w:szCs w:val="26"/>
      <w:lang w:val="sk-SK" w:eastAsia="sk-SK" w:bidi="ar-SA"/>
    </w:rPr>
  </w:style>
  <w:style w:type="character" w:customStyle="1" w:styleId="Heading3Char">
    <w:name w:val="Heading 3 Char"/>
    <w:basedOn w:val="DefaultParagraphFont"/>
    <w:link w:val="Heading3"/>
    <w:uiPriority w:val="99"/>
    <w:locked/>
    <w:rsid w:val="00575C13"/>
    <w:rPr>
      <w:rFonts w:ascii="Cambria" w:hAnsi="Cambria" w:cs="Times New Roman"/>
      <w:b/>
      <w:bCs/>
      <w:color w:val="4F81BD"/>
      <w:sz w:val="24"/>
      <w:szCs w:val="24"/>
      <w:lang w:val="sk-SK" w:eastAsia="sk-SK" w:bidi="ar-SA"/>
    </w:rPr>
  </w:style>
  <w:style w:type="character" w:customStyle="1" w:styleId="Heading4Char">
    <w:name w:val="Heading 4 Char"/>
    <w:basedOn w:val="DefaultParagraphFont"/>
    <w:link w:val="Heading4"/>
    <w:uiPriority w:val="99"/>
    <w:semiHidden/>
    <w:locked/>
    <w:rsid w:val="00575C13"/>
    <w:rPr>
      <w:rFonts w:ascii="Cambria" w:hAnsi="Cambria" w:cs="Times New Roman"/>
      <w:b/>
      <w:bCs/>
      <w:i/>
      <w:iCs/>
      <w:color w:val="4F81BD"/>
      <w:sz w:val="24"/>
      <w:szCs w:val="24"/>
      <w:lang w:val="sk-SK" w:eastAsia="sk-SK" w:bidi="ar-SA"/>
    </w:rPr>
  </w:style>
  <w:style w:type="character" w:customStyle="1" w:styleId="Heading5Char">
    <w:name w:val="Heading 5 Char"/>
    <w:basedOn w:val="DefaultParagraphFont"/>
    <w:link w:val="Heading5"/>
    <w:uiPriority w:val="99"/>
    <w:semiHidden/>
    <w:locked/>
    <w:rsid w:val="00575C13"/>
    <w:rPr>
      <w:rFonts w:ascii="Cambria" w:hAnsi="Cambria" w:cs="Times New Roman"/>
      <w:color w:val="243F60"/>
      <w:sz w:val="24"/>
      <w:szCs w:val="24"/>
      <w:lang w:val="sk-SK" w:eastAsia="sk-SK" w:bidi="ar-SA"/>
    </w:rPr>
  </w:style>
  <w:style w:type="character" w:customStyle="1" w:styleId="Heading6Char">
    <w:name w:val="Heading 6 Char"/>
    <w:basedOn w:val="DefaultParagraphFont"/>
    <w:link w:val="Heading6"/>
    <w:uiPriority w:val="99"/>
    <w:semiHidden/>
    <w:locked/>
    <w:rsid w:val="00575C13"/>
    <w:rPr>
      <w:rFonts w:ascii="Cambria" w:hAnsi="Cambria" w:cs="Times New Roman"/>
      <w:i/>
      <w:iCs/>
      <w:color w:val="243F60"/>
      <w:sz w:val="24"/>
      <w:szCs w:val="24"/>
      <w:lang w:val="sk-SK" w:eastAsia="sk-SK" w:bidi="ar-SA"/>
    </w:rPr>
  </w:style>
  <w:style w:type="character" w:customStyle="1" w:styleId="Heading7Char">
    <w:name w:val="Heading 7 Char"/>
    <w:basedOn w:val="DefaultParagraphFont"/>
    <w:link w:val="Heading7"/>
    <w:uiPriority w:val="99"/>
    <w:semiHidden/>
    <w:locked/>
    <w:rsid w:val="00575C13"/>
    <w:rPr>
      <w:rFonts w:ascii="Cambria" w:hAnsi="Cambria" w:cs="Times New Roman"/>
      <w:i/>
      <w:iCs/>
      <w:color w:val="404040"/>
      <w:sz w:val="24"/>
      <w:szCs w:val="24"/>
      <w:lang w:val="sk-SK" w:eastAsia="sk-SK" w:bidi="ar-SA"/>
    </w:rPr>
  </w:style>
  <w:style w:type="character" w:customStyle="1" w:styleId="Heading8Char">
    <w:name w:val="Heading 8 Char"/>
    <w:basedOn w:val="DefaultParagraphFont"/>
    <w:link w:val="Heading8"/>
    <w:uiPriority w:val="99"/>
    <w:semiHidden/>
    <w:locked/>
    <w:rsid w:val="00575C13"/>
    <w:rPr>
      <w:rFonts w:ascii="Cambria" w:hAnsi="Cambria" w:cs="Times New Roman"/>
      <w:color w:val="404040"/>
      <w:lang w:val="sk-SK" w:eastAsia="sk-SK" w:bidi="ar-SA"/>
    </w:rPr>
  </w:style>
  <w:style w:type="character" w:customStyle="1" w:styleId="Heading9Char">
    <w:name w:val="Heading 9 Char"/>
    <w:basedOn w:val="DefaultParagraphFont"/>
    <w:link w:val="Heading9"/>
    <w:uiPriority w:val="99"/>
    <w:semiHidden/>
    <w:locked/>
    <w:rsid w:val="00575C13"/>
    <w:rPr>
      <w:rFonts w:ascii="Cambria" w:hAnsi="Cambria" w:cs="Times New Roman"/>
      <w:i/>
      <w:iCs/>
      <w:color w:val="404040"/>
      <w:lang w:val="sk-SK" w:eastAsia="sk-SK" w:bidi="ar-SA"/>
    </w:rPr>
  </w:style>
  <w:style w:type="paragraph" w:styleId="BalloonText">
    <w:name w:val="Balloon Text"/>
    <w:basedOn w:val="Normal"/>
    <w:link w:val="BalloonTextChar"/>
    <w:uiPriority w:val="99"/>
    <w:semiHidden/>
    <w:rsid w:val="002B06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0654"/>
    <w:rPr>
      <w:rFonts w:ascii="Tahoma" w:hAnsi="Tahoma" w:cs="Tahoma"/>
      <w:sz w:val="16"/>
      <w:szCs w:val="16"/>
      <w:lang w:eastAsia="sk-SK"/>
    </w:rPr>
  </w:style>
  <w:style w:type="paragraph" w:styleId="TOCHeading">
    <w:name w:val="TOC Heading"/>
    <w:basedOn w:val="Heading1"/>
    <w:next w:val="Normal"/>
    <w:uiPriority w:val="99"/>
    <w:qFormat/>
    <w:rsid w:val="002B0654"/>
    <w:pPr>
      <w:numPr>
        <w:numId w:val="0"/>
      </w:numPr>
      <w:spacing w:line="276" w:lineRule="auto"/>
      <w:outlineLvl w:val="9"/>
    </w:pPr>
    <w:rPr>
      <w:lang w:eastAsia="en-US"/>
    </w:rPr>
  </w:style>
  <w:style w:type="paragraph" w:styleId="TOC1">
    <w:name w:val="toc 1"/>
    <w:basedOn w:val="Normal"/>
    <w:next w:val="Normal"/>
    <w:autoRedefine/>
    <w:uiPriority w:val="99"/>
    <w:rsid w:val="002B0654"/>
    <w:pPr>
      <w:spacing w:after="100"/>
    </w:pPr>
  </w:style>
  <w:style w:type="paragraph" w:styleId="TOC2">
    <w:name w:val="toc 2"/>
    <w:basedOn w:val="Normal"/>
    <w:next w:val="Normal"/>
    <w:autoRedefine/>
    <w:uiPriority w:val="99"/>
    <w:rsid w:val="002B0654"/>
    <w:pPr>
      <w:spacing w:after="100"/>
      <w:ind w:left="240"/>
    </w:pPr>
  </w:style>
  <w:style w:type="paragraph" w:styleId="TOC3">
    <w:name w:val="toc 3"/>
    <w:basedOn w:val="Normal"/>
    <w:next w:val="Normal"/>
    <w:autoRedefine/>
    <w:uiPriority w:val="99"/>
    <w:rsid w:val="002B0654"/>
    <w:pPr>
      <w:spacing w:after="100"/>
      <w:ind w:left="480"/>
    </w:pPr>
  </w:style>
  <w:style w:type="character" w:styleId="Hyperlink">
    <w:name w:val="Hyperlink"/>
    <w:basedOn w:val="DefaultParagraphFont"/>
    <w:uiPriority w:val="99"/>
    <w:rsid w:val="002B0654"/>
    <w:rPr>
      <w:rFonts w:cs="Times New Roman"/>
      <w:color w:val="0000FF"/>
      <w:u w:val="single"/>
    </w:rPr>
  </w:style>
  <w:style w:type="paragraph" w:styleId="ListParagraph">
    <w:name w:val="List Paragraph"/>
    <w:basedOn w:val="Normal"/>
    <w:uiPriority w:val="99"/>
    <w:qFormat/>
    <w:rsid w:val="002B0654"/>
    <w:pPr>
      <w:ind w:left="720"/>
      <w:contextualSpacing/>
    </w:pPr>
  </w:style>
  <w:style w:type="paragraph" w:styleId="Header">
    <w:name w:val="header"/>
    <w:basedOn w:val="Normal"/>
    <w:link w:val="HeaderChar"/>
    <w:uiPriority w:val="99"/>
    <w:semiHidden/>
    <w:rsid w:val="005A65B5"/>
    <w:pPr>
      <w:tabs>
        <w:tab w:val="center" w:pos="4536"/>
        <w:tab w:val="right" w:pos="9072"/>
      </w:tabs>
    </w:pPr>
  </w:style>
  <w:style w:type="character" w:customStyle="1" w:styleId="HeaderChar">
    <w:name w:val="Header Char"/>
    <w:basedOn w:val="DefaultParagraphFont"/>
    <w:link w:val="Header"/>
    <w:uiPriority w:val="99"/>
    <w:semiHidden/>
    <w:locked/>
    <w:rsid w:val="005A65B5"/>
    <w:rPr>
      <w:rFonts w:ascii="Times New Roman" w:hAnsi="Times New Roman" w:cs="Times New Roman"/>
      <w:sz w:val="24"/>
      <w:szCs w:val="24"/>
      <w:lang w:eastAsia="sk-SK"/>
    </w:rPr>
  </w:style>
  <w:style w:type="paragraph" w:styleId="Footer">
    <w:name w:val="footer"/>
    <w:basedOn w:val="Normal"/>
    <w:link w:val="FooterChar"/>
    <w:uiPriority w:val="99"/>
    <w:rsid w:val="005A65B5"/>
    <w:pPr>
      <w:tabs>
        <w:tab w:val="center" w:pos="4536"/>
        <w:tab w:val="right" w:pos="9072"/>
      </w:tabs>
    </w:pPr>
  </w:style>
  <w:style w:type="character" w:customStyle="1" w:styleId="FooterChar">
    <w:name w:val="Footer Char"/>
    <w:basedOn w:val="DefaultParagraphFont"/>
    <w:link w:val="Footer"/>
    <w:uiPriority w:val="99"/>
    <w:locked/>
    <w:rsid w:val="005A65B5"/>
    <w:rPr>
      <w:rFonts w:ascii="Times New Roman" w:hAnsi="Times New Roman" w:cs="Times New Roman"/>
      <w:sz w:val="24"/>
      <w:szCs w:val="24"/>
      <w:lang w:eastAsia="sk-SK"/>
    </w:rPr>
  </w:style>
  <w:style w:type="character" w:styleId="CommentReference">
    <w:name w:val="annotation reference"/>
    <w:basedOn w:val="DefaultParagraphFont"/>
    <w:uiPriority w:val="99"/>
    <w:semiHidden/>
    <w:rsid w:val="00436BBA"/>
    <w:rPr>
      <w:rFonts w:cs="Times New Roman"/>
      <w:sz w:val="16"/>
      <w:szCs w:val="16"/>
    </w:rPr>
  </w:style>
  <w:style w:type="paragraph" w:styleId="CommentText">
    <w:name w:val="annotation text"/>
    <w:basedOn w:val="Normal"/>
    <w:link w:val="CommentTextChar"/>
    <w:uiPriority w:val="99"/>
    <w:semiHidden/>
    <w:rsid w:val="00436BBA"/>
    <w:rPr>
      <w:sz w:val="20"/>
      <w:szCs w:val="20"/>
    </w:rPr>
  </w:style>
  <w:style w:type="character" w:customStyle="1" w:styleId="CommentTextChar">
    <w:name w:val="Comment Text Char"/>
    <w:basedOn w:val="DefaultParagraphFont"/>
    <w:link w:val="CommentText"/>
    <w:uiPriority w:val="99"/>
    <w:semiHidden/>
    <w:locked/>
    <w:rsid w:val="00F955B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36BBA"/>
    <w:rPr>
      <w:b/>
      <w:bCs/>
    </w:rPr>
  </w:style>
  <w:style w:type="character" w:customStyle="1" w:styleId="CommentSubjectChar">
    <w:name w:val="Comment Subject Char"/>
    <w:basedOn w:val="CommentTextChar"/>
    <w:link w:val="CommentSubject"/>
    <w:uiPriority w:val="99"/>
    <w:semiHidden/>
    <w:locked/>
    <w:rsid w:val="00F955BE"/>
    <w:rPr>
      <w:b/>
      <w:bCs/>
    </w:rPr>
  </w:style>
  <w:style w:type="paragraph" w:styleId="BodyTextIndent">
    <w:name w:val="Body Text Indent"/>
    <w:basedOn w:val="Normal"/>
    <w:link w:val="BodyTextIndentChar"/>
    <w:uiPriority w:val="99"/>
    <w:rsid w:val="00184BAA"/>
    <w:pPr>
      <w:autoSpaceDE w:val="0"/>
      <w:autoSpaceDN w:val="0"/>
      <w:adjustRightInd w:val="0"/>
      <w:spacing w:after="120"/>
      <w:ind w:firstLine="720"/>
      <w:jc w:val="both"/>
    </w:pPr>
  </w:style>
  <w:style w:type="character" w:customStyle="1" w:styleId="BodyTextIndentChar">
    <w:name w:val="Body Text Indent Char"/>
    <w:basedOn w:val="DefaultParagraphFont"/>
    <w:link w:val="BodyTextIndent"/>
    <w:uiPriority w:val="99"/>
    <w:semiHidden/>
    <w:locked/>
    <w:rsid w:val="00F955BE"/>
    <w:rPr>
      <w:rFonts w:ascii="Times New Roman" w:hAnsi="Times New Roman" w:cs="Times New Roman"/>
      <w:sz w:val="24"/>
      <w:szCs w:val="24"/>
    </w:rPr>
  </w:style>
  <w:style w:type="paragraph" w:styleId="BodyText2">
    <w:name w:val="Body Text 2"/>
    <w:basedOn w:val="Normal"/>
    <w:link w:val="BodyText2Char"/>
    <w:uiPriority w:val="99"/>
    <w:rsid w:val="00F11394"/>
    <w:pPr>
      <w:spacing w:after="120" w:line="480" w:lineRule="auto"/>
    </w:pPr>
  </w:style>
  <w:style w:type="character" w:customStyle="1" w:styleId="BodyText2Char">
    <w:name w:val="Body Text 2 Char"/>
    <w:basedOn w:val="DefaultParagraphFont"/>
    <w:link w:val="BodyText2"/>
    <w:uiPriority w:val="99"/>
    <w:semiHidden/>
    <w:locked/>
    <w:rsid w:val="00F955BE"/>
    <w:rPr>
      <w:rFonts w:ascii="Times New Roman" w:hAnsi="Times New Roman" w:cs="Times New Roman"/>
      <w:sz w:val="24"/>
      <w:szCs w:val="24"/>
    </w:rPr>
  </w:style>
  <w:style w:type="paragraph" w:customStyle="1" w:styleId="CharChar1">
    <w:name w:val="Char Char1"/>
    <w:basedOn w:val="Normal"/>
    <w:uiPriority w:val="99"/>
    <w:rsid w:val="009C5248"/>
    <w:pPr>
      <w:spacing w:after="160" w:line="240" w:lineRule="exact"/>
    </w:pPr>
    <w:rPr>
      <w:rFonts w:ascii="Tahoma" w:hAnsi="Tahoma" w:cs="Tahoma"/>
      <w:sz w:val="20"/>
      <w:szCs w:val="20"/>
      <w:lang w:eastAsia="en-US"/>
    </w:rPr>
  </w:style>
  <w:style w:type="paragraph" w:customStyle="1" w:styleId="Odsekzoznamu1">
    <w:name w:val="Odsek zoznamu1"/>
    <w:basedOn w:val="Normal"/>
    <w:uiPriority w:val="99"/>
    <w:rsid w:val="006F4518"/>
    <w:pPr>
      <w:ind w:left="720"/>
      <w:contextualSpacing/>
    </w:pPr>
    <w:rPr>
      <w:rFonts w:ascii="Calibri" w:hAnsi="Calibri"/>
      <w:sz w:val="22"/>
      <w:szCs w:val="22"/>
    </w:rPr>
  </w:style>
  <w:style w:type="paragraph" w:styleId="FootnoteText">
    <w:name w:val="footnote text"/>
    <w:basedOn w:val="Normal"/>
    <w:link w:val="FootnoteTextChar"/>
    <w:uiPriority w:val="99"/>
    <w:semiHidden/>
    <w:rsid w:val="006F4518"/>
    <w:rPr>
      <w:rFonts w:ascii="Calibri" w:hAnsi="Calibri"/>
      <w:sz w:val="20"/>
      <w:szCs w:val="20"/>
      <w:lang w:eastAsia="en-US"/>
    </w:rPr>
  </w:style>
  <w:style w:type="character" w:customStyle="1" w:styleId="FootnoteTextChar">
    <w:name w:val="Footnote Text Char"/>
    <w:basedOn w:val="DefaultParagraphFont"/>
    <w:link w:val="FootnoteText"/>
    <w:uiPriority w:val="99"/>
    <w:semiHidden/>
    <w:locked/>
    <w:rsid w:val="006F4518"/>
    <w:rPr>
      <w:rFonts w:ascii="Calibri" w:hAnsi="Calibri" w:cs="Times New Roman"/>
      <w:lang w:val="sk-SK" w:eastAsia="en-US" w:bidi="ar-SA"/>
    </w:rPr>
  </w:style>
  <w:style w:type="character" w:styleId="FootnoteReference">
    <w:name w:val="footnote reference"/>
    <w:basedOn w:val="DefaultParagraphFont"/>
    <w:uiPriority w:val="99"/>
    <w:semiHidden/>
    <w:rsid w:val="006F4518"/>
    <w:rPr>
      <w:rFonts w:cs="Times New Roman"/>
      <w:vertAlign w:val="superscript"/>
    </w:rPr>
  </w:style>
  <w:style w:type="paragraph" w:styleId="BodyText3">
    <w:name w:val="Body Text 3"/>
    <w:basedOn w:val="Normal"/>
    <w:link w:val="BodyText3Char"/>
    <w:uiPriority w:val="99"/>
    <w:rsid w:val="001C6720"/>
    <w:pPr>
      <w:spacing w:after="120"/>
    </w:pPr>
    <w:rPr>
      <w:rFonts w:eastAsia="Calibri"/>
      <w:sz w:val="16"/>
      <w:szCs w:val="16"/>
    </w:rPr>
  </w:style>
  <w:style w:type="character" w:customStyle="1" w:styleId="BodyText3Char">
    <w:name w:val="Body Text 3 Char"/>
    <w:basedOn w:val="DefaultParagraphFont"/>
    <w:link w:val="BodyText3"/>
    <w:uiPriority w:val="99"/>
    <w:locked/>
    <w:rsid w:val="001C6720"/>
    <w:rPr>
      <w:rFonts w:eastAsia="Times New Roman" w:cs="Times New Roman"/>
      <w:sz w:val="16"/>
      <w:szCs w:val="16"/>
      <w:lang w:val="sk-SK" w:eastAsia="sk-SK" w:bidi="ar-SA"/>
    </w:rPr>
  </w:style>
  <w:style w:type="paragraph" w:customStyle="1" w:styleId="NumPar1">
    <w:name w:val="NumPar 1"/>
    <w:basedOn w:val="Heading1"/>
    <w:next w:val="Normal"/>
    <w:uiPriority w:val="99"/>
    <w:rsid w:val="000B1884"/>
    <w:pPr>
      <w:keepNext w:val="0"/>
      <w:keepLines w:val="0"/>
      <w:numPr>
        <w:numId w:val="0"/>
      </w:numPr>
      <w:spacing w:before="0" w:after="360"/>
      <w:ind w:right="851"/>
      <w:jc w:val="both"/>
      <w:outlineLvl w:val="9"/>
    </w:pPr>
    <w:rPr>
      <w:rFonts w:ascii="Times New Roman" w:hAnsi="Times New Roman"/>
      <w:b w:val="0"/>
      <w:bCs w:val="0"/>
      <w:color w:val="auto"/>
      <w:sz w:val="24"/>
      <w:szCs w:val="20"/>
      <w:lang w:val="en-GB" w:eastAsia="de-DE"/>
    </w:rPr>
  </w:style>
  <w:style w:type="paragraph" w:customStyle="1" w:styleId="Graphik">
    <w:name w:val="Graphik"/>
    <w:basedOn w:val="Normal"/>
    <w:next w:val="Normal"/>
    <w:uiPriority w:val="99"/>
    <w:rsid w:val="000B1884"/>
    <w:pPr>
      <w:keepNext/>
      <w:tabs>
        <w:tab w:val="left" w:pos="1418"/>
        <w:tab w:val="left" w:pos="2835"/>
        <w:tab w:val="left" w:pos="4253"/>
        <w:tab w:val="left" w:pos="5670"/>
        <w:tab w:val="left" w:pos="7088"/>
        <w:tab w:val="right" w:pos="8505"/>
      </w:tabs>
      <w:spacing w:before="160" w:after="480" w:line="240" w:lineRule="atLeast"/>
    </w:pPr>
    <w:rPr>
      <w:rFonts w:ascii="Helvetica" w:hAnsi="Helvetica"/>
      <w:szCs w:val="20"/>
      <w:lang w:val="de-DE" w:eastAsia="de-DE"/>
    </w:rPr>
  </w:style>
  <w:style w:type="character" w:customStyle="1" w:styleId="longtext">
    <w:name w:val="long_text"/>
    <w:basedOn w:val="DefaultParagraphFont"/>
    <w:uiPriority w:val="99"/>
    <w:rsid w:val="00A2422F"/>
    <w:rPr>
      <w:rFonts w:cs="Times New Roman"/>
    </w:rPr>
  </w:style>
  <w:style w:type="paragraph" w:customStyle="1" w:styleId="Default">
    <w:name w:val="Default"/>
    <w:uiPriority w:val="99"/>
    <w:rsid w:val="00784F7B"/>
    <w:pPr>
      <w:autoSpaceDE w:val="0"/>
      <w:autoSpaceDN w:val="0"/>
      <w:adjustRightInd w:val="0"/>
    </w:pPr>
    <w:rPr>
      <w:rFonts w:ascii="Trebuchet MS" w:eastAsia="Times New Roman" w:hAnsi="Trebuchet MS" w:cs="Trebuchet MS"/>
      <w:color w:val="000000"/>
      <w:sz w:val="24"/>
      <w:szCs w:val="24"/>
    </w:rPr>
  </w:style>
  <w:style w:type="character" w:styleId="FollowedHyperlink">
    <w:name w:val="FollowedHyperlink"/>
    <w:basedOn w:val="DefaultParagraphFont"/>
    <w:uiPriority w:val="99"/>
    <w:semiHidden/>
    <w:rsid w:val="009A0D5F"/>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116437674">
      <w:marLeft w:val="0"/>
      <w:marRight w:val="0"/>
      <w:marTop w:val="0"/>
      <w:marBottom w:val="0"/>
      <w:divBdr>
        <w:top w:val="none" w:sz="0" w:space="0" w:color="auto"/>
        <w:left w:val="none" w:sz="0" w:space="0" w:color="auto"/>
        <w:bottom w:val="none" w:sz="0" w:space="0" w:color="auto"/>
        <w:right w:val="none" w:sz="0" w:space="0" w:color="auto"/>
      </w:divBdr>
    </w:div>
    <w:div w:id="2116437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ages/Bratislava-Slovakia/INTERACT/40317896164?v=photo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interact-eu.net"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youtube.com/INTERACTProgramm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lc_DocId xmlns="e60a29af-d413-48d4-bd90-fe9d2a897e4b">WKX3UHSAJ2R6-2-245076</_dlc_DocId>
    <_dlc_DocIdUrl xmlns="e60a29af-d413-48d4-bd90-fe9d2a897e4b">
      <Url>https://ovdmasv601/sites/DMS/_layouts/15/DocIdRedir.aspx?ID=WKX3UHSAJ2R6-2-245076</Url>
      <Description>WKX3UHSAJ2R6-2-245076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FB522-1F2E-4327-943D-5F2656673BDD}"/>
</file>

<file path=customXml/itemProps2.xml><?xml version="1.0" encoding="utf-8"?>
<ds:datastoreItem xmlns:ds="http://schemas.openxmlformats.org/officeDocument/2006/customXml" ds:itemID="{3C2534EC-401B-42D6-AA82-D463BB26BE80}"/>
</file>

<file path=customXml/itemProps3.xml><?xml version="1.0" encoding="utf-8"?>
<ds:datastoreItem xmlns:ds="http://schemas.openxmlformats.org/officeDocument/2006/customXml" ds:itemID="{E6DE3677-6AA0-4DCC-AF83-96A5DC8904BD}"/>
</file>

<file path=customXml/itemProps4.xml><?xml version="1.0" encoding="utf-8"?>
<ds:datastoreItem xmlns:ds="http://schemas.openxmlformats.org/officeDocument/2006/customXml" ds:itemID="{9498ED30-098A-463F-ADEA-37A58FF19394}"/>
</file>

<file path=docProps/app.xml><?xml version="1.0" encoding="utf-8"?>
<Properties xmlns="http://schemas.openxmlformats.org/officeDocument/2006/extended-properties" xmlns:vt="http://schemas.openxmlformats.org/officeDocument/2006/docPropsVTypes">
  <Template>Normal_Wordconv.dotm</Template>
  <TotalTime>72</TotalTime>
  <Pages>17</Pages>
  <Words>6257</Words>
  <Characters>-32766</Characters>
  <Application>Microsoft Office Outlook</Application>
  <DocSecurity>0</DocSecurity>
  <Lines>0</Lines>
  <Paragraphs>0</Paragraphs>
  <ScaleCrop>false</ScaleCrop>
  <Company>MFSR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implementácii a čerpaní operačného programu INTERACT II k 31</dc:title>
  <dc:subject/>
  <dc:creator>mfsr</dc:creator>
  <cp:keywords/>
  <dc:description/>
  <cp:lastModifiedBy>mkovac</cp:lastModifiedBy>
  <cp:revision>8</cp:revision>
  <cp:lastPrinted>2010-09-28T13:33:00Z</cp:lastPrinted>
  <dcterms:created xsi:type="dcterms:W3CDTF">2010-09-28T08:49:00Z</dcterms:created>
  <dcterms:modified xsi:type="dcterms:W3CDTF">2010-09-28T13:43:00Z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402b9d01-8f43-4bba-b1f2-6ee776fa2c9a</vt:lpwstr>
  </property>
</Properties>
</file>